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9" w:lineRule="exact"/>
        <w:rPr>
          <w:sz w:val="24"/>
          <w:szCs w:val="24"/>
          <w:color w:val="auto"/>
        </w:rPr>
      </w:pPr>
    </w:p>
    <w:p>
      <w:pPr>
        <w:ind w:left="640"/>
        <w:spacing w:after="0"/>
        <w:tabs>
          <w:tab w:leader="none" w:pos="598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6"/>
          <w:szCs w:val="16"/>
          <w:color w:val="auto"/>
        </w:rPr>
        <w:t>March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3812540</wp:posOffset>
            </wp:positionH>
            <wp:positionV relativeFrom="paragraph">
              <wp:posOffset>5715</wp:posOffset>
            </wp:positionV>
            <wp:extent cx="3439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39160" cy="17145"/>
                    </a:xfrm>
                    <a:prstGeom prst="rect">
                      <a:avLst/>
                    </a:prstGeom>
                    <a:noFill/>
                  </pic:spPr>
                </pic:pic>
              </a:graphicData>
            </a:graphic>
          </wp:anchor>
        </w:drawing>
      </w:r>
    </w:p>
    <w:p>
      <w:pPr>
        <w:spacing w:after="0" w:line="218" w:lineRule="exact"/>
        <w:rPr>
          <w:sz w:val="24"/>
          <w:szCs w:val="24"/>
          <w:color w:val="auto"/>
        </w:rPr>
      </w:pPr>
    </w:p>
    <w:p>
      <w:pPr>
        <w:jc w:val="center"/>
        <w:ind w:left="560"/>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b w:val="1"/>
          <w:bCs w:val="1"/>
          <w:color w:val="auto"/>
        </w:rPr>
        <w:t>TRANSITION REPORT PURSUANT TO SECTION 13 OR 15(d) OF THE SECURITIES EXCHANGE ACT OF 1934</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980" w:type="dxa"/>
            <w:vAlign w:val="bottom"/>
            <w:gridSpan w:val="3"/>
          </w:tcPr>
          <w:p>
            <w:pPr>
              <w:ind w:left="620"/>
              <w:spacing w:after="0"/>
              <w:rPr>
                <w:sz w:val="20"/>
                <w:szCs w:val="20"/>
                <w:color w:val="auto"/>
              </w:rPr>
            </w:pPr>
            <w:r>
              <w:rPr>
                <w:rFonts w:ascii="Arial" w:cs="Arial" w:eastAsia="Arial" w:hAnsi="Arial"/>
                <w:sz w:val="18"/>
                <w:szCs w:val="18"/>
                <w:color w:val="auto"/>
              </w:rPr>
              <w:t>For the transition period from</w:t>
            </w:r>
          </w:p>
        </w:tc>
        <w:tc>
          <w:tcPr>
            <w:tcW w:w="1960" w:type="dxa"/>
            <w:vAlign w:val="bottom"/>
            <w:gridSpan w:val="2"/>
          </w:tcPr>
          <w:p>
            <w:pPr>
              <w:ind w:left="600"/>
              <w:spacing w:after="0"/>
              <w:rPr>
                <w:sz w:val="20"/>
                <w:szCs w:val="20"/>
                <w:color w:val="auto"/>
              </w:rPr>
            </w:pPr>
            <w:r>
              <w:rPr>
                <w:rFonts w:ascii="Arial" w:cs="Arial" w:eastAsia="Arial" w:hAnsi="Arial"/>
                <w:sz w:val="18"/>
                <w:szCs w:val="18"/>
                <w:color w:val="auto"/>
              </w:rPr>
              <w:t>to</w:t>
            </w:r>
          </w:p>
        </w:tc>
        <w:tc>
          <w:tcPr>
            <w:tcW w:w="16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634"/>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Former name, former</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address and former</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6"/>
              </w:rPr>
              <w:t>Exact Name of Registrants as Specified in their</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I.R.S. Employer</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fiscal year, if changed</w:t>
            </w:r>
          </w:p>
        </w:tc>
      </w:tr>
      <w:tr>
        <w:trPr>
          <w:trHeight w:val="237"/>
        </w:trPr>
        <w:tc>
          <w:tcPr>
            <w:tcW w:w="20" w:type="dxa"/>
            <w:vAlign w:val="bottom"/>
          </w:tcPr>
          <w:p>
            <w:pPr>
              <w:spacing w:after="0"/>
              <w:rPr>
                <w:sz w:val="20"/>
                <w:szCs w:val="20"/>
                <w:color w:val="auto"/>
              </w:rPr>
            </w:pPr>
          </w:p>
        </w:tc>
        <w:tc>
          <w:tcPr>
            <w:tcW w:w="1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Commission File No.</w:t>
            </w:r>
          </w:p>
        </w:tc>
        <w:tc>
          <w:tcPr>
            <w:tcW w:w="400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Charters, Address and Telephone Number</w:t>
            </w:r>
          </w:p>
        </w:tc>
        <w:tc>
          <w:tcPr>
            <w:tcW w:w="19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8"/>
              </w:rPr>
              <w:t>States of Incorporation</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Identification Nos.</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since last report</w:t>
            </w:r>
          </w:p>
        </w:tc>
      </w:tr>
      <w:tr>
        <w:trPr>
          <w:trHeight w:val="202"/>
        </w:trPr>
        <w:tc>
          <w:tcPr>
            <w:tcW w:w="20" w:type="dxa"/>
            <w:vAlign w:val="bottom"/>
          </w:tcPr>
          <w:p>
            <w:pPr>
              <w:spacing w:after="0"/>
              <w:rPr>
                <w:sz w:val="17"/>
                <w:szCs w:val="17"/>
                <w:color w:val="auto"/>
              </w:rPr>
            </w:pPr>
          </w:p>
        </w:tc>
        <w:tc>
          <w:tcPr>
            <w:tcW w:w="1980" w:type="dxa"/>
            <w:vAlign w:val="bottom"/>
          </w:tcPr>
          <w:p>
            <w:pPr>
              <w:jc w:val="right"/>
              <w:ind w:right="1310"/>
              <w:spacing w:after="0" w:line="201" w:lineRule="exact"/>
              <w:rPr>
                <w:sz w:val="20"/>
                <w:szCs w:val="20"/>
                <w:color w:val="auto"/>
              </w:rPr>
            </w:pPr>
            <w:r>
              <w:rPr>
                <w:rFonts w:ascii="Arial" w:cs="Arial" w:eastAsia="Arial" w:hAnsi="Arial"/>
                <w:sz w:val="18"/>
                <w:szCs w:val="18"/>
                <w:color w:val="auto"/>
                <w:w w:val="84"/>
              </w:rPr>
              <w:t>1-14201</w:t>
            </w:r>
          </w:p>
        </w:tc>
        <w:tc>
          <w:tcPr>
            <w:tcW w:w="40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SEMPRA ENERGY</w:t>
            </w:r>
          </w:p>
        </w:tc>
        <w:tc>
          <w:tcPr>
            <w:tcW w:w="1960" w:type="dxa"/>
            <w:vAlign w:val="bottom"/>
            <w:gridSpan w:val="2"/>
          </w:tcPr>
          <w:p>
            <w:pPr>
              <w:ind w:left="620"/>
              <w:spacing w:after="0" w:line="201" w:lineRule="exact"/>
              <w:rPr>
                <w:sz w:val="20"/>
                <w:szCs w:val="20"/>
                <w:color w:val="auto"/>
              </w:rPr>
            </w:pPr>
            <w:r>
              <w:rPr>
                <w:rFonts w:ascii="Arial" w:cs="Arial" w:eastAsia="Arial" w:hAnsi="Arial"/>
                <w:sz w:val="18"/>
                <w:szCs w:val="18"/>
                <w:color w:val="auto"/>
              </w:rPr>
              <w:t>California</w:t>
            </w: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w w:val="89"/>
              </w:rPr>
              <w:t>33-0732627</w:t>
            </w:r>
          </w:p>
        </w:tc>
        <w:tc>
          <w:tcPr>
            <w:tcW w:w="1860" w:type="dxa"/>
            <w:vAlign w:val="bottom"/>
          </w:tcPr>
          <w:p>
            <w:pPr>
              <w:jc w:val="center"/>
              <w:spacing w:after="0" w:line="201" w:lineRule="exact"/>
              <w:rPr>
                <w:sz w:val="20"/>
                <w:szCs w:val="20"/>
                <w:color w:val="auto"/>
              </w:rPr>
            </w:pPr>
            <w:r>
              <w:rPr>
                <w:rFonts w:ascii="Arial" w:cs="Arial" w:eastAsia="Arial" w:hAnsi="Arial"/>
                <w:sz w:val="18"/>
                <w:szCs w:val="18"/>
                <w:color w:val="auto"/>
                <w:w w:val="89"/>
              </w:rPr>
              <w:t>No change</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101 Ash Street</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San Diego, California 92101</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720" w:type="dxa"/>
            <w:vAlign w:val="bottom"/>
          </w:tcPr>
          <w:p>
            <w:pPr>
              <w:ind w:left="180"/>
              <w:spacing w:after="0"/>
              <w:rPr>
                <w:sz w:val="20"/>
                <w:szCs w:val="20"/>
                <w:color w:val="auto"/>
              </w:rPr>
            </w:pPr>
            <w:r>
              <w:rPr>
                <w:rFonts w:ascii="Arial" w:cs="Arial" w:eastAsia="Arial" w:hAnsi="Arial"/>
                <w:sz w:val="18"/>
                <w:szCs w:val="18"/>
                <w:color w:val="auto"/>
              </w:rPr>
              <w:t>(619)696-2000</w:t>
            </w:r>
          </w:p>
        </w:tc>
        <w:tc>
          <w:tcPr>
            <w:tcW w:w="2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418"/>
        </w:trPr>
        <w:tc>
          <w:tcPr>
            <w:tcW w:w="2000" w:type="dxa"/>
            <w:vAlign w:val="bottom"/>
            <w:gridSpan w:val="2"/>
          </w:tcPr>
          <w:p>
            <w:pPr>
              <w:jc w:val="right"/>
              <w:ind w:right="1310"/>
              <w:spacing w:after="0"/>
              <w:rPr>
                <w:sz w:val="20"/>
                <w:szCs w:val="20"/>
                <w:color w:val="auto"/>
              </w:rPr>
            </w:pPr>
            <w:r>
              <w:rPr>
                <w:rFonts w:ascii="Arial" w:cs="Arial" w:eastAsia="Arial" w:hAnsi="Arial"/>
                <w:sz w:val="18"/>
                <w:szCs w:val="18"/>
                <w:color w:val="auto"/>
                <w:w w:val="87"/>
              </w:rPr>
              <w:t>1-03779</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SAN DIEGO GAS &amp; ELECTRIC COMPANY</w:t>
            </w:r>
          </w:p>
        </w:tc>
        <w:tc>
          <w:tcPr>
            <w:tcW w:w="1960" w:type="dxa"/>
            <w:vAlign w:val="bottom"/>
            <w:gridSpan w:val="2"/>
          </w:tcPr>
          <w:p>
            <w:pPr>
              <w:ind w:left="620"/>
              <w:spacing w:after="0"/>
              <w:rPr>
                <w:sz w:val="20"/>
                <w:szCs w:val="20"/>
                <w:color w:val="auto"/>
              </w:rPr>
            </w:pPr>
            <w:r>
              <w:rPr>
                <w:rFonts w:ascii="Arial" w:cs="Arial" w:eastAsia="Arial" w:hAnsi="Arial"/>
                <w:sz w:val="18"/>
                <w:szCs w:val="18"/>
                <w:color w:val="auto"/>
              </w:rPr>
              <w:t>California</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95-1184800</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No change</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8326 Century Park Court</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San Diego, California 92123</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720" w:type="dxa"/>
            <w:vAlign w:val="bottom"/>
          </w:tcPr>
          <w:p>
            <w:pPr>
              <w:ind w:left="180"/>
              <w:spacing w:after="0"/>
              <w:rPr>
                <w:sz w:val="20"/>
                <w:szCs w:val="20"/>
                <w:color w:val="auto"/>
              </w:rPr>
            </w:pPr>
            <w:r>
              <w:rPr>
                <w:rFonts w:ascii="Arial" w:cs="Arial" w:eastAsia="Arial" w:hAnsi="Arial"/>
                <w:sz w:val="18"/>
                <w:szCs w:val="18"/>
                <w:color w:val="auto"/>
              </w:rPr>
              <w:t>(619)696-2000</w:t>
            </w:r>
          </w:p>
        </w:tc>
        <w:tc>
          <w:tcPr>
            <w:tcW w:w="2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418"/>
        </w:trPr>
        <w:tc>
          <w:tcPr>
            <w:tcW w:w="2000" w:type="dxa"/>
            <w:vAlign w:val="bottom"/>
            <w:gridSpan w:val="2"/>
          </w:tcPr>
          <w:p>
            <w:pPr>
              <w:jc w:val="right"/>
              <w:ind w:right="1310"/>
              <w:spacing w:after="0"/>
              <w:rPr>
                <w:sz w:val="20"/>
                <w:szCs w:val="20"/>
                <w:color w:val="auto"/>
              </w:rPr>
            </w:pPr>
            <w:r>
              <w:rPr>
                <w:rFonts w:ascii="Arial" w:cs="Arial" w:eastAsia="Arial" w:hAnsi="Arial"/>
                <w:sz w:val="18"/>
                <w:szCs w:val="18"/>
                <w:color w:val="auto"/>
                <w:w w:val="87"/>
              </w:rPr>
              <w:t>1-01402</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SOUTHERN CALIFORNIA GAS COMPANY</w:t>
            </w:r>
          </w:p>
        </w:tc>
        <w:tc>
          <w:tcPr>
            <w:tcW w:w="1960" w:type="dxa"/>
            <w:vAlign w:val="bottom"/>
            <w:gridSpan w:val="2"/>
          </w:tcPr>
          <w:p>
            <w:pPr>
              <w:ind w:left="620"/>
              <w:spacing w:after="0"/>
              <w:rPr>
                <w:sz w:val="20"/>
                <w:szCs w:val="20"/>
                <w:color w:val="auto"/>
              </w:rPr>
            </w:pPr>
            <w:r>
              <w:rPr>
                <w:rFonts w:ascii="Arial" w:cs="Arial" w:eastAsia="Arial" w:hAnsi="Arial"/>
                <w:sz w:val="18"/>
                <w:szCs w:val="18"/>
                <w:color w:val="auto"/>
              </w:rPr>
              <w:t>California</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95-1240705</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No change</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555 West Fifth Street</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Los Angeles, California 90013</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720" w:type="dxa"/>
            <w:vAlign w:val="bottom"/>
          </w:tcPr>
          <w:p>
            <w:pPr>
              <w:ind w:left="180"/>
              <w:spacing w:after="0"/>
              <w:rPr>
                <w:sz w:val="20"/>
                <w:szCs w:val="20"/>
                <w:color w:val="auto"/>
              </w:rPr>
            </w:pPr>
            <w:r>
              <w:rPr>
                <w:rFonts w:ascii="Arial" w:cs="Arial" w:eastAsia="Arial" w:hAnsi="Arial"/>
                <w:sz w:val="18"/>
                <w:szCs w:val="18"/>
                <w:color w:val="auto"/>
              </w:rPr>
              <w:t>(213)244-1200</w:t>
            </w:r>
          </w:p>
        </w:tc>
        <w:tc>
          <w:tcPr>
            <w:tcW w:w="2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60" w:type="dxa"/>
            <w:vAlign w:val="bottom"/>
          </w:tcPr>
          <w:p>
            <w:pPr>
              <w:spacing w:after="0"/>
              <w:rPr>
                <w:sz w:val="20"/>
                <w:szCs w:val="20"/>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ind w:right="300"/>
        <w:spacing w:after="0" w:line="264" w:lineRule="auto"/>
        <w:rPr>
          <w:sz w:val="20"/>
          <w:szCs w:val="20"/>
          <w:color w:val="auto"/>
        </w:rPr>
      </w:pPr>
      <w:r>
        <w:rPr>
          <w:rFonts w:ascii="Arial" w:cs="Arial" w:eastAsia="Arial" w:hAnsi="Arial"/>
          <w:sz w:val="18"/>
          <w:szCs w:val="18"/>
          <w:color w:val="auto"/>
        </w:rPr>
        <w:t>Indicate by check mark whether the registrants (1) have filed all reports required to be filed by Section 13 or 15(d) of the Securities Exchange Act of 1934 during the preceding 12 months (or for such shorter period that the registrants were required to file such reports), and (2) have been subject to such filing requirements for the past 90 days.</w:t>
      </w:r>
    </w:p>
    <w:p>
      <w:pPr>
        <w:spacing w:after="0" w:line="181" w:lineRule="exact"/>
        <w:rPr>
          <w:sz w:val="24"/>
          <w:szCs w:val="24"/>
          <w:color w:val="auto"/>
        </w:rPr>
      </w:pPr>
    </w:p>
    <w:p>
      <w:pPr>
        <w:ind w:left="7080"/>
        <w:spacing w:after="0"/>
        <w:tabs>
          <w:tab w:leader="none" w:pos="7940" w:val="left"/>
          <w:tab w:leader="none" w:pos="97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4712970</wp:posOffset>
            </wp:positionH>
            <wp:positionV relativeFrom="paragraph">
              <wp:posOffset>14605</wp:posOffset>
            </wp:positionV>
            <wp:extent cx="8147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4705" cy="1714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14605</wp:posOffset>
            </wp:positionV>
            <wp:extent cx="8318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31850" cy="1714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ind w:right="24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860" w:type="dxa"/>
            <w:vAlign w:val="bottom"/>
          </w:tcPr>
          <w:p>
            <w:pPr>
              <w:spacing w:after="0"/>
              <w:rPr>
                <w:sz w:val="20"/>
                <w:szCs w:val="20"/>
                <w:color w:val="auto"/>
              </w:rPr>
            </w:pPr>
            <w:r>
              <w:rPr>
                <w:rFonts w:ascii="Arial" w:cs="Arial" w:eastAsia="Arial" w:hAnsi="Arial"/>
                <w:sz w:val="18"/>
                <w:szCs w:val="18"/>
                <w:color w:val="auto"/>
              </w:rPr>
              <w:t>Sempra Energy</w:t>
            </w:r>
          </w:p>
        </w:tc>
        <w:tc>
          <w:tcPr>
            <w:tcW w:w="2580" w:type="dxa"/>
            <w:vAlign w:val="bottom"/>
          </w:tcPr>
          <w:p>
            <w:pPr>
              <w:ind w:left="2240"/>
              <w:spacing w:after="0"/>
              <w:rPr>
                <w:sz w:val="20"/>
                <w:szCs w:val="20"/>
                <w:color w:val="auto"/>
              </w:rPr>
            </w:pPr>
            <w:r>
              <w:rPr>
                <w:rFonts w:ascii="Arial" w:cs="Arial" w:eastAsia="Arial" w:hAnsi="Arial"/>
                <w:sz w:val="18"/>
                <w:szCs w:val="18"/>
                <w:color w:val="auto"/>
              </w:rPr>
              <w:t>Yes</w:t>
            </w:r>
          </w:p>
        </w:tc>
        <w:tc>
          <w:tcPr>
            <w:tcW w:w="12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X</w:t>
            </w:r>
          </w:p>
        </w:tc>
        <w:tc>
          <w:tcPr>
            <w:tcW w:w="1300" w:type="dxa"/>
            <w:vAlign w:val="bottom"/>
          </w:tcPr>
          <w:p>
            <w:pPr>
              <w:ind w:left="1080"/>
              <w:spacing w:after="0"/>
              <w:rPr>
                <w:sz w:val="20"/>
                <w:szCs w:val="20"/>
                <w:color w:val="auto"/>
              </w:rPr>
            </w:pPr>
            <w:r>
              <w:rPr>
                <w:rFonts w:ascii="Arial" w:cs="Arial" w:eastAsia="Arial" w:hAnsi="Arial"/>
                <w:sz w:val="18"/>
                <w:szCs w:val="18"/>
                <w:color w:val="auto"/>
                <w:w w:val="86"/>
              </w:rPr>
              <w:t>No</w:t>
            </w: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San Diego Gas &amp; Electric Company</w:t>
            </w:r>
          </w:p>
        </w:tc>
        <w:tc>
          <w:tcPr>
            <w:tcW w:w="2580" w:type="dxa"/>
            <w:vAlign w:val="bottom"/>
          </w:tcPr>
          <w:p>
            <w:pPr>
              <w:ind w:left="2240"/>
              <w:spacing w:after="0"/>
              <w:rPr>
                <w:sz w:val="20"/>
                <w:szCs w:val="20"/>
                <w:color w:val="auto"/>
              </w:rPr>
            </w:pPr>
            <w:r>
              <w:rPr>
                <w:rFonts w:ascii="Arial" w:cs="Arial" w:eastAsia="Arial" w:hAnsi="Arial"/>
                <w:sz w:val="18"/>
                <w:szCs w:val="18"/>
                <w:color w:val="auto"/>
              </w:rPr>
              <w:t>Yes</w:t>
            </w:r>
          </w:p>
        </w:tc>
        <w:tc>
          <w:tcPr>
            <w:tcW w:w="12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X</w:t>
            </w:r>
          </w:p>
        </w:tc>
        <w:tc>
          <w:tcPr>
            <w:tcW w:w="1300" w:type="dxa"/>
            <w:vAlign w:val="bottom"/>
          </w:tcPr>
          <w:p>
            <w:pPr>
              <w:ind w:left="1080"/>
              <w:spacing w:after="0"/>
              <w:rPr>
                <w:sz w:val="20"/>
                <w:szCs w:val="20"/>
                <w:color w:val="auto"/>
              </w:rPr>
            </w:pPr>
            <w:r>
              <w:rPr>
                <w:rFonts w:ascii="Arial" w:cs="Arial" w:eastAsia="Arial" w:hAnsi="Arial"/>
                <w:sz w:val="18"/>
                <w:szCs w:val="18"/>
                <w:color w:val="auto"/>
                <w:w w:val="86"/>
              </w:rPr>
              <w:t>No</w:t>
            </w: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Southern California Gas Company</w:t>
            </w:r>
          </w:p>
        </w:tc>
        <w:tc>
          <w:tcPr>
            <w:tcW w:w="2580" w:type="dxa"/>
            <w:vAlign w:val="bottom"/>
          </w:tcPr>
          <w:p>
            <w:pPr>
              <w:ind w:left="2240"/>
              <w:spacing w:after="0"/>
              <w:rPr>
                <w:sz w:val="20"/>
                <w:szCs w:val="20"/>
                <w:color w:val="auto"/>
              </w:rPr>
            </w:pPr>
            <w:r>
              <w:rPr>
                <w:rFonts w:ascii="Arial" w:cs="Arial" w:eastAsia="Arial" w:hAnsi="Arial"/>
                <w:sz w:val="18"/>
                <w:szCs w:val="18"/>
                <w:color w:val="auto"/>
              </w:rPr>
              <w:t>Yes</w:t>
            </w:r>
          </w:p>
        </w:tc>
        <w:tc>
          <w:tcPr>
            <w:tcW w:w="12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X</w:t>
            </w:r>
          </w:p>
        </w:tc>
        <w:tc>
          <w:tcPr>
            <w:tcW w:w="1300" w:type="dxa"/>
            <w:vAlign w:val="bottom"/>
          </w:tcPr>
          <w:p>
            <w:pPr>
              <w:ind w:left="1080"/>
              <w:spacing w:after="0"/>
              <w:rPr>
                <w:sz w:val="20"/>
                <w:szCs w:val="20"/>
                <w:color w:val="auto"/>
              </w:rPr>
            </w:pPr>
            <w:r>
              <w:rPr>
                <w:rFonts w:ascii="Arial" w:cs="Arial" w:eastAsia="Arial" w:hAnsi="Arial"/>
                <w:sz w:val="18"/>
                <w:szCs w:val="18"/>
                <w:color w:val="auto"/>
                <w:w w:val="86"/>
              </w:rPr>
              <w:t>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6419850</wp:posOffset>
            </wp:positionH>
            <wp:positionV relativeFrom="paragraph">
              <wp:posOffset>-325120</wp:posOffset>
            </wp:positionV>
            <wp:extent cx="831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1850" cy="1714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-170815</wp:posOffset>
            </wp:positionV>
            <wp:extent cx="831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31850" cy="1714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-16510</wp:posOffset>
            </wp:positionV>
            <wp:extent cx="831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31850" cy="17145"/>
                    </a:xfrm>
                    <a:prstGeom prst="rect">
                      <a:avLst/>
                    </a:prstGeom>
                    <a:noFill/>
                  </pic:spPr>
                </pic:pic>
              </a:graphicData>
            </a:graphic>
          </wp:anchor>
        </w:drawing>
      </w:r>
    </w:p>
    <w:p>
      <w:pPr>
        <w:spacing w:after="0" w:line="182"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ind w:left="500"/>
              <w:spacing w:after="0"/>
              <w:rPr>
                <w:sz w:val="20"/>
                <w:szCs w:val="20"/>
                <w:color w:val="auto"/>
              </w:rPr>
            </w:pPr>
            <w:r>
              <w:rPr>
                <w:rFonts w:ascii="Arial" w:cs="Arial" w:eastAsia="Arial" w:hAnsi="Arial"/>
                <w:sz w:val="18"/>
                <w:szCs w:val="18"/>
                <w:color w:val="auto"/>
              </w:rPr>
              <w:t>Large</w:t>
            </w: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60" w:type="dxa"/>
            <w:vAlign w:val="bottom"/>
            <w:gridSpan w:val="3"/>
          </w:tcPr>
          <w:p>
            <w:pPr>
              <w:jc w:val="right"/>
              <w:ind w:right="230"/>
              <w:spacing w:after="0"/>
              <w:rPr>
                <w:sz w:val="20"/>
                <w:szCs w:val="20"/>
                <w:color w:val="auto"/>
              </w:rPr>
            </w:pPr>
            <w:r>
              <w:rPr>
                <w:rFonts w:ascii="Arial" w:cs="Arial" w:eastAsia="Arial" w:hAnsi="Arial"/>
                <w:sz w:val="18"/>
                <w:szCs w:val="18"/>
                <w:color w:val="auto"/>
              </w:rPr>
              <w:t>Smaller reporting</w:t>
            </w:r>
          </w:p>
        </w:tc>
      </w:tr>
      <w:tr>
        <w:trPr>
          <w:trHeight w:val="237"/>
        </w:trPr>
        <w:tc>
          <w:tcPr>
            <w:tcW w:w="24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accelerated filer</w:t>
            </w:r>
          </w:p>
        </w:tc>
        <w:tc>
          <w:tcPr>
            <w:tcW w:w="228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Accelerated filer</w:t>
            </w:r>
          </w:p>
        </w:tc>
        <w:tc>
          <w:tcPr>
            <w:tcW w:w="7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Non-accelerated filer</w:t>
            </w:r>
          </w:p>
        </w:tc>
        <w:tc>
          <w:tcPr>
            <w:tcW w:w="5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color w:val="auto"/>
                <w:w w:val="93"/>
              </w:rPr>
              <w:t>company</w:t>
            </w: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rPr>
              <w:t>Sempra Energy</w:t>
            </w:r>
          </w:p>
        </w:tc>
        <w:tc>
          <w:tcPr>
            <w:tcW w:w="280" w:type="dxa"/>
            <w:vAlign w:val="bottom"/>
          </w:tcPr>
          <w:p>
            <w:pPr>
              <w:spacing w:after="0"/>
              <w:rPr>
                <w:sz w:val="17"/>
                <w:szCs w:val="17"/>
                <w:color w:val="auto"/>
              </w:rPr>
            </w:pPr>
          </w:p>
        </w:tc>
        <w:tc>
          <w:tcPr>
            <w:tcW w:w="580" w:type="dxa"/>
            <w:vAlign w:val="bottom"/>
          </w:tcPr>
          <w:p>
            <w:pPr>
              <w:ind w:left="480"/>
              <w:spacing w:after="0" w:line="201"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950"/>
              <w:spacing w:after="0" w:line="201" w:lineRule="exact"/>
              <w:rPr>
                <w:sz w:val="20"/>
                <w:szCs w:val="20"/>
                <w:color w:val="auto"/>
              </w:rPr>
            </w:pPr>
            <w:r>
              <w:rPr>
                <w:rFonts w:ascii="Arial" w:cs="Arial" w:eastAsia="Arial" w:hAnsi="Arial"/>
                <w:sz w:val="18"/>
                <w:szCs w:val="18"/>
                <w:color w:val="auto"/>
              </w:rPr>
              <w:t>X ]</w:t>
            </w:r>
          </w:p>
        </w:tc>
        <w:tc>
          <w:tcPr>
            <w:tcW w:w="1300" w:type="dxa"/>
            <w:vAlign w:val="bottom"/>
          </w:tcPr>
          <w:p>
            <w:pPr>
              <w:jc w:val="right"/>
              <w:ind w:right="50"/>
              <w:spacing w:after="0" w:line="201"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690"/>
              <w:spacing w:after="0" w:line="201" w:lineRule="exact"/>
              <w:rPr>
                <w:sz w:val="20"/>
                <w:szCs w:val="20"/>
                <w:color w:val="auto"/>
              </w:rPr>
            </w:pPr>
            <w:r>
              <w:rPr>
                <w:rFonts w:ascii="Arial" w:cs="Arial" w:eastAsia="Arial" w:hAnsi="Arial"/>
                <w:sz w:val="18"/>
                <w:szCs w:val="18"/>
                <w:color w:val="auto"/>
              </w:rPr>
              <w:t>]</w:t>
            </w:r>
          </w:p>
        </w:tc>
        <w:tc>
          <w:tcPr>
            <w:tcW w:w="1580" w:type="dxa"/>
            <w:vAlign w:val="bottom"/>
            <w:gridSpan w:val="2"/>
          </w:tcPr>
          <w:p>
            <w:pPr>
              <w:ind w:left="1360"/>
              <w:spacing w:after="0" w:line="201"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920" w:type="dxa"/>
            <w:vAlign w:val="bottom"/>
            <w:gridSpan w:val="2"/>
          </w:tcPr>
          <w:p>
            <w:pPr>
              <w:jc w:val="right"/>
              <w:ind w:right="50"/>
              <w:spacing w:after="0" w:line="201"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670"/>
              <w:spacing w:after="0" w:line="201" w:lineRule="exact"/>
              <w:rPr>
                <w:sz w:val="20"/>
                <w:szCs w:val="20"/>
                <w:color w:val="auto"/>
              </w:rPr>
            </w:pPr>
            <w:r>
              <w:rPr>
                <w:rFonts w:ascii="Arial" w:cs="Arial" w:eastAsia="Arial" w:hAnsi="Arial"/>
                <w:sz w:val="18"/>
                <w:szCs w:val="18"/>
                <w:color w:val="auto"/>
              </w:rPr>
              <w:t>]</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San Diego Gas &amp; Electric</w:t>
            </w: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40" w:type="dxa"/>
            <w:vAlign w:val="bottom"/>
            <w:gridSpan w:val="2"/>
          </w:tcPr>
          <w:p>
            <w:pPr>
              <w:ind w:left="340"/>
              <w:spacing w:after="0"/>
              <w:rPr>
                <w:sz w:val="20"/>
                <w:szCs w:val="20"/>
                <w:color w:val="auto"/>
              </w:rPr>
            </w:pPr>
            <w:r>
              <w:rPr>
                <w:rFonts w:ascii="Arial" w:cs="Arial" w:eastAsia="Arial" w:hAnsi="Arial"/>
                <w:sz w:val="18"/>
                <w:szCs w:val="18"/>
                <w:color w:val="auto"/>
              </w:rPr>
              <w:t>Company</w:t>
            </w:r>
          </w:p>
        </w:tc>
        <w:tc>
          <w:tcPr>
            <w:tcW w:w="580" w:type="dxa"/>
            <w:vAlign w:val="bottom"/>
          </w:tcPr>
          <w:p>
            <w:pPr>
              <w:ind w:left="4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860" w:type="dxa"/>
            <w:vAlign w:val="bottom"/>
            <w:gridSpan w:val="3"/>
          </w:tcPr>
          <w:p>
            <w:pPr>
              <w:ind w:left="640"/>
              <w:spacing w:after="0"/>
              <w:rPr>
                <w:sz w:val="20"/>
                <w:szCs w:val="20"/>
                <w:color w:val="auto"/>
              </w:rPr>
            </w:pPr>
            <w:r>
              <w:rPr>
                <w:rFonts w:ascii="Arial" w:cs="Arial" w:eastAsia="Arial" w:hAnsi="Arial"/>
                <w:sz w:val="18"/>
                <w:szCs w:val="18"/>
                <w:color w:val="auto"/>
              </w:rPr>
              <w:t>[ X ]</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670"/>
              <w:spacing w:after="0"/>
              <w:rPr>
                <w:sz w:val="20"/>
                <w:szCs w:val="20"/>
                <w:color w:val="auto"/>
              </w:rPr>
            </w:pPr>
            <w:r>
              <w:rPr>
                <w:rFonts w:ascii="Arial" w:cs="Arial" w:eastAsia="Arial" w:hAnsi="Arial"/>
                <w:sz w:val="18"/>
                <w:szCs w:val="18"/>
                <w:color w:val="auto"/>
              </w:rPr>
              <w:t>]</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Southern California Gas</w:t>
            </w: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2740" w:type="dxa"/>
            <w:vAlign w:val="bottom"/>
            <w:gridSpan w:val="2"/>
          </w:tcPr>
          <w:p>
            <w:pPr>
              <w:ind w:left="340"/>
              <w:spacing w:after="0"/>
              <w:rPr>
                <w:sz w:val="20"/>
                <w:szCs w:val="20"/>
                <w:color w:val="auto"/>
              </w:rPr>
            </w:pPr>
            <w:r>
              <w:rPr>
                <w:rFonts w:ascii="Arial" w:cs="Arial" w:eastAsia="Arial" w:hAnsi="Arial"/>
                <w:sz w:val="18"/>
                <w:szCs w:val="18"/>
                <w:color w:val="auto"/>
              </w:rPr>
              <w:t>Company</w:t>
            </w:r>
          </w:p>
        </w:tc>
        <w:tc>
          <w:tcPr>
            <w:tcW w:w="580" w:type="dxa"/>
            <w:vAlign w:val="bottom"/>
          </w:tcPr>
          <w:p>
            <w:pPr>
              <w:ind w:left="4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860" w:type="dxa"/>
            <w:vAlign w:val="bottom"/>
            <w:gridSpan w:val="3"/>
          </w:tcPr>
          <w:p>
            <w:pPr>
              <w:ind w:left="640"/>
              <w:spacing w:after="0"/>
              <w:rPr>
                <w:sz w:val="20"/>
                <w:szCs w:val="20"/>
                <w:color w:val="auto"/>
              </w:rPr>
            </w:pPr>
            <w:r>
              <w:rPr>
                <w:rFonts w:ascii="Arial" w:cs="Arial" w:eastAsia="Arial" w:hAnsi="Arial"/>
                <w:sz w:val="18"/>
                <w:szCs w:val="18"/>
                <w:color w:val="auto"/>
              </w:rPr>
              <w:t>[ X ]</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670"/>
              <w:spacing w:after="0"/>
              <w:rPr>
                <w:sz w:val="20"/>
                <w:szCs w:val="20"/>
                <w:color w:val="auto"/>
              </w:rPr>
            </w:pPr>
            <w:r>
              <w:rPr>
                <w:rFonts w:ascii="Arial" w:cs="Arial" w:eastAsia="Arial" w:hAnsi="Arial"/>
                <w:sz w:val="18"/>
                <w:szCs w:val="18"/>
                <w:color w:val="auto"/>
              </w:rPr>
              <w:t>]</w:t>
            </w:r>
          </w:p>
        </w:tc>
      </w:tr>
      <w:tr>
        <w:trPr>
          <w:trHeight w:val="432"/>
        </w:trPr>
        <w:tc>
          <w:tcPr>
            <w:tcW w:w="8560" w:type="dxa"/>
            <w:vAlign w:val="bottom"/>
            <w:gridSpan w:val="8"/>
          </w:tcPr>
          <w:p>
            <w:pPr>
              <w:spacing w:after="0"/>
              <w:rPr>
                <w:sz w:val="20"/>
                <w:szCs w:val="20"/>
                <w:color w:val="auto"/>
              </w:rPr>
            </w:pPr>
            <w:r>
              <w:rPr>
                <w:rFonts w:ascii="Arial" w:cs="Arial" w:eastAsia="Arial" w:hAnsi="Arial"/>
                <w:sz w:val="18"/>
                <w:szCs w:val="18"/>
                <w:color w:val="auto"/>
                <w:w w:val="94"/>
              </w:rPr>
              <w:t>Indicate by check mark whether the registrant is a shell company (as defined in Rule 12b-2 of the Exchange Act).</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39"/>
        </w:trPr>
        <w:tc>
          <w:tcPr>
            <w:tcW w:w="2740" w:type="dxa"/>
            <w:vAlign w:val="bottom"/>
            <w:gridSpan w:val="2"/>
          </w:tcPr>
          <w:p>
            <w:pPr>
              <w:spacing w:after="0"/>
              <w:rPr>
                <w:sz w:val="20"/>
                <w:szCs w:val="20"/>
                <w:color w:val="auto"/>
              </w:rPr>
            </w:pPr>
            <w:r>
              <w:rPr>
                <w:rFonts w:ascii="Arial" w:cs="Arial" w:eastAsia="Arial" w:hAnsi="Arial"/>
                <w:sz w:val="18"/>
                <w:szCs w:val="18"/>
                <w:color w:val="auto"/>
              </w:rPr>
              <w:t>Sempra Energy</w:t>
            </w: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80" w:type="dxa"/>
            <w:vAlign w:val="bottom"/>
            <w:gridSpan w:val="2"/>
          </w:tcPr>
          <w:p>
            <w:pPr>
              <w:ind w:left="360"/>
              <w:spacing w:after="0"/>
              <w:rPr>
                <w:sz w:val="20"/>
                <w:szCs w:val="20"/>
                <w:color w:val="auto"/>
              </w:rPr>
            </w:pPr>
            <w:r>
              <w:rPr>
                <w:rFonts w:ascii="Arial" w:cs="Arial" w:eastAsia="Arial" w:hAnsi="Arial"/>
                <w:sz w:val="18"/>
                <w:szCs w:val="18"/>
                <w:color w:val="auto"/>
              </w:rPr>
              <w:t>Yes</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gridSpan w:val="2"/>
          </w:tcPr>
          <w:p>
            <w:pPr>
              <w:jc w:val="right"/>
              <w:ind w:right="370"/>
              <w:spacing w:after="0"/>
              <w:rPr>
                <w:sz w:val="20"/>
                <w:szCs w:val="20"/>
                <w:color w:val="auto"/>
              </w:rPr>
            </w:pPr>
            <w:r>
              <w:rPr>
                <w:rFonts w:ascii="Arial" w:cs="Arial" w:eastAsia="Arial" w:hAnsi="Arial"/>
                <w:sz w:val="18"/>
                <w:szCs w:val="18"/>
                <w:color w:val="auto"/>
              </w:rPr>
              <w:t>No</w:t>
            </w:r>
          </w:p>
        </w:tc>
        <w:tc>
          <w:tcPr>
            <w:tcW w:w="940" w:type="dxa"/>
            <w:vAlign w:val="bottom"/>
          </w:tcPr>
          <w:p>
            <w:pPr>
              <w:jc w:val="right"/>
              <w:ind w:right="550"/>
              <w:spacing w:after="0"/>
              <w:rPr>
                <w:sz w:val="20"/>
                <w:szCs w:val="20"/>
                <w:color w:val="auto"/>
              </w:rPr>
            </w:pPr>
            <w:r>
              <w:rPr>
                <w:rFonts w:ascii="Arial" w:cs="Arial" w:eastAsia="Arial" w:hAnsi="Arial"/>
                <w:sz w:val="18"/>
                <w:szCs w:val="18"/>
                <w:color w:val="auto"/>
              </w:rPr>
              <w:t>X</w:t>
            </w:r>
          </w:p>
        </w:tc>
      </w:tr>
      <w:tr>
        <w:trPr>
          <w:trHeight w:val="223"/>
        </w:trPr>
        <w:tc>
          <w:tcPr>
            <w:tcW w:w="2740" w:type="dxa"/>
            <w:vAlign w:val="bottom"/>
            <w:gridSpan w:val="2"/>
          </w:tcPr>
          <w:p>
            <w:pPr>
              <w:spacing w:after="0"/>
              <w:rPr>
                <w:sz w:val="20"/>
                <w:szCs w:val="20"/>
                <w:color w:val="auto"/>
              </w:rPr>
            </w:pPr>
            <w:r>
              <w:rPr>
                <w:rFonts w:ascii="Arial" w:cs="Arial" w:eastAsia="Arial" w:hAnsi="Arial"/>
                <w:sz w:val="18"/>
                <w:szCs w:val="18"/>
                <w:color w:val="auto"/>
                <w:w w:val="95"/>
              </w:rPr>
              <w:t>San Diego Gas &amp; Electric Company</w:t>
            </w:r>
          </w:p>
        </w:tc>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ind w:left="360"/>
              <w:spacing w:after="0"/>
              <w:rPr>
                <w:sz w:val="20"/>
                <w:szCs w:val="20"/>
                <w:color w:val="auto"/>
              </w:rPr>
            </w:pPr>
            <w:r>
              <w:rPr>
                <w:rFonts w:ascii="Arial" w:cs="Arial" w:eastAsia="Arial" w:hAnsi="Arial"/>
                <w:sz w:val="18"/>
                <w:szCs w:val="18"/>
                <w:color w:val="auto"/>
              </w:rPr>
              <w:t>Yes</w:t>
            </w:r>
          </w:p>
        </w:tc>
        <w:tc>
          <w:tcPr>
            <w:tcW w:w="8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No</w:t>
            </w:r>
          </w:p>
        </w:tc>
        <w:tc>
          <w:tcPr>
            <w:tcW w:w="3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X</w:t>
            </w:r>
          </w:p>
        </w:tc>
      </w:tr>
      <w:tr>
        <w:trPr>
          <w:trHeight w:val="223"/>
        </w:trPr>
        <w:tc>
          <w:tcPr>
            <w:tcW w:w="2740" w:type="dxa"/>
            <w:vAlign w:val="bottom"/>
            <w:gridSpan w:val="2"/>
          </w:tcPr>
          <w:p>
            <w:pPr>
              <w:spacing w:after="0"/>
              <w:rPr>
                <w:sz w:val="20"/>
                <w:szCs w:val="20"/>
                <w:color w:val="auto"/>
              </w:rPr>
            </w:pPr>
            <w:r>
              <w:rPr>
                <w:rFonts w:ascii="Arial" w:cs="Arial" w:eastAsia="Arial" w:hAnsi="Arial"/>
                <w:sz w:val="18"/>
                <w:szCs w:val="18"/>
                <w:color w:val="auto"/>
                <w:w w:val="99"/>
              </w:rPr>
              <w:t>Southern California Gas Company</w:t>
            </w:r>
          </w:p>
        </w:tc>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ind w:left="360"/>
              <w:spacing w:after="0"/>
              <w:rPr>
                <w:sz w:val="20"/>
                <w:szCs w:val="20"/>
                <w:color w:val="auto"/>
              </w:rPr>
            </w:pPr>
            <w:r>
              <w:rPr>
                <w:rFonts w:ascii="Arial" w:cs="Arial" w:eastAsia="Arial" w:hAnsi="Arial"/>
                <w:sz w:val="18"/>
                <w:szCs w:val="18"/>
                <w:color w:val="auto"/>
              </w:rPr>
              <w:t>Yes</w:t>
            </w:r>
          </w:p>
        </w:tc>
        <w:tc>
          <w:tcPr>
            <w:tcW w:w="8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No</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X</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ectPr>
          <w:pgSz w:w="11900" w:h="16838" w:orient="portrait"/>
          <w:cols w:equalWidth="0" w:num="1">
            <w:col w:w="11420"/>
          </w:cols>
          <w:pgMar w:left="240" w:top="976" w:right="2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Common stock outstanding on April 29, 2013: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Sempra Energy</w:t>
            </w:r>
          </w:p>
        </w:tc>
        <w:tc>
          <w:tcPr>
            <w:tcW w:w="8360" w:type="dxa"/>
            <w:vAlign w:val="bottom"/>
          </w:tcPr>
          <w:p>
            <w:pPr>
              <w:ind w:left="420"/>
              <w:spacing w:after="0"/>
              <w:rPr>
                <w:sz w:val="20"/>
                <w:szCs w:val="20"/>
                <w:color w:val="auto"/>
              </w:rPr>
            </w:pPr>
            <w:r>
              <w:rPr>
                <w:rFonts w:ascii="Arial" w:cs="Arial" w:eastAsia="Arial" w:hAnsi="Arial"/>
                <w:sz w:val="18"/>
                <w:szCs w:val="18"/>
                <w:color w:val="auto"/>
              </w:rPr>
              <w:t>243,577,278 shares</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San Diego Gas &amp; Electric Company</w:t>
            </w:r>
          </w:p>
        </w:tc>
        <w:tc>
          <w:tcPr>
            <w:tcW w:w="8360" w:type="dxa"/>
            <w:vAlign w:val="bottom"/>
          </w:tcPr>
          <w:p>
            <w:pPr>
              <w:ind w:left="420"/>
              <w:spacing w:after="0"/>
              <w:rPr>
                <w:sz w:val="20"/>
                <w:szCs w:val="20"/>
                <w:color w:val="auto"/>
              </w:rPr>
            </w:pPr>
            <w:r>
              <w:rPr>
                <w:rFonts w:ascii="Arial" w:cs="Arial" w:eastAsia="Arial" w:hAnsi="Arial"/>
                <w:sz w:val="18"/>
                <w:szCs w:val="18"/>
                <w:color w:val="auto"/>
              </w:rPr>
              <w:t>Wholly owned by Enova Corporation, which is wholly owned by Sempra Energy</w:t>
            </w: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Southern California Gas Company</w:t>
            </w:r>
          </w:p>
        </w:tc>
        <w:tc>
          <w:tcPr>
            <w:tcW w:w="8360" w:type="dxa"/>
            <w:vAlign w:val="bottom"/>
          </w:tcPr>
          <w:p>
            <w:pPr>
              <w:ind w:left="420"/>
              <w:spacing w:after="0"/>
              <w:rPr>
                <w:sz w:val="20"/>
                <w:szCs w:val="20"/>
                <w:color w:val="auto"/>
              </w:rPr>
            </w:pPr>
            <w:r>
              <w:rPr>
                <w:rFonts w:ascii="Arial" w:cs="Arial" w:eastAsia="Arial" w:hAnsi="Arial"/>
                <w:sz w:val="18"/>
                <w:szCs w:val="18"/>
                <w:color w:val="auto"/>
              </w:rPr>
              <w:t>Wholly owned by Pacific Enterprises, which is wholly owned by Sempra Energy</w:t>
            </w:r>
          </w:p>
        </w:tc>
      </w:tr>
      <w:tr>
        <w:trPr>
          <w:trHeight w:val="432"/>
        </w:trPr>
        <w:tc>
          <w:tcPr>
            <w:tcW w:w="306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spacing w:after="0"/>
              <w:rPr>
                <w:sz w:val="24"/>
                <w:szCs w:val="24"/>
                <w:color w:val="auto"/>
              </w:rPr>
            </w:pPr>
          </w:p>
        </w:tc>
      </w:tr>
      <w:tr>
        <w:trPr>
          <w:trHeight w:val="21"/>
        </w:trPr>
        <w:tc>
          <w:tcPr>
            <w:tcW w:w="3060" w:type="dxa"/>
            <w:vAlign w:val="bottom"/>
            <w:tcBorders>
              <w:bottom w:val="single" w:sz="8" w:color="auto"/>
            </w:tcBorders>
          </w:tcPr>
          <w:p>
            <w:pPr>
              <w:spacing w:after="0" w:line="20" w:lineRule="exact"/>
              <w:rPr>
                <w:sz w:val="1"/>
                <w:szCs w:val="1"/>
                <w:color w:val="auto"/>
              </w:rPr>
            </w:pPr>
          </w:p>
        </w:tc>
        <w:tc>
          <w:tcPr>
            <w:tcW w:w="8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5"/>
          <w:szCs w:val="25"/>
          <w:color w:val="auto"/>
        </w:rPr>
        <w:t>SEMPRA ENERGY FORM 10-Q</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SAN DIEGO GAS &amp; ELECTRIC COMPANY FORM 10-Q</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SOUTHERN CALIFORNIA GAS COMPANY FORM 10-Q</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TABLE OF CONTENTS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79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ind w:left="980"/>
              <w:spacing w:after="0"/>
              <w:rPr>
                <w:sz w:val="20"/>
                <w:szCs w:val="20"/>
                <w:color w:val="auto"/>
              </w:rPr>
            </w:pPr>
            <w:r>
              <w:rPr>
                <w:rFonts w:ascii="Arial" w:cs="Arial" w:eastAsia="Arial" w:hAnsi="Arial"/>
                <w:sz w:val="16"/>
                <w:szCs w:val="16"/>
                <w:i w:val="1"/>
                <w:iCs w:val="1"/>
                <w:color w:val="auto"/>
              </w:rPr>
              <w:t>Page</w:t>
            </w:r>
          </w:p>
        </w:tc>
      </w:tr>
      <w:tr>
        <w:trPr>
          <w:trHeight w:val="215"/>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6"/>
                <w:szCs w:val="16"/>
                <w:b w:val="1"/>
                <w:bCs w:val="1"/>
                <w:color w:val="auto"/>
              </w:rPr>
              <w:t>Information Regarding Forward-Looking Statements</w:t>
            </w:r>
          </w:p>
        </w:tc>
        <w:tc>
          <w:tcPr>
            <w:tcW w:w="2040" w:type="dxa"/>
            <w:vAlign w:val="bottom"/>
          </w:tcPr>
          <w:p>
            <w:pPr>
              <w:jc w:val="center"/>
              <w:ind w:left="199"/>
              <w:spacing w:after="0"/>
              <w:rPr>
                <w:sz w:val="20"/>
                <w:szCs w:val="20"/>
                <w:color w:val="auto"/>
              </w:rPr>
            </w:pPr>
            <w:r>
              <w:rPr>
                <w:rFonts w:ascii="Arial" w:cs="Arial" w:eastAsia="Arial" w:hAnsi="Arial"/>
                <w:sz w:val="16"/>
                <w:szCs w:val="16"/>
                <w:color w:val="auto"/>
                <w:w w:val="89"/>
              </w:rPr>
              <w:t>4</w:t>
            </w:r>
          </w:p>
        </w:tc>
      </w:tr>
      <w:tr>
        <w:trPr>
          <w:trHeight w:val="198"/>
        </w:trPr>
        <w:tc>
          <w:tcPr>
            <w:tcW w:w="9380" w:type="dxa"/>
            <w:vAlign w:val="bottom"/>
            <w:tcBorders>
              <w:bottom w:val="single" w:sz="8" w:color="auto"/>
            </w:tcBorders>
            <w:gridSpan w:val="3"/>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r>
      <w:tr>
        <w:trPr>
          <w:trHeight w:val="215"/>
        </w:trPr>
        <w:tc>
          <w:tcPr>
            <w:tcW w:w="9380" w:type="dxa"/>
            <w:vAlign w:val="bottom"/>
            <w:gridSpan w:val="3"/>
          </w:tcPr>
          <w:p>
            <w:pPr>
              <w:spacing w:after="0"/>
              <w:rPr>
                <w:sz w:val="20"/>
                <w:szCs w:val="20"/>
                <w:color w:val="auto"/>
              </w:rPr>
            </w:pPr>
            <w:r>
              <w:rPr>
                <w:rFonts w:ascii="Arial" w:cs="Arial" w:eastAsia="Arial" w:hAnsi="Arial"/>
                <w:sz w:val="16"/>
                <w:szCs w:val="16"/>
                <w:b w:val="1"/>
                <w:bCs w:val="1"/>
                <w:color w:val="auto"/>
              </w:rPr>
              <w:t>PART I – FINANCIAL INFORMATION</w:t>
            </w:r>
          </w:p>
        </w:tc>
        <w:tc>
          <w:tcPr>
            <w:tcW w:w="2040" w:type="dxa"/>
            <w:vAlign w:val="bottom"/>
          </w:tcPr>
          <w:p>
            <w:pPr>
              <w:spacing w:after="0"/>
              <w:rPr>
                <w:sz w:val="18"/>
                <w:szCs w:val="18"/>
                <w:color w:val="auto"/>
              </w:rPr>
            </w:pPr>
          </w:p>
        </w:tc>
      </w:tr>
      <w:tr>
        <w:trPr>
          <w:trHeight w:val="192"/>
        </w:trPr>
        <w:tc>
          <w:tcPr>
            <w:tcW w:w="1420" w:type="dxa"/>
            <w:vAlign w:val="bottom"/>
            <w:gridSpan w:val="2"/>
          </w:tcPr>
          <w:p>
            <w:pPr>
              <w:spacing w:after="0"/>
              <w:rPr>
                <w:sz w:val="20"/>
                <w:szCs w:val="20"/>
                <w:color w:val="auto"/>
              </w:rPr>
            </w:pPr>
            <w:r>
              <w:rPr>
                <w:rFonts w:ascii="Arial" w:cs="Arial" w:eastAsia="Arial" w:hAnsi="Arial"/>
                <w:sz w:val="16"/>
                <w:szCs w:val="16"/>
                <w:color w:val="auto"/>
              </w:rPr>
              <w:t>Item 1.</w:t>
            </w:r>
          </w:p>
        </w:tc>
        <w:tc>
          <w:tcPr>
            <w:tcW w:w="7960" w:type="dxa"/>
            <w:vAlign w:val="bottom"/>
          </w:tcPr>
          <w:p>
            <w:pPr>
              <w:ind w:left="620"/>
              <w:spacing w:after="0"/>
              <w:rPr>
                <w:sz w:val="20"/>
                <w:szCs w:val="20"/>
                <w:color w:val="auto"/>
              </w:rPr>
            </w:pPr>
            <w:r>
              <w:rPr>
                <w:rFonts w:ascii="Arial" w:cs="Arial" w:eastAsia="Arial" w:hAnsi="Arial"/>
                <w:sz w:val="16"/>
                <w:szCs w:val="16"/>
                <w:color w:val="auto"/>
              </w:rPr>
              <w:t>Financial Statements</w:t>
            </w:r>
          </w:p>
        </w:tc>
        <w:tc>
          <w:tcPr>
            <w:tcW w:w="2040" w:type="dxa"/>
            <w:vAlign w:val="bottom"/>
          </w:tcPr>
          <w:p>
            <w:pPr>
              <w:jc w:val="center"/>
              <w:ind w:left="199"/>
              <w:spacing w:after="0"/>
              <w:rPr>
                <w:sz w:val="20"/>
                <w:szCs w:val="20"/>
                <w:color w:val="auto"/>
              </w:rPr>
            </w:pPr>
            <w:r>
              <w:rPr>
                <w:rFonts w:ascii="Arial" w:cs="Arial" w:eastAsia="Arial" w:hAnsi="Arial"/>
                <w:sz w:val="16"/>
                <w:szCs w:val="16"/>
                <w:color w:val="auto"/>
                <w:w w:val="89"/>
              </w:rPr>
              <w:t>5</w:t>
            </w:r>
          </w:p>
        </w:tc>
      </w:tr>
      <w:tr>
        <w:trPr>
          <w:trHeight w:val="189"/>
        </w:trPr>
        <w:tc>
          <w:tcPr>
            <w:tcW w:w="1420" w:type="dxa"/>
            <w:vAlign w:val="bottom"/>
            <w:gridSpan w:val="2"/>
          </w:tcPr>
          <w:p>
            <w:pPr>
              <w:spacing w:after="0"/>
              <w:rPr>
                <w:sz w:val="20"/>
                <w:szCs w:val="20"/>
                <w:color w:val="auto"/>
              </w:rPr>
            </w:pPr>
            <w:r>
              <w:rPr>
                <w:rFonts w:ascii="Arial" w:cs="Arial" w:eastAsia="Arial" w:hAnsi="Arial"/>
                <w:sz w:val="16"/>
                <w:szCs w:val="16"/>
                <w:color w:val="auto"/>
              </w:rPr>
              <w:t>Item 2.</w:t>
            </w:r>
          </w:p>
        </w:tc>
        <w:tc>
          <w:tcPr>
            <w:tcW w:w="7960" w:type="dxa"/>
            <w:vAlign w:val="bottom"/>
          </w:tcPr>
          <w:p>
            <w:pPr>
              <w:ind w:left="62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2040" w:type="dxa"/>
            <w:vAlign w:val="bottom"/>
          </w:tcPr>
          <w:p>
            <w:pPr>
              <w:jc w:val="center"/>
              <w:ind w:left="219"/>
              <w:spacing w:after="0"/>
              <w:rPr>
                <w:sz w:val="20"/>
                <w:szCs w:val="20"/>
                <w:color w:val="auto"/>
              </w:rPr>
            </w:pPr>
            <w:r>
              <w:rPr>
                <w:rFonts w:ascii="Arial" w:cs="Arial" w:eastAsia="Arial" w:hAnsi="Arial"/>
                <w:sz w:val="16"/>
                <w:szCs w:val="16"/>
                <w:color w:val="auto"/>
              </w:rPr>
              <w:t>69</w:t>
            </w:r>
          </w:p>
        </w:tc>
      </w:tr>
      <w:tr>
        <w:trPr>
          <w:trHeight w:val="189"/>
        </w:trPr>
        <w:tc>
          <w:tcPr>
            <w:tcW w:w="1420" w:type="dxa"/>
            <w:vAlign w:val="bottom"/>
            <w:gridSpan w:val="2"/>
          </w:tcPr>
          <w:p>
            <w:pPr>
              <w:spacing w:after="0"/>
              <w:rPr>
                <w:sz w:val="20"/>
                <w:szCs w:val="20"/>
                <w:color w:val="auto"/>
              </w:rPr>
            </w:pPr>
            <w:r>
              <w:rPr>
                <w:rFonts w:ascii="Arial" w:cs="Arial" w:eastAsia="Arial" w:hAnsi="Arial"/>
                <w:sz w:val="16"/>
                <w:szCs w:val="16"/>
                <w:color w:val="auto"/>
              </w:rPr>
              <w:t>Item 3.</w:t>
            </w:r>
          </w:p>
        </w:tc>
        <w:tc>
          <w:tcPr>
            <w:tcW w:w="7960" w:type="dxa"/>
            <w:vAlign w:val="bottom"/>
          </w:tcPr>
          <w:p>
            <w:pPr>
              <w:ind w:left="620"/>
              <w:spacing w:after="0"/>
              <w:rPr>
                <w:sz w:val="20"/>
                <w:szCs w:val="20"/>
                <w:color w:val="auto"/>
              </w:rPr>
            </w:pPr>
            <w:r>
              <w:rPr>
                <w:rFonts w:ascii="Arial" w:cs="Arial" w:eastAsia="Arial" w:hAnsi="Arial"/>
                <w:sz w:val="16"/>
                <w:szCs w:val="16"/>
                <w:color w:val="auto"/>
              </w:rPr>
              <w:t>Quantitative and Qualitative Disclosures About Market Risk</w:t>
            </w:r>
          </w:p>
        </w:tc>
        <w:tc>
          <w:tcPr>
            <w:tcW w:w="2040" w:type="dxa"/>
            <w:vAlign w:val="bottom"/>
          </w:tcPr>
          <w:p>
            <w:pPr>
              <w:jc w:val="center"/>
              <w:ind w:left="199"/>
              <w:spacing w:after="0"/>
              <w:rPr>
                <w:sz w:val="20"/>
                <w:szCs w:val="20"/>
                <w:color w:val="auto"/>
              </w:rPr>
            </w:pPr>
            <w:r>
              <w:rPr>
                <w:rFonts w:ascii="Arial" w:cs="Arial" w:eastAsia="Arial" w:hAnsi="Arial"/>
                <w:sz w:val="16"/>
                <w:szCs w:val="16"/>
                <w:color w:val="auto"/>
              </w:rPr>
              <w:t>100</w:t>
            </w:r>
          </w:p>
        </w:tc>
      </w:tr>
      <w:tr>
        <w:trPr>
          <w:trHeight w:val="195"/>
        </w:trPr>
        <w:tc>
          <w:tcPr>
            <w:tcW w:w="1420" w:type="dxa"/>
            <w:vAlign w:val="bottom"/>
            <w:gridSpan w:val="2"/>
          </w:tcPr>
          <w:p>
            <w:pPr>
              <w:spacing w:after="0"/>
              <w:rPr>
                <w:sz w:val="20"/>
                <w:szCs w:val="20"/>
                <w:color w:val="auto"/>
              </w:rPr>
            </w:pPr>
            <w:r>
              <w:rPr>
                <w:rFonts w:ascii="Arial" w:cs="Arial" w:eastAsia="Arial" w:hAnsi="Arial"/>
                <w:sz w:val="16"/>
                <w:szCs w:val="16"/>
                <w:color w:val="auto"/>
              </w:rPr>
              <w:t>Item 4.</w:t>
            </w:r>
          </w:p>
        </w:tc>
        <w:tc>
          <w:tcPr>
            <w:tcW w:w="7960" w:type="dxa"/>
            <w:vAlign w:val="bottom"/>
          </w:tcPr>
          <w:p>
            <w:pPr>
              <w:ind w:left="620"/>
              <w:spacing w:after="0"/>
              <w:rPr>
                <w:sz w:val="20"/>
                <w:szCs w:val="20"/>
                <w:color w:val="auto"/>
              </w:rPr>
            </w:pPr>
            <w:r>
              <w:rPr>
                <w:rFonts w:ascii="Arial" w:cs="Arial" w:eastAsia="Arial" w:hAnsi="Arial"/>
                <w:sz w:val="16"/>
                <w:szCs w:val="16"/>
                <w:color w:val="auto"/>
              </w:rPr>
              <w:t>Controls and Procedures</w:t>
            </w:r>
          </w:p>
        </w:tc>
        <w:tc>
          <w:tcPr>
            <w:tcW w:w="2040" w:type="dxa"/>
            <w:vAlign w:val="bottom"/>
          </w:tcPr>
          <w:p>
            <w:pPr>
              <w:jc w:val="center"/>
              <w:ind w:left="199"/>
              <w:spacing w:after="0"/>
              <w:rPr>
                <w:sz w:val="20"/>
                <w:szCs w:val="20"/>
                <w:color w:val="auto"/>
              </w:rPr>
            </w:pPr>
            <w:r>
              <w:rPr>
                <w:rFonts w:ascii="Arial" w:cs="Arial" w:eastAsia="Arial" w:hAnsi="Arial"/>
                <w:sz w:val="16"/>
                <w:szCs w:val="16"/>
                <w:color w:val="auto"/>
              </w:rPr>
              <w:t>101</w:t>
            </w:r>
          </w:p>
        </w:tc>
      </w:tr>
      <w:tr>
        <w:trPr>
          <w:trHeight w:val="216"/>
        </w:trPr>
        <w:tc>
          <w:tcPr>
            <w:tcW w:w="9380" w:type="dxa"/>
            <w:vAlign w:val="bottom"/>
            <w:tcBorders>
              <w:bottom w:val="single" w:sz="8" w:color="auto"/>
            </w:tcBorders>
            <w:gridSpan w:val="3"/>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r>
      <w:tr>
        <w:trPr>
          <w:trHeight w:val="215"/>
        </w:trPr>
        <w:tc>
          <w:tcPr>
            <w:tcW w:w="9380" w:type="dxa"/>
            <w:vAlign w:val="bottom"/>
            <w:gridSpan w:val="3"/>
          </w:tcPr>
          <w:p>
            <w:pPr>
              <w:spacing w:after="0"/>
              <w:rPr>
                <w:sz w:val="20"/>
                <w:szCs w:val="20"/>
                <w:color w:val="auto"/>
              </w:rPr>
            </w:pPr>
            <w:r>
              <w:rPr>
                <w:rFonts w:ascii="Arial" w:cs="Arial" w:eastAsia="Arial" w:hAnsi="Arial"/>
                <w:sz w:val="16"/>
                <w:szCs w:val="16"/>
                <w:b w:val="1"/>
                <w:bCs w:val="1"/>
                <w:color w:val="auto"/>
              </w:rPr>
              <w:t>PART II – OTHER INFORMATION</w:t>
            </w:r>
          </w:p>
        </w:tc>
        <w:tc>
          <w:tcPr>
            <w:tcW w:w="2040" w:type="dxa"/>
            <w:vAlign w:val="bottom"/>
          </w:tcPr>
          <w:p>
            <w:pPr>
              <w:spacing w:after="0"/>
              <w:rPr>
                <w:sz w:val="18"/>
                <w:szCs w:val="18"/>
                <w:color w:val="auto"/>
              </w:rPr>
            </w:pPr>
          </w:p>
        </w:tc>
      </w:tr>
      <w:tr>
        <w:trPr>
          <w:trHeight w:val="192"/>
        </w:trPr>
        <w:tc>
          <w:tcPr>
            <w:tcW w:w="1420" w:type="dxa"/>
            <w:vAlign w:val="bottom"/>
            <w:gridSpan w:val="2"/>
          </w:tcPr>
          <w:p>
            <w:pPr>
              <w:spacing w:after="0"/>
              <w:rPr>
                <w:sz w:val="20"/>
                <w:szCs w:val="20"/>
                <w:color w:val="auto"/>
              </w:rPr>
            </w:pPr>
            <w:r>
              <w:rPr>
                <w:rFonts w:ascii="Arial" w:cs="Arial" w:eastAsia="Arial" w:hAnsi="Arial"/>
                <w:sz w:val="16"/>
                <w:szCs w:val="16"/>
                <w:color w:val="auto"/>
              </w:rPr>
              <w:t>Item 1.</w:t>
            </w:r>
          </w:p>
        </w:tc>
        <w:tc>
          <w:tcPr>
            <w:tcW w:w="7960" w:type="dxa"/>
            <w:vAlign w:val="bottom"/>
          </w:tcPr>
          <w:p>
            <w:pPr>
              <w:ind w:left="620"/>
              <w:spacing w:after="0"/>
              <w:rPr>
                <w:sz w:val="20"/>
                <w:szCs w:val="20"/>
                <w:color w:val="auto"/>
              </w:rPr>
            </w:pPr>
            <w:r>
              <w:rPr>
                <w:rFonts w:ascii="Arial" w:cs="Arial" w:eastAsia="Arial" w:hAnsi="Arial"/>
                <w:sz w:val="16"/>
                <w:szCs w:val="16"/>
                <w:color w:val="auto"/>
              </w:rPr>
              <w:t>Legal Proceedings</w:t>
            </w:r>
          </w:p>
        </w:tc>
        <w:tc>
          <w:tcPr>
            <w:tcW w:w="2040" w:type="dxa"/>
            <w:vAlign w:val="bottom"/>
          </w:tcPr>
          <w:p>
            <w:pPr>
              <w:jc w:val="center"/>
              <w:ind w:left="199"/>
              <w:spacing w:after="0"/>
              <w:rPr>
                <w:sz w:val="20"/>
                <w:szCs w:val="20"/>
                <w:color w:val="auto"/>
              </w:rPr>
            </w:pPr>
            <w:r>
              <w:rPr>
                <w:rFonts w:ascii="Arial" w:cs="Arial" w:eastAsia="Arial" w:hAnsi="Arial"/>
                <w:sz w:val="16"/>
                <w:szCs w:val="16"/>
                <w:color w:val="auto"/>
              </w:rPr>
              <w:t>102</w:t>
            </w:r>
          </w:p>
        </w:tc>
      </w:tr>
      <w:tr>
        <w:trPr>
          <w:trHeight w:val="189"/>
        </w:trPr>
        <w:tc>
          <w:tcPr>
            <w:tcW w:w="1420" w:type="dxa"/>
            <w:vAlign w:val="bottom"/>
            <w:gridSpan w:val="2"/>
          </w:tcPr>
          <w:p>
            <w:pPr>
              <w:spacing w:after="0"/>
              <w:rPr>
                <w:sz w:val="20"/>
                <w:szCs w:val="20"/>
                <w:color w:val="auto"/>
              </w:rPr>
            </w:pPr>
            <w:r>
              <w:rPr>
                <w:rFonts w:ascii="Arial" w:cs="Arial" w:eastAsia="Arial" w:hAnsi="Arial"/>
                <w:sz w:val="16"/>
                <w:szCs w:val="16"/>
                <w:color w:val="auto"/>
              </w:rPr>
              <w:t>Item 1A.</w:t>
            </w:r>
          </w:p>
        </w:tc>
        <w:tc>
          <w:tcPr>
            <w:tcW w:w="7960" w:type="dxa"/>
            <w:vAlign w:val="bottom"/>
          </w:tcPr>
          <w:p>
            <w:pPr>
              <w:ind w:left="620"/>
              <w:spacing w:after="0"/>
              <w:rPr>
                <w:sz w:val="20"/>
                <w:szCs w:val="20"/>
                <w:color w:val="auto"/>
              </w:rPr>
            </w:pPr>
            <w:r>
              <w:rPr>
                <w:rFonts w:ascii="Arial" w:cs="Arial" w:eastAsia="Arial" w:hAnsi="Arial"/>
                <w:sz w:val="16"/>
                <w:szCs w:val="16"/>
                <w:color w:val="auto"/>
              </w:rPr>
              <w:t>Risk Factors</w:t>
            </w:r>
          </w:p>
        </w:tc>
        <w:tc>
          <w:tcPr>
            <w:tcW w:w="2040" w:type="dxa"/>
            <w:vAlign w:val="bottom"/>
          </w:tcPr>
          <w:p>
            <w:pPr>
              <w:jc w:val="center"/>
              <w:ind w:left="199"/>
              <w:spacing w:after="0"/>
              <w:rPr>
                <w:sz w:val="20"/>
                <w:szCs w:val="20"/>
                <w:color w:val="auto"/>
              </w:rPr>
            </w:pPr>
            <w:r>
              <w:rPr>
                <w:rFonts w:ascii="Arial" w:cs="Arial" w:eastAsia="Arial" w:hAnsi="Arial"/>
                <w:sz w:val="16"/>
                <w:szCs w:val="16"/>
                <w:color w:val="auto"/>
              </w:rPr>
              <w:t>102</w:t>
            </w:r>
          </w:p>
        </w:tc>
      </w:tr>
      <w:tr>
        <w:trPr>
          <w:trHeight w:val="195"/>
        </w:trPr>
        <w:tc>
          <w:tcPr>
            <w:tcW w:w="1420" w:type="dxa"/>
            <w:vAlign w:val="bottom"/>
            <w:gridSpan w:val="2"/>
          </w:tcPr>
          <w:p>
            <w:pPr>
              <w:spacing w:after="0"/>
              <w:rPr>
                <w:sz w:val="20"/>
                <w:szCs w:val="20"/>
                <w:color w:val="auto"/>
              </w:rPr>
            </w:pPr>
            <w:r>
              <w:rPr>
                <w:rFonts w:ascii="Arial" w:cs="Arial" w:eastAsia="Arial" w:hAnsi="Arial"/>
                <w:sz w:val="16"/>
                <w:szCs w:val="16"/>
                <w:color w:val="auto"/>
              </w:rPr>
              <w:t>Item 6.</w:t>
            </w:r>
          </w:p>
        </w:tc>
        <w:tc>
          <w:tcPr>
            <w:tcW w:w="7960" w:type="dxa"/>
            <w:vAlign w:val="bottom"/>
          </w:tcPr>
          <w:p>
            <w:pPr>
              <w:ind w:left="620"/>
              <w:spacing w:after="0"/>
              <w:rPr>
                <w:sz w:val="20"/>
                <w:szCs w:val="20"/>
                <w:color w:val="auto"/>
              </w:rPr>
            </w:pPr>
            <w:r>
              <w:rPr>
                <w:rFonts w:ascii="Arial" w:cs="Arial" w:eastAsia="Arial" w:hAnsi="Arial"/>
                <w:sz w:val="16"/>
                <w:szCs w:val="16"/>
                <w:color w:val="auto"/>
              </w:rPr>
              <w:t>Exhibits</w:t>
            </w:r>
          </w:p>
        </w:tc>
        <w:tc>
          <w:tcPr>
            <w:tcW w:w="2040" w:type="dxa"/>
            <w:vAlign w:val="bottom"/>
          </w:tcPr>
          <w:p>
            <w:pPr>
              <w:jc w:val="center"/>
              <w:ind w:left="199"/>
              <w:spacing w:after="0"/>
              <w:rPr>
                <w:sz w:val="20"/>
                <w:szCs w:val="20"/>
                <w:color w:val="auto"/>
              </w:rPr>
            </w:pPr>
            <w:r>
              <w:rPr>
                <w:rFonts w:ascii="Arial" w:cs="Arial" w:eastAsia="Arial" w:hAnsi="Arial"/>
                <w:sz w:val="16"/>
                <w:szCs w:val="16"/>
                <w:color w:val="auto"/>
              </w:rPr>
              <w:t>102</w:t>
            </w:r>
          </w:p>
        </w:tc>
      </w:tr>
      <w:tr>
        <w:trPr>
          <w:trHeight w:val="405"/>
        </w:trPr>
        <w:tc>
          <w:tcPr>
            <w:tcW w:w="1420" w:type="dxa"/>
            <w:vAlign w:val="bottom"/>
            <w:gridSpan w:val="2"/>
          </w:tcPr>
          <w:p>
            <w:pPr>
              <w:spacing w:after="0"/>
              <w:rPr>
                <w:sz w:val="20"/>
                <w:szCs w:val="20"/>
                <w:color w:val="auto"/>
              </w:rPr>
            </w:pPr>
            <w:r>
              <w:rPr>
                <w:rFonts w:ascii="Arial" w:cs="Arial" w:eastAsia="Arial" w:hAnsi="Arial"/>
                <w:sz w:val="16"/>
                <w:szCs w:val="16"/>
                <w:color w:val="auto"/>
              </w:rPr>
              <w:t>Signatures</w:t>
            </w:r>
          </w:p>
        </w:tc>
        <w:tc>
          <w:tcPr>
            <w:tcW w:w="7960" w:type="dxa"/>
            <w:vAlign w:val="bottom"/>
          </w:tcPr>
          <w:p>
            <w:pPr>
              <w:spacing w:after="0"/>
              <w:rPr>
                <w:sz w:val="24"/>
                <w:szCs w:val="24"/>
                <w:color w:val="auto"/>
              </w:rPr>
            </w:pPr>
          </w:p>
        </w:tc>
        <w:tc>
          <w:tcPr>
            <w:tcW w:w="2040" w:type="dxa"/>
            <w:vAlign w:val="bottom"/>
          </w:tcPr>
          <w:p>
            <w:pPr>
              <w:jc w:val="center"/>
              <w:ind w:left="199"/>
              <w:spacing w:after="0"/>
              <w:rPr>
                <w:sz w:val="20"/>
                <w:szCs w:val="20"/>
                <w:color w:val="auto"/>
              </w:rPr>
            </w:pPr>
            <w:r>
              <w:rPr>
                <w:rFonts w:ascii="Arial" w:cs="Arial" w:eastAsia="Arial" w:hAnsi="Arial"/>
                <w:sz w:val="16"/>
                <w:szCs w:val="16"/>
                <w:color w:val="auto"/>
              </w:rPr>
              <w:t>105</w:t>
            </w:r>
          </w:p>
        </w:tc>
      </w:tr>
      <w:tr>
        <w:trPr>
          <w:trHeight w:val="216"/>
        </w:trPr>
        <w:tc>
          <w:tcPr>
            <w:tcW w:w="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79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r>
    </w:tbl>
    <w:p>
      <w:pPr>
        <w:spacing w:after="0" w:line="220" w:lineRule="exact"/>
        <w:rPr>
          <w:sz w:val="20"/>
          <w:szCs w:val="20"/>
          <w:color w:val="auto"/>
        </w:rPr>
      </w:pPr>
    </w:p>
    <w:p>
      <w:pPr>
        <w:ind w:left="500" w:right="420"/>
        <w:spacing w:after="0"/>
        <w:rPr>
          <w:sz w:val="20"/>
          <w:szCs w:val="20"/>
          <w:color w:val="auto"/>
        </w:rPr>
      </w:pPr>
      <w:r>
        <w:rPr>
          <w:rFonts w:ascii="Arial" w:cs="Arial" w:eastAsia="Arial" w:hAnsi="Arial"/>
          <w:sz w:val="14"/>
          <w:szCs w:val="14"/>
          <w:b w:val="1"/>
          <w:bCs w:val="1"/>
          <w:color w:val="auto"/>
        </w:rPr>
        <w:t>This combined Form 10-Q is separately filed by Sempra Energy, San Diego Gas &amp; Electric Company and Southern California Gas Company. Information contained herein relating to any individual company is filed by such company on its own behalf. Each company makes representations only as to itself and makes no other representation whatsoever as to any other company.</w:t>
      </w:r>
    </w:p>
    <w:p>
      <w:pPr>
        <w:spacing w:after="0" w:line="206" w:lineRule="exact"/>
        <w:rPr>
          <w:sz w:val="20"/>
          <w:szCs w:val="20"/>
          <w:color w:val="auto"/>
        </w:rPr>
      </w:pPr>
    </w:p>
    <w:p>
      <w:pPr>
        <w:jc w:val="both"/>
        <w:ind w:left="500" w:right="240"/>
        <w:spacing w:after="0" w:line="268" w:lineRule="auto"/>
        <w:rPr>
          <w:sz w:val="20"/>
          <w:szCs w:val="20"/>
          <w:color w:val="auto"/>
        </w:rPr>
      </w:pPr>
      <w:r>
        <w:rPr>
          <w:rFonts w:ascii="Arial" w:cs="Arial" w:eastAsia="Arial" w:hAnsi="Arial"/>
          <w:sz w:val="13"/>
          <w:szCs w:val="13"/>
          <w:b w:val="1"/>
          <w:bCs w:val="1"/>
          <w:color w:val="auto"/>
        </w:rPr>
        <w:t>You should read this report in its entirety as it pertains to each respective reporting company. No one section of the report deals with all aspects of the subject matter. Separate Part I - Item 1 sections are provided for each reporting company, except for the Notes to Condensed Consolidated Financial Statements. The Notes to Condensed Consolidated Financial Statements for all of the reporting companies are combined. All Items other than Part I – Item 1 are combined for the reporting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511175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color w:val="auto"/>
        </w:rPr>
        <w:t>INFORMATION REGARDING FORWARD-LOOKING STATEMENTS</w:t>
      </w:r>
    </w:p>
    <w:p>
      <w:pPr>
        <w:spacing w:after="0" w:line="200" w:lineRule="exact"/>
        <w:rPr>
          <w:sz w:val="20"/>
          <w:szCs w:val="20"/>
          <w:color w:val="auto"/>
        </w:rPr>
      </w:pPr>
    </w:p>
    <w:p>
      <w:pPr>
        <w:spacing w:after="0" w:line="26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make statements in this report that are not historical fact and constitute forward-looking statements within the meaning of the Private Securities Litigation Reform Act of 1995. Forward-looking statements are necessarily based upon assumptions with respect to the future, involve risks and uncertainties, and are not guarantees of performance. These forward-looking statements represent our estimates and assumptions only as of the filing date of this report. We assume no obligation to update or revise any forward-looking statement as a result of new information, future events or other factors.</w:t>
      </w:r>
    </w:p>
    <w:p>
      <w:pPr>
        <w:spacing w:after="0" w:line="18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In this report, when we use words such as “believes,” “expects,” “anticipates,” “plans,” “estimates,” “projects,” “forecasts,” “contemplates,” “intends,” “depends,” “should,” “could,” “would,” “will,” “may,” “potential,” “target,” “pursue,” “goals,” or similar expressions, or when we discuss our guidance, strategy, plans, goals, initiatives, objectives or intentions, we are making forward-looking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Factors, among others, that could cause our actual results and future actions to differ materially from those described in forward-looking statements include</w:t>
      </w:r>
    </w:p>
    <w:p>
      <w:pPr>
        <w:spacing w:after="0" w:line="275" w:lineRule="exact"/>
        <w:rPr>
          <w:sz w:val="20"/>
          <w:szCs w:val="20"/>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local, regional, national and international economic, competitive, political, legislative and regulatory conditions and developments;</w:t>
      </w:r>
    </w:p>
    <w:p>
      <w:pPr>
        <w:spacing w:after="0" w:line="252" w:lineRule="exact"/>
        <w:rPr>
          <w:rFonts w:ascii="Arial" w:cs="Arial" w:eastAsia="Arial" w:hAnsi="Arial"/>
          <w:sz w:val="18"/>
          <w:szCs w:val="18"/>
          <w:color w:val="auto"/>
        </w:rPr>
      </w:pPr>
    </w:p>
    <w:p>
      <w:pPr>
        <w:jc w:val="both"/>
        <w:ind w:left="340" w:hanging="188"/>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and the timing of actions by the California Public Utilities Commission, California State Legislature, Federal Energy Regulatory Commission, U.S. Department of Energy, Nuclear Regulatory Commission, California Energy Commission, California Air Resources Board, and other regulatory, governmental and environmental bodies in the United States and other countries in which we operate;</w:t>
      </w:r>
    </w:p>
    <w:p>
      <w:pPr>
        <w:spacing w:after="0" w:line="208"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markets conditions, including the availability of credit and the liquidity of our investments;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inflation, interest and exchange rates;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benchmark interest rates, generally Moody’s A-rated utility bond yields, on our California Utilities’ cost of capital;</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success of business development efforts and construction, maintenance and capital projects, including risks inherent in the ability to obtain, and the timing of granting of, permits, licenses, certificates and other authorizations;</w:t>
      </w:r>
    </w:p>
    <w:p>
      <w:pPr>
        <w:sectPr>
          <w:pgSz w:w="11900" w:h="16838" w:orient="portrait"/>
          <w:cols w:equalWidth="0" w:num="1">
            <w:col w:w="11420"/>
          </w:cols>
          <w:pgMar w:left="240" w:top="125" w:right="239" w:bottom="0" w:gutter="0" w:footer="0" w:header="0"/>
        </w:sectPr>
      </w:pPr>
    </w:p>
    <w:bookmarkStart w:id="2" w:name="page3"/>
    <w:bookmarkEnd w:id="2"/>
    <w:p>
      <w:pPr>
        <w:ind w:left="340" w:hanging="18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energy markets, including the timing and extent of changes and volatility in commodity prices;</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electric power, natural gas and liquefied natural gas, including disruptions caused by failures in the North American transmission grid, pipeline explosions and equipment failures;</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 conditions, natural disasters, catastrophic accidents, and conservation efforts;</w:t>
      </w:r>
    </w:p>
    <w:p>
      <w:pPr>
        <w:spacing w:after="0" w:line="252" w:lineRule="exact"/>
        <w:rPr>
          <w:rFonts w:ascii="Arial" w:cs="Arial" w:eastAsia="Arial" w:hAnsi="Arial"/>
          <w:sz w:val="18"/>
          <w:szCs w:val="18"/>
          <w:color w:val="auto"/>
        </w:rPr>
      </w:pPr>
    </w:p>
    <w:p>
      <w:pPr>
        <w:ind w:left="340" w:hanging="188"/>
        <w:spacing w:after="0" w:line="308"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inherent in nuclear power generation and radioactive materials storage, including the catastrophic release of such materials, the disallowance of the recovery of the investment in or operating costs of the generation facility due to an extended outage, and increased regulatory oversight;</w:t>
      </w:r>
    </w:p>
    <w:p>
      <w:pPr>
        <w:spacing w:after="0" w:line="173" w:lineRule="exact"/>
        <w:rPr>
          <w:rFonts w:ascii="Arial" w:cs="Arial" w:eastAsia="Arial" w:hAnsi="Arial"/>
          <w:sz w:val="17"/>
          <w:szCs w:val="17"/>
          <w:color w:val="auto"/>
        </w:rPr>
      </w:pPr>
    </w:p>
    <w:p>
      <w:pPr>
        <w:ind w:left="340" w:hanging="188"/>
        <w:spacing w:after="0"/>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posed by decisions and actions of third parties who control the operations of investments in which we do not have a controlling interest;</w:t>
      </w:r>
    </w:p>
    <w:p>
      <w:pPr>
        <w:spacing w:after="0" w:line="263" w:lineRule="exact"/>
        <w:rPr>
          <w:rFonts w:ascii="Arial" w:cs="Arial" w:eastAsia="Arial" w:hAnsi="Arial"/>
          <w:sz w:val="17"/>
          <w:szCs w:val="17"/>
          <w:color w:val="auto"/>
        </w:rPr>
      </w:pPr>
    </w:p>
    <w:p>
      <w:pPr>
        <w:ind w:left="340" w:hanging="18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wars, terrorist attacks and cybersecurity threats;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regulatory, environmental and legal decisions and requirements;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expropriation of assets by foreign governments and title and other property disputes;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on reliability of SDG&amp;E’s electric transmission and distribution system due to increased power supply from renewable energy sources;</w:t>
      </w:r>
    </w:p>
    <w:p>
      <w:pPr>
        <w:spacing w:after="0" w:line="263" w:lineRule="exact"/>
        <w:rPr>
          <w:rFonts w:ascii="Arial" w:cs="Arial" w:eastAsia="Arial" w:hAnsi="Arial"/>
          <w:sz w:val="17"/>
          <w:szCs w:val="17"/>
          <w:color w:val="auto"/>
        </w:rPr>
      </w:pPr>
    </w:p>
    <w:p>
      <w:pPr>
        <w:ind w:left="340" w:hanging="188"/>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on competitive customer rates of the growth in distributed and local power generation and the corresponding decrease in demand for power delivered through our electric transmission and distribution system;</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or determination not to enter into long-term supply and sales agreements or long-term firm capacity agreements;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resolution of litigation;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uncertainties, all of which are difficult to predict and many of which are beyond our control.</w:t>
      </w:r>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caution you not to rely unduly on any forward-looking statements. You should review and consider carefully the risks, uncertainties and other factors that affect our business as described in this report and in our Annual Report on Form 10-K and other reports that we file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3"/>
          <w:szCs w:val="23"/>
          <w:color w:val="auto"/>
        </w:rPr>
        <w:t>PART I – FINANCIAL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23"/>
          <w:szCs w:val="23"/>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246620" cy="420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040" w:type="dxa"/>
            <w:vAlign w:val="bottom"/>
          </w:tcPr>
          <w:p>
            <w:pPr>
              <w:spacing w:after="0"/>
              <w:rPr>
                <w:sz w:val="14"/>
                <w:szCs w:val="14"/>
                <w:color w:val="auto"/>
              </w:rPr>
            </w:pPr>
          </w:p>
        </w:tc>
        <w:tc>
          <w:tcPr>
            <w:tcW w:w="2800" w:type="dxa"/>
            <w:vAlign w:val="bottom"/>
            <w:tcBorders>
              <w:bottom w:val="single" w:sz="8" w:color="auto"/>
            </w:tcBorders>
            <w:gridSpan w:val="3"/>
          </w:tcPr>
          <w:p>
            <w:pPr>
              <w:jc w:val="center"/>
              <w:ind w:left="485"/>
              <w:spacing w:after="0"/>
              <w:rPr>
                <w:sz w:val="20"/>
                <w:szCs w:val="20"/>
                <w:color w:val="auto"/>
              </w:rPr>
            </w:pPr>
            <w:r>
              <w:rPr>
                <w:rFonts w:ascii="Arial" w:cs="Arial" w:eastAsia="Arial" w:hAnsi="Arial"/>
                <w:sz w:val="14"/>
                <w:szCs w:val="14"/>
                <w:color w:val="auto"/>
              </w:rPr>
              <w:t>Three months ended March 31,</w:t>
            </w:r>
          </w:p>
        </w:tc>
        <w:tc>
          <w:tcPr>
            <w:tcW w:w="580" w:type="dxa"/>
            <w:vAlign w:val="bottom"/>
            <w:tcBorders>
              <w:bottom w:val="single" w:sz="8" w:color="auto"/>
            </w:tcBorders>
          </w:tcPr>
          <w:p>
            <w:pPr>
              <w:spacing w:after="0"/>
              <w:rPr>
                <w:sz w:val="14"/>
                <w:szCs w:val="14"/>
                <w:color w:val="auto"/>
              </w:rPr>
            </w:pPr>
          </w:p>
        </w:tc>
      </w:tr>
      <w:tr>
        <w:trPr>
          <w:trHeight w:val="223"/>
        </w:trPr>
        <w:tc>
          <w:tcPr>
            <w:tcW w:w="80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2013</w:t>
            </w: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color w:val="auto"/>
              </w:rPr>
              <w:t>2012</w:t>
            </w:r>
          </w:p>
        </w:tc>
        <w:tc>
          <w:tcPr>
            <w:tcW w:w="580" w:type="dxa"/>
            <w:vAlign w:val="bottom"/>
            <w:tcBorders>
              <w:bottom w:val="single" w:sz="8" w:color="auto"/>
            </w:tcBorders>
          </w:tcPr>
          <w:p>
            <w:pPr>
              <w:spacing w:after="0"/>
              <w:rPr>
                <w:sz w:val="19"/>
                <w:szCs w:val="19"/>
                <w:color w:val="auto"/>
              </w:rPr>
            </w:pPr>
          </w:p>
        </w:tc>
      </w:tr>
      <w:tr>
        <w:trPr>
          <w:trHeight w:val="231"/>
        </w:trPr>
        <w:tc>
          <w:tcPr>
            <w:tcW w:w="8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00" w:type="dxa"/>
            <w:vAlign w:val="bottom"/>
            <w:gridSpan w:val="2"/>
          </w:tcPr>
          <w:p>
            <w:pPr>
              <w:jc w:val="center"/>
              <w:ind w:right="463"/>
              <w:spacing w:after="0"/>
              <w:rPr>
                <w:sz w:val="20"/>
                <w:szCs w:val="20"/>
                <w:color w:val="auto"/>
              </w:rPr>
            </w:pPr>
            <w:r>
              <w:rPr>
                <w:rFonts w:ascii="Arial" w:cs="Arial" w:eastAsia="Arial" w:hAnsi="Arial"/>
                <w:sz w:val="14"/>
                <w:szCs w:val="14"/>
                <w:color w:val="auto"/>
              </w:rPr>
              <w:t>(unaudited)</w:t>
            </w:r>
          </w:p>
        </w:tc>
        <w:tc>
          <w:tcPr>
            <w:tcW w:w="580" w:type="dxa"/>
            <w:vAlign w:val="bottom"/>
          </w:tcPr>
          <w:p>
            <w:pPr>
              <w:spacing w:after="0"/>
              <w:rPr>
                <w:sz w:val="20"/>
                <w:szCs w:val="20"/>
                <w:color w:val="auto"/>
              </w:rPr>
            </w:pPr>
          </w:p>
        </w:tc>
      </w:tr>
      <w:tr>
        <w:trPr>
          <w:trHeight w:val="203"/>
        </w:trPr>
        <w:tc>
          <w:tcPr>
            <w:tcW w:w="8040" w:type="dxa"/>
            <w:vAlign w:val="bottom"/>
          </w:tcPr>
          <w:p>
            <w:pPr>
              <w:spacing w:after="0"/>
              <w:rPr>
                <w:sz w:val="20"/>
                <w:szCs w:val="20"/>
                <w:color w:val="auto"/>
              </w:rPr>
            </w:pPr>
            <w:r>
              <w:rPr>
                <w:rFonts w:ascii="Arial" w:cs="Arial" w:eastAsia="Arial" w:hAnsi="Arial"/>
                <w:sz w:val="16"/>
                <w:szCs w:val="16"/>
                <w:color w:val="auto"/>
              </w:rPr>
              <w:t>REVENUES</w:t>
            </w: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5"/>
        </w:trPr>
        <w:tc>
          <w:tcPr>
            <w:tcW w:w="8040" w:type="dxa"/>
            <w:vAlign w:val="bottom"/>
          </w:tcPr>
          <w:p>
            <w:pPr>
              <w:spacing w:after="0"/>
              <w:rPr>
                <w:sz w:val="20"/>
                <w:szCs w:val="20"/>
                <w:color w:val="auto"/>
              </w:rPr>
            </w:pPr>
            <w:r>
              <w:rPr>
                <w:rFonts w:ascii="Arial" w:cs="Arial" w:eastAsia="Arial" w:hAnsi="Arial"/>
                <w:sz w:val="16"/>
                <w:szCs w:val="16"/>
                <w:color w:val="auto"/>
              </w:rPr>
              <w:t>Utilities</w:t>
            </w:r>
          </w:p>
        </w:tc>
        <w:tc>
          <w:tcPr>
            <w:tcW w:w="1100" w:type="dxa"/>
            <w:vAlign w:val="bottom"/>
          </w:tcPr>
          <w:p>
            <w:pPr>
              <w:jc w:val="right"/>
              <w:ind w:right="845"/>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2,334</w:t>
            </w:r>
          </w:p>
        </w:tc>
        <w:tc>
          <w:tcPr>
            <w:tcW w:w="1060" w:type="dxa"/>
            <w:vAlign w:val="bottom"/>
          </w:tcPr>
          <w:p>
            <w:pPr>
              <w:jc w:val="right"/>
              <w:ind w:right="843"/>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2,091</w:t>
            </w:r>
          </w:p>
        </w:tc>
      </w:tr>
      <w:tr>
        <w:trPr>
          <w:trHeight w:val="216"/>
        </w:trPr>
        <w:tc>
          <w:tcPr>
            <w:tcW w:w="8040" w:type="dxa"/>
            <w:vAlign w:val="bottom"/>
          </w:tcPr>
          <w:p>
            <w:pPr>
              <w:spacing w:after="0"/>
              <w:rPr>
                <w:sz w:val="20"/>
                <w:szCs w:val="20"/>
                <w:color w:val="auto"/>
              </w:rPr>
            </w:pPr>
            <w:r>
              <w:rPr>
                <w:rFonts w:ascii="Arial" w:cs="Arial" w:eastAsia="Arial" w:hAnsi="Arial"/>
                <w:sz w:val="16"/>
                <w:szCs w:val="16"/>
                <w:color w:val="auto"/>
              </w:rPr>
              <w:t>Energy-related businesses</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316</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r>
      <w:tr>
        <w:trPr>
          <w:trHeight w:val="224"/>
        </w:trPr>
        <w:tc>
          <w:tcPr>
            <w:tcW w:w="8040" w:type="dxa"/>
            <w:vAlign w:val="bottom"/>
          </w:tcPr>
          <w:p>
            <w:pPr>
              <w:ind w:left="180"/>
              <w:spacing w:after="0"/>
              <w:rPr>
                <w:sz w:val="20"/>
                <w:szCs w:val="20"/>
                <w:color w:val="auto"/>
              </w:rPr>
            </w:pPr>
            <w:r>
              <w:rPr>
                <w:rFonts w:ascii="Arial" w:cs="Arial" w:eastAsia="Arial" w:hAnsi="Arial"/>
                <w:sz w:val="16"/>
                <w:szCs w:val="16"/>
                <w:color w:val="auto"/>
              </w:rPr>
              <w:t>Total revenues</w:t>
            </w:r>
          </w:p>
        </w:tc>
        <w:tc>
          <w:tcPr>
            <w:tcW w:w="110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2,650</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2,383</w:t>
            </w:r>
          </w:p>
        </w:tc>
      </w:tr>
      <w:tr>
        <w:trPr>
          <w:trHeight w:val="216"/>
        </w:trPr>
        <w:tc>
          <w:tcPr>
            <w:tcW w:w="8040" w:type="dxa"/>
            <w:vAlign w:val="bottom"/>
          </w:tcPr>
          <w:p>
            <w:pPr>
              <w:spacing w:after="0"/>
              <w:rPr>
                <w:sz w:val="20"/>
                <w:szCs w:val="20"/>
                <w:color w:val="auto"/>
              </w:rPr>
            </w:pPr>
            <w:r>
              <w:rPr>
                <w:rFonts w:ascii="Arial" w:cs="Arial" w:eastAsia="Arial" w:hAnsi="Arial"/>
                <w:sz w:val="16"/>
                <w:szCs w:val="16"/>
                <w:color w:val="auto"/>
              </w:rPr>
              <w:t>EXPENSES AND OTHER INCOME</w:t>
            </w: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6"/>
                <w:szCs w:val="16"/>
                <w:color w:val="auto"/>
              </w:rPr>
              <w:t>Utilities:</w:t>
            </w: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8040" w:type="dxa"/>
            <w:vAlign w:val="bottom"/>
          </w:tcPr>
          <w:p>
            <w:pPr>
              <w:ind w:left="180"/>
              <w:spacing w:after="0"/>
              <w:rPr>
                <w:sz w:val="20"/>
                <w:szCs w:val="20"/>
                <w:color w:val="auto"/>
              </w:rPr>
            </w:pPr>
            <w:r>
              <w:rPr>
                <w:rFonts w:ascii="Arial" w:cs="Arial" w:eastAsia="Arial" w:hAnsi="Arial"/>
                <w:sz w:val="16"/>
                <w:szCs w:val="16"/>
                <w:color w:val="auto"/>
              </w:rPr>
              <w:t>Cost of natural gas</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(556)</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(431)</w:t>
            </w:r>
          </w:p>
        </w:tc>
      </w:tr>
      <w:tr>
        <w:trPr>
          <w:trHeight w:val="216"/>
        </w:trPr>
        <w:tc>
          <w:tcPr>
            <w:tcW w:w="8040" w:type="dxa"/>
            <w:vAlign w:val="bottom"/>
          </w:tcPr>
          <w:p>
            <w:pPr>
              <w:ind w:left="180"/>
              <w:spacing w:after="0"/>
              <w:rPr>
                <w:sz w:val="20"/>
                <w:szCs w:val="20"/>
                <w:color w:val="auto"/>
              </w:rPr>
            </w:pPr>
            <w:r>
              <w:rPr>
                <w:rFonts w:ascii="Arial" w:cs="Arial" w:eastAsia="Arial" w:hAnsi="Arial"/>
                <w:sz w:val="16"/>
                <w:szCs w:val="16"/>
                <w:color w:val="auto"/>
              </w:rPr>
              <w:t>Cost of electric fuel and purchased power</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(447)</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(388)</w:t>
            </w:r>
          </w:p>
        </w:tc>
      </w:tr>
      <w:tr>
        <w:trPr>
          <w:trHeight w:val="216"/>
        </w:trPr>
        <w:tc>
          <w:tcPr>
            <w:tcW w:w="8040" w:type="dxa"/>
            <w:vAlign w:val="bottom"/>
          </w:tcPr>
          <w:p>
            <w:pPr>
              <w:spacing w:after="0"/>
              <w:rPr>
                <w:sz w:val="20"/>
                <w:szCs w:val="20"/>
                <w:color w:val="auto"/>
              </w:rPr>
            </w:pPr>
            <w:r>
              <w:rPr>
                <w:rFonts w:ascii="Arial" w:cs="Arial" w:eastAsia="Arial" w:hAnsi="Arial"/>
                <w:sz w:val="16"/>
                <w:szCs w:val="16"/>
                <w:color w:val="auto"/>
              </w:rPr>
              <w:t>Energy-related businesses:</w:t>
            </w: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8040" w:type="dxa"/>
            <w:vAlign w:val="bottom"/>
          </w:tcPr>
          <w:p>
            <w:pPr>
              <w:ind w:left="180"/>
              <w:spacing w:after="0"/>
              <w:rPr>
                <w:sz w:val="20"/>
                <w:szCs w:val="20"/>
                <w:color w:val="auto"/>
              </w:rPr>
            </w:pPr>
            <w:r>
              <w:rPr>
                <w:rFonts w:ascii="Arial" w:cs="Arial" w:eastAsia="Arial" w:hAnsi="Arial"/>
                <w:sz w:val="16"/>
                <w:szCs w:val="16"/>
                <w:color w:val="auto"/>
              </w:rPr>
              <w:t>Cost of natural gas, electric fuel and purchased power</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(111)</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16"/>
        </w:trPr>
        <w:tc>
          <w:tcPr>
            <w:tcW w:w="8040" w:type="dxa"/>
            <w:vAlign w:val="bottom"/>
          </w:tcPr>
          <w:p>
            <w:pPr>
              <w:ind w:left="180"/>
              <w:spacing w:after="0"/>
              <w:rPr>
                <w:sz w:val="20"/>
                <w:szCs w:val="20"/>
                <w:color w:val="auto"/>
              </w:rPr>
            </w:pPr>
            <w:r>
              <w:rPr>
                <w:rFonts w:ascii="Arial" w:cs="Arial" w:eastAsia="Arial" w:hAnsi="Arial"/>
                <w:sz w:val="16"/>
                <w:szCs w:val="16"/>
                <w:color w:val="auto"/>
              </w:rPr>
              <w:t>Other cost of sales</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(48)</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6"/>
        </w:trPr>
        <w:tc>
          <w:tcPr>
            <w:tcW w:w="8040" w:type="dxa"/>
            <w:vAlign w:val="bottom"/>
          </w:tcPr>
          <w:p>
            <w:pPr>
              <w:spacing w:after="0"/>
              <w:rPr>
                <w:sz w:val="20"/>
                <w:szCs w:val="20"/>
                <w:color w:val="auto"/>
              </w:rPr>
            </w:pPr>
            <w:r>
              <w:rPr>
                <w:rFonts w:ascii="Arial" w:cs="Arial" w:eastAsia="Arial" w:hAnsi="Arial"/>
                <w:sz w:val="16"/>
                <w:szCs w:val="16"/>
                <w:color w:val="auto"/>
              </w:rPr>
              <w:t>Operation and maintenance</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(724)</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(671)</w:t>
            </w:r>
          </w:p>
        </w:tc>
      </w:tr>
      <w:tr>
        <w:trPr>
          <w:trHeight w:val="216"/>
        </w:trPr>
        <w:tc>
          <w:tcPr>
            <w:tcW w:w="80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(295)</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(257)</w:t>
            </w:r>
          </w:p>
        </w:tc>
      </w:tr>
      <w:tr>
        <w:trPr>
          <w:trHeight w:val="216"/>
        </w:trPr>
        <w:tc>
          <w:tcPr>
            <w:tcW w:w="8040" w:type="dxa"/>
            <w:vAlign w:val="bottom"/>
          </w:tcPr>
          <w:p>
            <w:pPr>
              <w:spacing w:after="0"/>
              <w:rPr>
                <w:sz w:val="20"/>
                <w:szCs w:val="20"/>
                <w:color w:val="auto"/>
              </w:rPr>
            </w:pPr>
            <w:r>
              <w:rPr>
                <w:rFonts w:ascii="Arial" w:cs="Arial" w:eastAsia="Arial" w:hAnsi="Arial"/>
                <w:sz w:val="16"/>
                <w:szCs w:val="16"/>
                <w:color w:val="auto"/>
              </w:rPr>
              <w:t>Franchise fees and other taxes</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(106)</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16"/>
        </w:trPr>
        <w:tc>
          <w:tcPr>
            <w:tcW w:w="8040" w:type="dxa"/>
            <w:vAlign w:val="bottom"/>
          </w:tcPr>
          <w:p>
            <w:pPr>
              <w:spacing w:after="0"/>
              <w:rPr>
                <w:sz w:val="20"/>
                <w:szCs w:val="20"/>
                <w:color w:val="auto"/>
              </w:rPr>
            </w:pPr>
            <w:r>
              <w:rPr>
                <w:rFonts w:ascii="Arial" w:cs="Arial" w:eastAsia="Arial" w:hAnsi="Arial"/>
                <w:sz w:val="16"/>
                <w:szCs w:val="16"/>
                <w:color w:val="auto"/>
              </w:rPr>
              <w:t>Gain on sale of asset</w:t>
            </w:r>
          </w:p>
        </w:tc>
        <w:tc>
          <w:tcPr>
            <w:tcW w:w="110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040" w:type="dxa"/>
            <w:vAlign w:val="bottom"/>
          </w:tcPr>
          <w:p>
            <w:pPr>
              <w:spacing w:after="0"/>
              <w:rPr>
                <w:sz w:val="20"/>
                <w:szCs w:val="20"/>
                <w:color w:val="auto"/>
              </w:rPr>
            </w:pPr>
            <w:r>
              <w:rPr>
                <w:rFonts w:ascii="Arial" w:cs="Arial" w:eastAsia="Arial" w:hAnsi="Arial"/>
                <w:sz w:val="16"/>
                <w:szCs w:val="16"/>
                <w:color w:val="auto"/>
              </w:rPr>
              <w:t>Equity earnings, before income tax</w:t>
            </w:r>
          </w:p>
        </w:tc>
        <w:tc>
          <w:tcPr>
            <w:tcW w:w="110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8040" w:type="dxa"/>
            <w:vAlign w:val="bottom"/>
          </w:tcPr>
          <w:p>
            <w:pPr>
              <w:spacing w:after="0"/>
              <w:rPr>
                <w:sz w:val="20"/>
                <w:szCs w:val="20"/>
                <w:color w:val="auto"/>
              </w:rPr>
            </w:pPr>
            <w:r>
              <w:rPr>
                <w:rFonts w:ascii="Arial" w:cs="Arial" w:eastAsia="Arial" w:hAnsi="Arial"/>
                <w:sz w:val="16"/>
                <w:szCs w:val="16"/>
                <w:color w:val="auto"/>
              </w:rPr>
              <w:t>Other income, net</w:t>
            </w:r>
          </w:p>
        </w:tc>
        <w:tc>
          <w:tcPr>
            <w:tcW w:w="110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16"/>
        </w:trPr>
        <w:tc>
          <w:tcPr>
            <w:tcW w:w="8040" w:type="dxa"/>
            <w:vAlign w:val="bottom"/>
          </w:tcPr>
          <w:p>
            <w:pPr>
              <w:spacing w:after="0"/>
              <w:rPr>
                <w:sz w:val="20"/>
                <w:szCs w:val="20"/>
                <w:color w:val="auto"/>
              </w:rPr>
            </w:pPr>
            <w:r>
              <w:rPr>
                <w:rFonts w:ascii="Arial" w:cs="Arial" w:eastAsia="Arial" w:hAnsi="Arial"/>
                <w:sz w:val="16"/>
                <w:szCs w:val="16"/>
                <w:color w:val="auto"/>
              </w:rPr>
              <w:t>Interest income</w:t>
            </w:r>
          </w:p>
        </w:tc>
        <w:tc>
          <w:tcPr>
            <w:tcW w:w="110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8040" w:type="dxa"/>
            <w:vAlign w:val="bottom"/>
          </w:tcPr>
          <w:p>
            <w:pPr>
              <w:spacing w:after="0"/>
              <w:rPr>
                <w:sz w:val="20"/>
                <w:szCs w:val="20"/>
                <w:color w:val="auto"/>
              </w:rPr>
            </w:pPr>
            <w:r>
              <w:rPr>
                <w:rFonts w:ascii="Arial" w:cs="Arial" w:eastAsia="Arial" w:hAnsi="Arial"/>
                <w:sz w:val="16"/>
                <w:szCs w:val="16"/>
                <w:color w:val="auto"/>
              </w:rPr>
              <w:t>Interest expense</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r>
      <w:tr>
        <w:trPr>
          <w:trHeight w:val="224"/>
        </w:trPr>
        <w:tc>
          <w:tcPr>
            <w:tcW w:w="8040" w:type="dxa"/>
            <w:vAlign w:val="bottom"/>
          </w:tcPr>
          <w:p>
            <w:pPr>
              <w:spacing w:after="0"/>
              <w:rPr>
                <w:sz w:val="20"/>
                <w:szCs w:val="20"/>
                <w:color w:val="auto"/>
              </w:rPr>
            </w:pPr>
            <w:r>
              <w:rPr>
                <w:rFonts w:ascii="Arial" w:cs="Arial" w:eastAsia="Arial" w:hAnsi="Arial"/>
                <w:sz w:val="16"/>
                <w:szCs w:val="16"/>
                <w:color w:val="auto"/>
              </w:rPr>
              <w:t>Income before income taxes and equity earnings</w:t>
            </w: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6"/>
        </w:trPr>
        <w:tc>
          <w:tcPr>
            <w:tcW w:w="8040" w:type="dxa"/>
            <w:vAlign w:val="bottom"/>
          </w:tcPr>
          <w:p>
            <w:pPr>
              <w:ind w:left="180"/>
              <w:spacing w:after="0"/>
              <w:rPr>
                <w:sz w:val="20"/>
                <w:szCs w:val="20"/>
                <w:color w:val="auto"/>
              </w:rPr>
            </w:pPr>
            <w:r>
              <w:rPr>
                <w:rFonts w:ascii="Arial" w:cs="Arial" w:eastAsia="Arial" w:hAnsi="Arial"/>
                <w:sz w:val="16"/>
                <w:szCs w:val="16"/>
                <w:color w:val="auto"/>
              </w:rPr>
              <w:t>of certain unconsolidated subsidiaries</w:t>
            </w:r>
          </w:p>
        </w:tc>
        <w:tc>
          <w:tcPr>
            <w:tcW w:w="110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352</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357</w:t>
            </w:r>
          </w:p>
        </w:tc>
      </w:tr>
      <w:tr>
        <w:trPr>
          <w:trHeight w:val="216"/>
        </w:trPr>
        <w:tc>
          <w:tcPr>
            <w:tcW w:w="8040" w:type="dxa"/>
            <w:vAlign w:val="bottom"/>
          </w:tcPr>
          <w:p>
            <w:pPr>
              <w:spacing w:after="0"/>
              <w:rPr>
                <w:sz w:val="20"/>
                <w:szCs w:val="20"/>
                <w:color w:val="auto"/>
              </w:rPr>
            </w:pPr>
            <w:r>
              <w:rPr>
                <w:rFonts w:ascii="Arial" w:cs="Arial" w:eastAsia="Arial" w:hAnsi="Arial"/>
                <w:sz w:val="16"/>
                <w:szCs w:val="16"/>
                <w:color w:val="auto"/>
              </w:rPr>
              <w:t>Income tax expense</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(178)</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16"/>
        </w:trPr>
        <w:tc>
          <w:tcPr>
            <w:tcW w:w="8040" w:type="dxa"/>
            <w:vAlign w:val="bottom"/>
          </w:tcPr>
          <w:p>
            <w:pPr>
              <w:spacing w:after="0"/>
              <w:rPr>
                <w:sz w:val="20"/>
                <w:szCs w:val="20"/>
                <w:color w:val="auto"/>
              </w:rPr>
            </w:pPr>
            <w:r>
              <w:rPr>
                <w:rFonts w:ascii="Arial" w:cs="Arial" w:eastAsia="Arial" w:hAnsi="Arial"/>
                <w:sz w:val="16"/>
                <w:szCs w:val="16"/>
                <w:color w:val="auto"/>
              </w:rPr>
              <w:t>Equity earnings, net of income tax</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24"/>
        </w:trPr>
        <w:tc>
          <w:tcPr>
            <w:tcW w:w="8040" w:type="dxa"/>
            <w:vAlign w:val="bottom"/>
          </w:tcPr>
          <w:p>
            <w:pPr>
              <w:spacing w:after="0"/>
              <w:rPr>
                <w:sz w:val="20"/>
                <w:szCs w:val="20"/>
                <w:color w:val="auto"/>
              </w:rPr>
            </w:pPr>
            <w:r>
              <w:rPr>
                <w:rFonts w:ascii="Arial" w:cs="Arial" w:eastAsia="Arial" w:hAnsi="Arial"/>
                <w:sz w:val="16"/>
                <w:szCs w:val="16"/>
                <w:color w:val="auto"/>
              </w:rPr>
              <w:t>Net income</w:t>
            </w:r>
          </w:p>
        </w:tc>
        <w:tc>
          <w:tcPr>
            <w:tcW w:w="110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251</w:t>
            </w:r>
          </w:p>
        </w:tc>
      </w:tr>
    </w:tbl>
    <w:p>
      <w:pPr>
        <w:sectPr>
          <w:pgSz w:w="11900" w:h="16838" w:orient="portrait"/>
          <w:cols w:equalWidth="0" w:num="1">
            <w:col w:w="11420"/>
          </w:cols>
          <w:pgMar w:left="240" w:top="125"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40" w:type="dxa"/>
            <w:vAlign w:val="bottom"/>
          </w:tcPr>
          <w:p>
            <w:pPr>
              <w:spacing w:after="0"/>
              <w:rPr>
                <w:sz w:val="20"/>
                <w:szCs w:val="20"/>
                <w:color w:val="auto"/>
              </w:rPr>
            </w:pPr>
            <w:r>
              <w:rPr>
                <w:rFonts w:ascii="Arial" w:cs="Arial" w:eastAsia="Arial" w:hAnsi="Arial"/>
                <w:sz w:val="16"/>
                <w:szCs w:val="16"/>
                <w:color w:val="auto"/>
              </w:rPr>
              <w:t>Losses (earnings) attributable to noncontrolling interests</w:t>
            </w:r>
          </w:p>
        </w:tc>
        <w:tc>
          <w:tcPr>
            <w:tcW w:w="6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6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43"/>
        </w:trPr>
        <w:tc>
          <w:tcPr>
            <w:tcW w:w="8040" w:type="dxa"/>
            <w:vAlign w:val="bottom"/>
          </w:tcPr>
          <w:p>
            <w:pPr>
              <w:spacing w:after="0"/>
              <w:rPr>
                <w:sz w:val="20"/>
                <w:szCs w:val="20"/>
                <w:color w:val="auto"/>
              </w:rPr>
            </w:pPr>
            <w:r>
              <w:rPr>
                <w:rFonts w:ascii="Arial" w:cs="Arial" w:eastAsia="Arial" w:hAnsi="Arial"/>
                <w:sz w:val="16"/>
                <w:szCs w:val="16"/>
                <w:color w:val="auto"/>
              </w:rPr>
              <w:t>Preferred dividends of subsidiaries</w:t>
            </w:r>
          </w:p>
        </w:tc>
        <w:tc>
          <w:tcPr>
            <w:tcW w:w="6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6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89"/>
        </w:trPr>
        <w:tc>
          <w:tcPr>
            <w:tcW w:w="8040" w:type="dxa"/>
            <w:vAlign w:val="bottom"/>
          </w:tcPr>
          <w:p>
            <w:pPr>
              <w:spacing w:after="0" w:line="183" w:lineRule="exact"/>
              <w:rPr>
                <w:sz w:val="20"/>
                <w:szCs w:val="20"/>
                <w:color w:val="auto"/>
              </w:rPr>
            </w:pPr>
            <w:r>
              <w:rPr>
                <w:rFonts w:ascii="Arial" w:cs="Arial" w:eastAsia="Arial" w:hAnsi="Arial"/>
                <w:sz w:val="16"/>
                <w:szCs w:val="16"/>
                <w:color w:val="auto"/>
              </w:rPr>
              <w:t>Earnings</w:t>
            </w:r>
          </w:p>
        </w:tc>
        <w:tc>
          <w:tcPr>
            <w:tcW w:w="6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6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r>
      <w:tr>
        <w:trPr>
          <w:trHeight w:val="21"/>
        </w:trPr>
        <w:tc>
          <w:tcPr>
            <w:tcW w:w="80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99"/>
        </w:trPr>
        <w:tc>
          <w:tcPr>
            <w:tcW w:w="8040" w:type="dxa"/>
            <w:vAlign w:val="bottom"/>
          </w:tcPr>
          <w:p>
            <w:pPr>
              <w:spacing w:after="0"/>
              <w:rPr>
                <w:sz w:val="20"/>
                <w:szCs w:val="20"/>
                <w:color w:val="auto"/>
              </w:rPr>
            </w:pPr>
            <w:r>
              <w:rPr>
                <w:rFonts w:ascii="Arial" w:cs="Arial" w:eastAsia="Arial" w:hAnsi="Arial"/>
                <w:sz w:val="16"/>
                <w:szCs w:val="16"/>
                <w:color w:val="auto"/>
              </w:rPr>
              <w:t>Basic earnings per common share</w:t>
            </w:r>
          </w:p>
        </w:tc>
        <w:tc>
          <w:tcPr>
            <w:tcW w:w="6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0.73</w:t>
            </w:r>
          </w:p>
        </w:tc>
        <w:tc>
          <w:tcPr>
            <w:tcW w:w="6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0.98</w:t>
            </w:r>
          </w:p>
        </w:tc>
      </w:tr>
      <w:tr>
        <w:trPr>
          <w:trHeight w:val="21"/>
        </w:trPr>
        <w:tc>
          <w:tcPr>
            <w:tcW w:w="80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0"/>
        </w:trPr>
        <w:tc>
          <w:tcPr>
            <w:tcW w:w="8040" w:type="dxa"/>
            <w:vAlign w:val="bottom"/>
          </w:tcPr>
          <w:p>
            <w:pPr>
              <w:spacing w:after="0"/>
              <w:rPr>
                <w:sz w:val="20"/>
                <w:szCs w:val="20"/>
                <w:color w:val="auto"/>
              </w:rPr>
            </w:pPr>
            <w:r>
              <w:rPr>
                <w:rFonts w:ascii="Arial" w:cs="Arial" w:eastAsia="Arial" w:hAnsi="Arial"/>
                <w:sz w:val="16"/>
                <w:szCs w:val="16"/>
                <w:color w:val="auto"/>
              </w:rPr>
              <w:t>Weighted-average number of shares outstanding, basic (thousands)</w:t>
            </w: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243,294</w:t>
            </w: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240,566</w:t>
            </w:r>
          </w:p>
        </w:tc>
      </w:tr>
      <w:tr>
        <w:trPr>
          <w:trHeight w:val="21"/>
        </w:trPr>
        <w:tc>
          <w:tcPr>
            <w:tcW w:w="80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99"/>
        </w:trPr>
        <w:tc>
          <w:tcPr>
            <w:tcW w:w="8040" w:type="dxa"/>
            <w:vAlign w:val="bottom"/>
          </w:tcPr>
          <w:p>
            <w:pPr>
              <w:spacing w:after="0"/>
              <w:rPr>
                <w:sz w:val="20"/>
                <w:szCs w:val="20"/>
                <w:color w:val="auto"/>
              </w:rPr>
            </w:pPr>
            <w:r>
              <w:rPr>
                <w:rFonts w:ascii="Arial" w:cs="Arial" w:eastAsia="Arial" w:hAnsi="Arial"/>
                <w:sz w:val="16"/>
                <w:szCs w:val="16"/>
                <w:color w:val="auto"/>
              </w:rPr>
              <w:t>Diluted earnings per common share</w:t>
            </w:r>
          </w:p>
        </w:tc>
        <w:tc>
          <w:tcPr>
            <w:tcW w:w="6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0.72</w:t>
            </w:r>
          </w:p>
        </w:tc>
        <w:tc>
          <w:tcPr>
            <w:tcW w:w="6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0.97</w:t>
            </w:r>
          </w:p>
        </w:tc>
      </w:tr>
      <w:tr>
        <w:trPr>
          <w:trHeight w:val="21"/>
        </w:trPr>
        <w:tc>
          <w:tcPr>
            <w:tcW w:w="80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0"/>
        </w:trPr>
        <w:tc>
          <w:tcPr>
            <w:tcW w:w="8040" w:type="dxa"/>
            <w:vAlign w:val="bottom"/>
          </w:tcPr>
          <w:p>
            <w:pPr>
              <w:spacing w:after="0"/>
              <w:rPr>
                <w:sz w:val="20"/>
                <w:szCs w:val="20"/>
                <w:color w:val="auto"/>
              </w:rPr>
            </w:pPr>
            <w:r>
              <w:rPr>
                <w:rFonts w:ascii="Arial" w:cs="Arial" w:eastAsia="Arial" w:hAnsi="Arial"/>
                <w:sz w:val="16"/>
                <w:szCs w:val="16"/>
                <w:color w:val="auto"/>
              </w:rPr>
              <w:t>Weighted-average number of shares outstanding, diluted (thousands)</w:t>
            </w: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247,534</w:t>
            </w: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243,761</w:t>
            </w:r>
          </w:p>
        </w:tc>
      </w:tr>
      <w:tr>
        <w:trPr>
          <w:trHeight w:val="21"/>
        </w:trPr>
        <w:tc>
          <w:tcPr>
            <w:tcW w:w="80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26"/>
        </w:trPr>
        <w:tc>
          <w:tcPr>
            <w:tcW w:w="8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Dividends declared per share of common stock</w:t>
            </w:r>
          </w:p>
        </w:tc>
        <w:tc>
          <w:tcPr>
            <w:tcW w:w="6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0.63</w:t>
            </w:r>
          </w:p>
        </w:tc>
        <w:tc>
          <w:tcPr>
            <w:tcW w:w="6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0.60</w:t>
            </w:r>
          </w:p>
        </w:tc>
      </w:tr>
      <w:tr>
        <w:trPr>
          <w:trHeight w:val="21"/>
        </w:trPr>
        <w:tc>
          <w:tcPr>
            <w:tcW w:w="8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ind w:right="5500"/>
        <w:spacing w:after="0" w:line="237" w:lineRule="auto"/>
        <w:rPr>
          <w:sz w:val="20"/>
          <w:szCs w:val="20"/>
          <w:color w:val="auto"/>
        </w:rPr>
      </w:pPr>
      <w:r>
        <w:rPr>
          <w:rFonts w:ascii="Arial" w:cs="Arial" w:eastAsia="Arial" w:hAnsi="Arial"/>
          <w:sz w:val="16"/>
          <w:szCs w:val="16"/>
          <w:b w:val="1"/>
          <w:bCs w:val="1"/>
          <w:color w:val="auto"/>
        </w:rPr>
        <w:t xml:space="preserve">CONDENSED CONSOLIDATED STATEMENTS OF COMPREHENSIVE INCOME </w:t>
      </w:r>
      <w:r>
        <w:rPr>
          <w:rFonts w:ascii="Arial" w:cs="Arial" w:eastAsia="Arial" w:hAnsi="Arial"/>
          <w:sz w:val="14"/>
          <w:szCs w:val="14"/>
          <w:i w:val="1"/>
          <w:iCs w:val="1"/>
          <w:color w:val="auto"/>
        </w:rPr>
        <w:t>(Dollars in millions)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4"/>
                <w:szCs w:val="14"/>
                <w:color w:val="auto"/>
              </w:rPr>
              <w:t>Three months ended March 31,</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223"/>
        </w:trPr>
        <w:tc>
          <w:tcPr>
            <w:tcW w:w="4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color w:val="auto"/>
              </w:rPr>
              <w:t>2013</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rPr>
              <w:t>2012</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31"/>
        </w:trPr>
        <w:tc>
          <w:tcPr>
            <w:tcW w:w="4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(unaudited)</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16"/>
        </w:trPr>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142"/>
              <w:spacing w:after="0"/>
              <w:rPr>
                <w:sz w:val="20"/>
                <w:szCs w:val="20"/>
                <w:color w:val="auto"/>
              </w:rPr>
            </w:pPr>
            <w:r>
              <w:rPr>
                <w:rFonts w:ascii="Arial" w:cs="Arial" w:eastAsia="Arial" w:hAnsi="Arial"/>
                <w:sz w:val="14"/>
                <w:szCs w:val="14"/>
                <w:color w:val="auto"/>
                <w:w w:val="98"/>
              </w:rPr>
              <w:t>Non-</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122"/>
              <w:spacing w:after="0"/>
              <w:rPr>
                <w:sz w:val="20"/>
                <w:szCs w:val="20"/>
                <w:color w:val="auto"/>
              </w:rPr>
            </w:pPr>
            <w:r>
              <w:rPr>
                <w:rFonts w:ascii="Arial" w:cs="Arial" w:eastAsia="Arial" w:hAnsi="Arial"/>
                <w:sz w:val="14"/>
                <w:szCs w:val="14"/>
                <w:color w:val="auto"/>
                <w:w w:val="98"/>
              </w:rPr>
              <w:t>Non-</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41"/>
              <w:spacing w:after="0"/>
              <w:rPr>
                <w:sz w:val="20"/>
                <w:szCs w:val="20"/>
                <w:color w:val="auto"/>
              </w:rPr>
            </w:pPr>
            <w:r>
              <w:rPr>
                <w:rFonts w:ascii="Arial" w:cs="Arial" w:eastAsia="Arial" w:hAnsi="Arial"/>
                <w:sz w:val="14"/>
                <w:szCs w:val="14"/>
                <w:color w:val="auto"/>
              </w:rPr>
              <w:t>Sempra</w:t>
            </w:r>
          </w:p>
        </w:tc>
        <w:tc>
          <w:tcPr>
            <w:tcW w:w="140" w:type="dxa"/>
            <w:vAlign w:val="bottom"/>
          </w:tcPr>
          <w:p>
            <w:pPr>
              <w:spacing w:after="0"/>
              <w:rPr>
                <w:sz w:val="18"/>
                <w:szCs w:val="18"/>
                <w:color w:val="auto"/>
              </w:rPr>
            </w:pPr>
          </w:p>
        </w:tc>
        <w:tc>
          <w:tcPr>
            <w:tcW w:w="920" w:type="dxa"/>
            <w:vAlign w:val="bottom"/>
          </w:tcPr>
          <w:p>
            <w:pPr>
              <w:jc w:val="center"/>
              <w:ind w:right="142"/>
              <w:spacing w:after="0"/>
              <w:rPr>
                <w:sz w:val="20"/>
                <w:szCs w:val="20"/>
                <w:color w:val="auto"/>
              </w:rPr>
            </w:pPr>
            <w:r>
              <w:rPr>
                <w:rFonts w:ascii="Arial" w:cs="Arial" w:eastAsia="Arial" w:hAnsi="Arial"/>
                <w:sz w:val="14"/>
                <w:szCs w:val="14"/>
                <w:color w:val="auto"/>
              </w:rPr>
              <w:t>controlling</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ind w:right="241"/>
              <w:spacing w:after="0"/>
              <w:rPr>
                <w:sz w:val="20"/>
                <w:szCs w:val="20"/>
                <w:color w:val="auto"/>
              </w:rPr>
            </w:pPr>
            <w:r>
              <w:rPr>
                <w:rFonts w:ascii="Arial" w:cs="Arial" w:eastAsia="Arial" w:hAnsi="Arial"/>
                <w:sz w:val="14"/>
                <w:szCs w:val="14"/>
                <w:color w:val="auto"/>
                <w:w w:val="97"/>
              </w:rPr>
              <w:t>Sempra</w:t>
            </w:r>
          </w:p>
        </w:tc>
        <w:tc>
          <w:tcPr>
            <w:tcW w:w="140" w:type="dxa"/>
            <w:vAlign w:val="bottom"/>
          </w:tcPr>
          <w:p>
            <w:pPr>
              <w:spacing w:after="0"/>
              <w:rPr>
                <w:sz w:val="18"/>
                <w:szCs w:val="18"/>
                <w:color w:val="auto"/>
              </w:rPr>
            </w:pPr>
          </w:p>
        </w:tc>
        <w:tc>
          <w:tcPr>
            <w:tcW w:w="900" w:type="dxa"/>
            <w:vAlign w:val="bottom"/>
          </w:tcPr>
          <w:p>
            <w:pPr>
              <w:jc w:val="center"/>
              <w:ind w:right="122"/>
              <w:spacing w:after="0"/>
              <w:rPr>
                <w:sz w:val="20"/>
                <w:szCs w:val="20"/>
                <w:color w:val="auto"/>
              </w:rPr>
            </w:pPr>
            <w:r>
              <w:rPr>
                <w:rFonts w:ascii="Arial" w:cs="Arial" w:eastAsia="Arial" w:hAnsi="Arial"/>
                <w:sz w:val="14"/>
                <w:szCs w:val="14"/>
                <w:color w:val="auto"/>
              </w:rPr>
              <w:t>controlling</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8"/>
        </w:trPr>
        <w:tc>
          <w:tcPr>
            <w:tcW w:w="4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Energy</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rPr>
              <w:t>Interests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Energy</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color w:val="auto"/>
              </w:rPr>
              <w:t>Interests</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Total</w:t>
            </w:r>
          </w:p>
        </w:tc>
      </w:tr>
      <w:tr>
        <w:trPr>
          <w:trHeight w:val="223"/>
        </w:trPr>
        <w:tc>
          <w:tcPr>
            <w:tcW w:w="4780" w:type="dxa"/>
            <w:vAlign w:val="bottom"/>
          </w:tcPr>
          <w:p>
            <w:pPr>
              <w:spacing w:after="0"/>
              <w:rPr>
                <w:sz w:val="20"/>
                <w:szCs w:val="20"/>
                <w:color w:val="auto"/>
              </w:rPr>
            </w:pPr>
            <w:r>
              <w:rPr>
                <w:rFonts w:ascii="Arial" w:cs="Arial" w:eastAsia="Arial" w:hAnsi="Arial"/>
                <w:sz w:val="16"/>
                <w:szCs w:val="16"/>
                <w:color w:val="auto"/>
              </w:rPr>
              <w:t>Net income (loss)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178</w:t>
            </w: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r>
      <w:tr>
        <w:trPr>
          <w:trHeight w:val="224"/>
        </w:trPr>
        <w:tc>
          <w:tcPr>
            <w:tcW w:w="4780" w:type="dxa"/>
            <w:vAlign w:val="bottom"/>
          </w:tcPr>
          <w:p>
            <w:pPr>
              <w:spacing w:after="0"/>
              <w:rPr>
                <w:sz w:val="20"/>
                <w:szCs w:val="20"/>
                <w:color w:val="auto"/>
              </w:rPr>
            </w:pPr>
            <w:r>
              <w:rPr>
                <w:rFonts w:ascii="Arial" w:cs="Arial" w:eastAsia="Arial" w:hAnsi="Arial"/>
                <w:sz w:val="16"/>
                <w:szCs w:val="16"/>
                <w:color w:val="auto"/>
              </w:rPr>
              <w:t>Other comprehensive income (loss), net of income tax:</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6</w:t>
            </w:r>
          </w:p>
        </w:tc>
        <w:tc>
          <w:tcPr>
            <w:tcW w:w="3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67</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16"/>
        </w:trPr>
        <w:tc>
          <w:tcPr>
            <w:tcW w:w="4780" w:type="dxa"/>
            <w:vAlign w:val="bottom"/>
          </w:tcPr>
          <w:p>
            <w:pPr>
              <w:ind w:left="180"/>
              <w:spacing w:after="0"/>
              <w:rPr>
                <w:sz w:val="20"/>
                <w:szCs w:val="20"/>
                <w:color w:val="auto"/>
              </w:rPr>
            </w:pPr>
            <w:r>
              <w:rPr>
                <w:rFonts w:ascii="Arial" w:cs="Arial" w:eastAsia="Arial" w:hAnsi="Arial"/>
                <w:sz w:val="16"/>
                <w:szCs w:val="16"/>
                <w:color w:val="auto"/>
              </w:rPr>
              <w:t>Net actuarial gain</w:t>
            </w:r>
          </w:p>
        </w:tc>
        <w:tc>
          <w:tcPr>
            <w:tcW w:w="22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478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(11)</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23"/>
        </w:trPr>
        <w:tc>
          <w:tcPr>
            <w:tcW w:w="4780" w:type="dxa"/>
            <w:vAlign w:val="bottom"/>
          </w:tcPr>
          <w:p>
            <w:pPr>
              <w:spacing w:after="0"/>
              <w:rPr>
                <w:sz w:val="20"/>
                <w:szCs w:val="20"/>
                <w:color w:val="auto"/>
              </w:rPr>
            </w:pPr>
            <w:r>
              <w:rPr>
                <w:rFonts w:ascii="Arial" w:cs="Arial" w:eastAsia="Arial" w:hAnsi="Arial"/>
                <w:sz w:val="16"/>
                <w:szCs w:val="16"/>
                <w:color w:val="auto"/>
              </w:rPr>
              <w:t>Total other comprehensive income (loss)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71</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r>
      <w:tr>
        <w:trPr>
          <w:trHeight w:val="224"/>
        </w:trPr>
        <w:tc>
          <w:tcPr>
            <w:tcW w:w="4780" w:type="dxa"/>
            <w:vAlign w:val="bottom"/>
          </w:tcPr>
          <w:p>
            <w:pPr>
              <w:spacing w:after="0"/>
              <w:rPr>
                <w:sz w:val="20"/>
                <w:szCs w:val="20"/>
                <w:color w:val="auto"/>
              </w:rPr>
            </w:pPr>
            <w:r>
              <w:rPr>
                <w:rFonts w:ascii="Arial" w:cs="Arial" w:eastAsia="Arial" w:hAnsi="Arial"/>
                <w:sz w:val="16"/>
                <w:szCs w:val="16"/>
                <w:color w:val="auto"/>
              </w:rPr>
              <w:t>Total comprehensive income (loss)</w:t>
            </w:r>
          </w:p>
        </w:tc>
        <w:tc>
          <w:tcPr>
            <w:tcW w:w="2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179</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9"/>
                <w:szCs w:val="19"/>
                <w:color w:val="auto"/>
              </w:rPr>
            </w:pP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176</w:t>
            </w:r>
          </w:p>
        </w:tc>
        <w:tc>
          <w:tcPr>
            <w:tcW w:w="36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309</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326</w:t>
            </w:r>
          </w:p>
        </w:tc>
      </w:tr>
      <w:tr>
        <w:trPr>
          <w:trHeight w:val="216"/>
        </w:trPr>
        <w:tc>
          <w:tcPr>
            <w:tcW w:w="4780" w:type="dxa"/>
            <w:vAlign w:val="bottom"/>
          </w:tcPr>
          <w:p>
            <w:pPr>
              <w:spacing w:after="0"/>
              <w:rPr>
                <w:sz w:val="20"/>
                <w:szCs w:val="20"/>
                <w:color w:val="auto"/>
              </w:rPr>
            </w:pPr>
            <w:r>
              <w:rPr>
                <w:rFonts w:ascii="Arial" w:cs="Arial" w:eastAsia="Arial" w:hAnsi="Arial"/>
                <w:sz w:val="16"/>
                <w:szCs w:val="16"/>
                <w:color w:val="auto"/>
              </w:rPr>
              <w:t>Preferred dividends of subsidiaries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24"/>
        </w:trPr>
        <w:tc>
          <w:tcPr>
            <w:tcW w:w="4780" w:type="dxa"/>
            <w:vAlign w:val="bottom"/>
          </w:tcPr>
          <w:p>
            <w:pPr>
              <w:spacing w:after="0"/>
              <w:rPr>
                <w:sz w:val="20"/>
                <w:szCs w:val="20"/>
                <w:color w:val="auto"/>
              </w:rPr>
            </w:pPr>
            <w:r>
              <w:rPr>
                <w:rFonts w:ascii="Arial" w:cs="Arial" w:eastAsia="Arial" w:hAnsi="Arial"/>
                <w:sz w:val="16"/>
                <w:szCs w:val="16"/>
                <w:color w:val="auto"/>
              </w:rPr>
              <w:t>Total comprehensive income (loss), after preferred</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9"/>
        </w:trPr>
        <w:tc>
          <w:tcPr>
            <w:tcW w:w="47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dividends of subsidiaries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174</w:t>
            </w: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w:t>
            </w:r>
          </w:p>
        </w:tc>
      </w:tr>
      <w:tr>
        <w:trPr>
          <w:trHeight w:val="21"/>
        </w:trPr>
        <w:tc>
          <w:tcPr>
            <w:tcW w:w="4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00"/>
              <w:spacing w:after="0"/>
              <w:rPr>
                <w:sz w:val="20"/>
                <w:szCs w:val="20"/>
                <w:color w:val="auto"/>
              </w:rPr>
            </w:pPr>
            <w:r>
              <w:rPr>
                <w:rFonts w:ascii="Arial" w:cs="Arial" w:eastAsia="Arial" w:hAnsi="Arial"/>
                <w:sz w:val="14"/>
                <w:szCs w:val="14"/>
                <w:color w:val="auto"/>
              </w:rPr>
              <w:t>March 31,</w:t>
            </w:r>
          </w:p>
        </w:tc>
        <w:tc>
          <w:tcPr>
            <w:tcW w:w="200" w:type="dxa"/>
            <w:vAlign w:val="bottom"/>
          </w:tcPr>
          <w:p>
            <w:pPr>
              <w:spacing w:after="0"/>
              <w:rPr>
                <w:sz w:val="14"/>
                <w:szCs w:val="14"/>
                <w:color w:val="auto"/>
              </w:rPr>
            </w:pPr>
          </w:p>
        </w:tc>
        <w:tc>
          <w:tcPr>
            <w:tcW w:w="126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r>
      <w:tr>
        <w:trPr>
          <w:trHeight w:val="208"/>
        </w:trPr>
        <w:tc>
          <w:tcPr>
            <w:tcW w:w="85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color w:val="auto"/>
              </w:rPr>
              <w:t>2013</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2012(1)</w:t>
            </w:r>
          </w:p>
        </w:tc>
      </w:tr>
      <w:tr>
        <w:trPr>
          <w:trHeight w:val="231"/>
        </w:trPr>
        <w:tc>
          <w:tcPr>
            <w:tcW w:w="8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center"/>
              <w:ind w:right="100"/>
              <w:spacing w:after="0"/>
              <w:rPr>
                <w:sz w:val="20"/>
                <w:szCs w:val="20"/>
                <w:color w:val="auto"/>
              </w:rPr>
            </w:pPr>
            <w:r>
              <w:rPr>
                <w:rFonts w:ascii="Arial" w:cs="Arial" w:eastAsia="Arial" w:hAnsi="Arial"/>
                <w:sz w:val="14"/>
                <w:szCs w:val="14"/>
                <w:color w:val="auto"/>
              </w:rPr>
              <w:t>(unaudited)</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09"/>
        </w:trPr>
        <w:tc>
          <w:tcPr>
            <w:tcW w:w="8580" w:type="dxa"/>
            <w:vAlign w:val="bottom"/>
          </w:tcPr>
          <w:p>
            <w:pPr>
              <w:spacing w:after="0"/>
              <w:rPr>
                <w:sz w:val="20"/>
                <w:szCs w:val="20"/>
                <w:color w:val="auto"/>
              </w:rPr>
            </w:pPr>
            <w:r>
              <w:rPr>
                <w:rFonts w:ascii="Arial" w:cs="Arial" w:eastAsia="Arial" w:hAnsi="Arial"/>
                <w:sz w:val="16"/>
                <w:szCs w:val="16"/>
                <w:color w:val="auto"/>
              </w:rPr>
              <w:t>ASSETS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8580" w:type="dxa"/>
            <w:vAlign w:val="bottom"/>
          </w:tcPr>
          <w:p>
            <w:pPr>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5"/>
        </w:trPr>
        <w:tc>
          <w:tcPr>
            <w:tcW w:w="858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1,471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475</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Trade accounts receivable, net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1,131</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1,146</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Other accounts and notes receivable, net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198</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Income taxes receivable</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270</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408</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Regulatory balancing accounts – undercollected</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411</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395</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Regulatory assets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Fixed-price contracts and other derivatives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U.S. Treasury grants receivable</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236</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258</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Asset held for sale, power plant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296</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4,123</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3,695</w:t>
            </w:r>
          </w:p>
        </w:tc>
      </w:tr>
      <w:tr>
        <w:trPr>
          <w:trHeight w:val="440"/>
        </w:trPr>
        <w:tc>
          <w:tcPr>
            <w:tcW w:w="8580" w:type="dxa"/>
            <w:vAlign w:val="bottom"/>
          </w:tcPr>
          <w:p>
            <w:pPr>
              <w:spacing w:after="0"/>
              <w:rPr>
                <w:sz w:val="20"/>
                <w:szCs w:val="20"/>
                <w:color w:val="auto"/>
              </w:rPr>
            </w:pPr>
            <w:r>
              <w:rPr>
                <w:rFonts w:ascii="Arial" w:cs="Arial" w:eastAsia="Arial" w:hAnsi="Arial"/>
                <w:sz w:val="16"/>
                <w:szCs w:val="16"/>
                <w:color w:val="auto"/>
              </w:rPr>
              <w:t>Investments and other assets: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Regulatory assets arising from pension and other postretirement</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6"/>
                <w:szCs w:val="16"/>
                <w:color w:val="auto"/>
              </w:rPr>
              <w:t>benefit obligations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1,167</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1,151</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Regulatory assets arising from wildfire litigation costs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360</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364</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Other regulatory assets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1,233</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1,227</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Nuclear decommissioning trusts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952</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908</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Investments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1,519</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1,516</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1,113</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1,111</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Other intangible assets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434</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436</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Sundry</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w:t>
            </w:r>
          </w:p>
        </w:tc>
      </w:tr>
    </w:tbl>
    <w:p>
      <w:pPr>
        <w:sectPr>
          <w:pgSz w:w="11900" w:h="16838" w:orient="portrait"/>
          <w:cols w:equalWidth="0" w:num="1">
            <w:col w:w="11420"/>
          </w:cols>
          <w:pgMar w:left="240" w:top="141"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580" w:type="dxa"/>
            <w:vAlign w:val="bottom"/>
          </w:tcPr>
          <w:p>
            <w:pPr>
              <w:ind w:left="360"/>
              <w:spacing w:after="0"/>
              <w:rPr>
                <w:sz w:val="20"/>
                <w:szCs w:val="20"/>
                <w:color w:val="auto"/>
              </w:rPr>
            </w:pPr>
            <w:r>
              <w:rPr>
                <w:rFonts w:ascii="Arial" w:cs="Arial" w:eastAsia="Arial" w:hAnsi="Arial"/>
                <w:sz w:val="16"/>
                <w:szCs w:val="16"/>
                <w:color w:val="auto"/>
              </w:rPr>
              <w:t>Total investments and other assets</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7,692</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7,613</w:t>
            </w:r>
          </w:p>
        </w:tc>
        <w:tc>
          <w:tcPr>
            <w:tcW w:w="0" w:type="dxa"/>
            <w:vAlign w:val="bottom"/>
          </w:tcPr>
          <w:p>
            <w:pPr>
              <w:spacing w:after="0"/>
              <w:rPr>
                <w:sz w:val="1"/>
                <w:szCs w:val="1"/>
                <w:color w:val="auto"/>
              </w:rPr>
            </w:pPr>
          </w:p>
        </w:tc>
      </w:tr>
      <w:tr>
        <w:trPr>
          <w:trHeight w:val="440"/>
        </w:trPr>
        <w:tc>
          <w:tcPr>
            <w:tcW w:w="858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Property, plant and equipment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34,011</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33,528</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Less accumulated depreciation and amortization</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(8,553)</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(8,337)</w:t>
            </w:r>
          </w:p>
        </w:tc>
        <w:tc>
          <w:tcPr>
            <w:tcW w:w="0" w:type="dxa"/>
            <w:vAlign w:val="bottom"/>
          </w:tcPr>
          <w:p>
            <w:pPr>
              <w:spacing w:after="0"/>
              <w:rPr>
                <w:sz w:val="1"/>
                <w:szCs w:val="1"/>
                <w:color w:val="auto"/>
              </w:rPr>
            </w:pPr>
          </w:p>
        </w:tc>
      </w:tr>
      <w:tr>
        <w:trPr>
          <w:trHeight w:val="191"/>
        </w:trPr>
        <w:tc>
          <w:tcPr>
            <w:tcW w:w="8580" w:type="dxa"/>
            <w:vAlign w:val="bottom"/>
          </w:tcPr>
          <w:p>
            <w:pPr>
              <w:ind w:left="360"/>
              <w:spacing w:after="0"/>
              <w:rPr>
                <w:sz w:val="20"/>
                <w:szCs w:val="20"/>
                <w:color w:val="auto"/>
              </w:rPr>
            </w:pPr>
            <w:r>
              <w:rPr>
                <w:rFonts w:ascii="Arial" w:cs="Arial" w:eastAsia="Arial" w:hAnsi="Arial"/>
                <w:sz w:val="16"/>
                <w:szCs w:val="16"/>
                <w:color w:val="auto"/>
              </w:rPr>
              <w:t>Property, plant and equipment, net ($459 and $466 at March 31, 2013 and</w:t>
            </w:r>
          </w:p>
        </w:tc>
        <w:tc>
          <w:tcPr>
            <w:tcW w:w="4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25,458</w:t>
            </w:r>
          </w:p>
        </w:tc>
        <w:tc>
          <w:tcPr>
            <w:tcW w:w="5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25,191</w:t>
            </w:r>
          </w:p>
        </w:tc>
        <w:tc>
          <w:tcPr>
            <w:tcW w:w="0" w:type="dxa"/>
            <w:vAlign w:val="bottom"/>
          </w:tcPr>
          <w:p>
            <w:pPr>
              <w:spacing w:after="0"/>
              <w:rPr>
                <w:sz w:val="1"/>
                <w:szCs w:val="1"/>
                <w:color w:val="auto"/>
              </w:rPr>
            </w:pPr>
          </w:p>
        </w:tc>
      </w:tr>
      <w:tr>
        <w:trPr>
          <w:trHeight w:val="167"/>
        </w:trPr>
        <w:tc>
          <w:tcPr>
            <w:tcW w:w="8580" w:type="dxa"/>
            <w:vAlign w:val="bottom"/>
          </w:tcPr>
          <w:p>
            <w:pPr>
              <w:ind w:left="540"/>
              <w:spacing w:after="0" w:line="160" w:lineRule="exact"/>
              <w:rPr>
                <w:sz w:val="20"/>
                <w:szCs w:val="20"/>
                <w:color w:val="auto"/>
              </w:rPr>
            </w:pPr>
            <w:r>
              <w:rPr>
                <w:rFonts w:ascii="Arial" w:cs="Arial" w:eastAsia="Arial" w:hAnsi="Arial"/>
                <w:sz w:val="16"/>
                <w:szCs w:val="16"/>
                <w:color w:val="auto"/>
              </w:rPr>
              <w:t>December 31, 2012, respectively, related to VIE)</w:t>
            </w: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assets</w:t>
            </w:r>
          </w:p>
        </w:tc>
        <w:tc>
          <w:tcPr>
            <w:tcW w:w="48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37,273</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36,499</w:t>
            </w:r>
          </w:p>
        </w:tc>
        <w:tc>
          <w:tcPr>
            <w:tcW w:w="0" w:type="dxa"/>
            <w:vAlign w:val="bottom"/>
          </w:tcPr>
          <w:p>
            <w:pPr>
              <w:spacing w:after="0"/>
              <w:rPr>
                <w:sz w:val="1"/>
                <w:szCs w:val="1"/>
                <w:color w:val="auto"/>
              </w:rPr>
            </w:pPr>
          </w:p>
        </w:tc>
      </w:tr>
      <w:tr>
        <w:trPr>
          <w:trHeight w:val="21"/>
        </w:trPr>
        <w:tc>
          <w:tcPr>
            <w:tcW w:w="8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500" w:hanging="330"/>
        <w:spacing w:after="0"/>
        <w:tabs>
          <w:tab w:leader="none" w:pos="50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Derived from audited financial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center"/>
              <w:ind w:right="340"/>
              <w:spacing w:after="0"/>
              <w:rPr>
                <w:sz w:val="20"/>
                <w:szCs w:val="20"/>
                <w:color w:val="auto"/>
              </w:rPr>
            </w:pPr>
            <w:r>
              <w:rPr>
                <w:rFonts w:ascii="Arial" w:cs="Arial" w:eastAsia="Arial" w:hAnsi="Arial"/>
                <w:sz w:val="14"/>
                <w:szCs w:val="14"/>
                <w:color w:val="auto"/>
              </w:rPr>
              <w:t>March 31,</w:t>
            </w:r>
          </w:p>
        </w:tc>
        <w:tc>
          <w:tcPr>
            <w:tcW w:w="1300" w:type="dxa"/>
            <w:vAlign w:val="bottom"/>
            <w:gridSpan w:val="2"/>
          </w:tcPr>
          <w:p>
            <w:pPr>
              <w:jc w:val="right"/>
              <w:ind w:right="17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8"/>
        </w:trPr>
        <w:tc>
          <w:tcPr>
            <w:tcW w:w="85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380"/>
              <w:spacing w:after="0"/>
              <w:rPr>
                <w:sz w:val="20"/>
                <w:szCs w:val="20"/>
                <w:color w:val="auto"/>
              </w:rPr>
            </w:pPr>
            <w:r>
              <w:rPr>
                <w:rFonts w:ascii="Arial" w:cs="Arial" w:eastAsia="Arial" w:hAnsi="Arial"/>
                <w:sz w:val="14"/>
                <w:szCs w:val="14"/>
                <w:color w:val="auto"/>
              </w:rPr>
              <w:t>2013</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2012(1)</w:t>
            </w:r>
          </w:p>
        </w:tc>
        <w:tc>
          <w:tcPr>
            <w:tcW w:w="0" w:type="dxa"/>
            <w:vAlign w:val="bottom"/>
          </w:tcPr>
          <w:p>
            <w:pPr>
              <w:spacing w:after="0"/>
              <w:rPr>
                <w:sz w:val="1"/>
                <w:szCs w:val="1"/>
                <w:color w:val="auto"/>
              </w:rPr>
            </w:pPr>
          </w:p>
        </w:tc>
      </w:tr>
      <w:tr>
        <w:trPr>
          <w:trHeight w:val="231"/>
        </w:trPr>
        <w:tc>
          <w:tcPr>
            <w:tcW w:w="8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center"/>
              <w:ind w:right="340"/>
              <w:spacing w:after="0"/>
              <w:rPr>
                <w:sz w:val="20"/>
                <w:szCs w:val="20"/>
                <w:color w:val="auto"/>
              </w:rPr>
            </w:pPr>
            <w:r>
              <w:rPr>
                <w:rFonts w:ascii="Arial" w:cs="Arial" w:eastAsia="Arial" w:hAnsi="Arial"/>
                <w:sz w:val="14"/>
                <w:szCs w:val="14"/>
                <w:color w:val="auto"/>
              </w:rPr>
              <w:t>(unaudited)</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580" w:type="dxa"/>
            <w:vAlign w:val="bottom"/>
          </w:tcPr>
          <w:p>
            <w:pPr>
              <w:spacing w:after="0"/>
              <w:rPr>
                <w:sz w:val="20"/>
                <w:szCs w:val="20"/>
                <w:color w:val="auto"/>
              </w:rPr>
            </w:pPr>
            <w:r>
              <w:rPr>
                <w:rFonts w:ascii="Arial" w:cs="Arial" w:eastAsia="Arial" w:hAnsi="Arial"/>
                <w:sz w:val="16"/>
                <w:szCs w:val="16"/>
                <w:color w:val="auto"/>
              </w:rPr>
              <w:t>LIABILITIES AND EQUITY</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80" w:type="dxa"/>
            <w:vAlign w:val="bottom"/>
          </w:tcPr>
          <w:p>
            <w:pPr>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580" w:type="dxa"/>
            <w:vAlign w:val="bottom"/>
          </w:tcPr>
          <w:p>
            <w:pPr>
              <w:ind w:left="180"/>
              <w:spacing w:after="0"/>
              <w:rPr>
                <w:sz w:val="20"/>
                <w:szCs w:val="20"/>
                <w:color w:val="auto"/>
              </w:rPr>
            </w:pPr>
            <w:r>
              <w:rPr>
                <w:rFonts w:ascii="Arial" w:cs="Arial" w:eastAsia="Arial" w:hAnsi="Arial"/>
                <w:sz w:val="16"/>
                <w:szCs w:val="16"/>
                <w:color w:val="auto"/>
              </w:rPr>
              <w:t>Short-term debt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762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Accounts payable – trade</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874</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976</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Accounts payable – other</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116</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Dividends and interest payable</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323</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Accrued compensation and benefits</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217</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Regulatory balancing accounts – overcollected</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294</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1,381</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Fixed-price contracts and other derivatives</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71</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Customer deposits</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142</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Reserve for wildfire litigation</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221</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788</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w:t>
            </w:r>
          </w:p>
        </w:tc>
        <w:tc>
          <w:tcPr>
            <w:tcW w:w="0" w:type="dxa"/>
            <w:vAlign w:val="bottom"/>
          </w:tcPr>
          <w:p>
            <w:pPr>
              <w:spacing w:after="0"/>
              <w:rPr>
                <w:sz w:val="1"/>
                <w:szCs w:val="1"/>
                <w:color w:val="auto"/>
              </w:rPr>
            </w:pP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5,189</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4,258</w:t>
            </w:r>
          </w:p>
        </w:tc>
        <w:tc>
          <w:tcPr>
            <w:tcW w:w="0" w:type="dxa"/>
            <w:vAlign w:val="bottom"/>
          </w:tcPr>
          <w:p>
            <w:pPr>
              <w:spacing w:after="0"/>
              <w:rPr>
                <w:sz w:val="1"/>
                <w:szCs w:val="1"/>
                <w:color w:val="auto"/>
              </w:rPr>
            </w:pPr>
          </w:p>
        </w:tc>
      </w:tr>
      <w:tr>
        <w:trPr>
          <w:trHeight w:val="191"/>
        </w:trPr>
        <w:tc>
          <w:tcPr>
            <w:tcW w:w="8580" w:type="dxa"/>
            <w:vAlign w:val="bottom"/>
          </w:tcPr>
          <w:p>
            <w:pPr>
              <w:spacing w:after="0"/>
              <w:rPr>
                <w:sz w:val="20"/>
                <w:szCs w:val="20"/>
                <w:color w:val="auto"/>
              </w:rPr>
            </w:pPr>
            <w:r>
              <w:rPr>
                <w:rFonts w:ascii="Arial" w:cs="Arial" w:eastAsia="Arial" w:hAnsi="Arial"/>
                <w:sz w:val="16"/>
                <w:szCs w:val="16"/>
                <w:color w:val="auto"/>
              </w:rPr>
              <w:t>Long-term debt ($332 and $335 at March 31, 2013 and December 31, 2012, respectively,</w:t>
            </w:r>
          </w:p>
        </w:tc>
        <w:tc>
          <w:tcPr>
            <w:tcW w:w="280" w:type="dxa"/>
            <w:vAlign w:val="bottom"/>
          </w:tcPr>
          <w:p>
            <w:pPr>
              <w:spacing w:after="0"/>
              <w:rPr>
                <w:sz w:val="16"/>
                <w:szCs w:val="16"/>
                <w:color w:val="auto"/>
              </w:rPr>
            </w:pPr>
          </w:p>
        </w:tc>
        <w:tc>
          <w:tcPr>
            <w:tcW w:w="1260" w:type="dxa"/>
            <w:vAlign w:val="bottom"/>
            <w:vMerge w:val="restart"/>
          </w:tcPr>
          <w:p>
            <w:pPr>
              <w:jc w:val="right"/>
              <w:ind w:right="100"/>
              <w:spacing w:after="0"/>
              <w:rPr>
                <w:sz w:val="20"/>
                <w:szCs w:val="20"/>
                <w:color w:val="auto"/>
              </w:rPr>
            </w:pPr>
            <w:r>
              <w:rPr>
                <w:rFonts w:ascii="Arial" w:cs="Arial" w:eastAsia="Arial" w:hAnsi="Arial"/>
                <w:sz w:val="16"/>
                <w:szCs w:val="16"/>
                <w:color w:val="auto"/>
              </w:rPr>
              <w:t>10,680</w:t>
            </w:r>
          </w:p>
        </w:tc>
        <w:tc>
          <w:tcPr>
            <w:tcW w:w="3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11,621</w:t>
            </w:r>
          </w:p>
        </w:tc>
        <w:tc>
          <w:tcPr>
            <w:tcW w:w="0" w:type="dxa"/>
            <w:vAlign w:val="bottom"/>
          </w:tcPr>
          <w:p>
            <w:pPr>
              <w:spacing w:after="0"/>
              <w:rPr>
                <w:sz w:val="1"/>
                <w:szCs w:val="1"/>
                <w:color w:val="auto"/>
              </w:rPr>
            </w:pPr>
          </w:p>
        </w:tc>
      </w:tr>
      <w:tr>
        <w:trPr>
          <w:trHeight w:val="167"/>
        </w:trPr>
        <w:tc>
          <w:tcPr>
            <w:tcW w:w="8580" w:type="dxa"/>
            <w:vAlign w:val="bottom"/>
          </w:tcPr>
          <w:p>
            <w:pPr>
              <w:ind w:left="360"/>
              <w:spacing w:after="0" w:line="160" w:lineRule="exact"/>
              <w:rPr>
                <w:sz w:val="20"/>
                <w:szCs w:val="20"/>
                <w:color w:val="auto"/>
              </w:rPr>
            </w:pPr>
            <w:r>
              <w:rPr>
                <w:rFonts w:ascii="Arial" w:cs="Arial" w:eastAsia="Arial" w:hAnsi="Arial"/>
                <w:sz w:val="16"/>
                <w:szCs w:val="16"/>
                <w:color w:val="auto"/>
              </w:rPr>
              <w:t>related to VIE)</w:t>
            </w: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0"/>
        </w:trPr>
        <w:tc>
          <w:tcPr>
            <w:tcW w:w="8580" w:type="dxa"/>
            <w:vAlign w:val="bottom"/>
          </w:tcPr>
          <w:p>
            <w:pPr>
              <w:spacing w:after="0"/>
              <w:rPr>
                <w:sz w:val="20"/>
                <w:szCs w:val="20"/>
                <w:color w:val="auto"/>
              </w:rPr>
            </w:pPr>
            <w:r>
              <w:rPr>
                <w:rFonts w:ascii="Arial" w:cs="Arial" w:eastAsia="Arial" w:hAnsi="Arial"/>
                <w:sz w:val="16"/>
                <w:szCs w:val="16"/>
                <w:color w:val="auto"/>
              </w:rPr>
              <w:t>Deferred credits and other liabilities: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Customer advances for construction</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139</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Pension and other postretirement benefit obligations, net of plan assets</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1,466</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1,456</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2,248</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2,100</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Deferred investment tax credits</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46</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Regulatory liabilities arising from removal obligations</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2,783</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2,720</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Asset retirement obligations</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2,056</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2,033</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Fixed-price contracts and other derivatives</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254</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Reserve for wildfire litigation</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45</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Deferred credits and other</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1,027</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w:t>
            </w:r>
          </w:p>
        </w:tc>
        <w:tc>
          <w:tcPr>
            <w:tcW w:w="0" w:type="dxa"/>
            <w:vAlign w:val="bottom"/>
          </w:tcPr>
          <w:p>
            <w:pPr>
              <w:spacing w:after="0"/>
              <w:rPr>
                <w:sz w:val="1"/>
                <w:szCs w:val="1"/>
                <w:color w:val="auto"/>
              </w:rPr>
            </w:pP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deferred credits and other liabilities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10,064</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9,858</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6"/>
                <w:szCs w:val="16"/>
                <w:color w:val="auto"/>
              </w:rPr>
              <w:t>Contingently redeemable preferred stock of subsidiary</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79</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440"/>
        </w:trPr>
        <w:tc>
          <w:tcPr>
            <w:tcW w:w="8580" w:type="dxa"/>
            <w:vAlign w:val="bottom"/>
          </w:tcPr>
          <w:p>
            <w:pPr>
              <w:spacing w:after="0"/>
              <w:rPr>
                <w:sz w:val="20"/>
                <w:szCs w:val="20"/>
                <w:color w:val="auto"/>
              </w:rPr>
            </w:pPr>
            <w:r>
              <w:rPr>
                <w:rFonts w:ascii="Arial" w:cs="Arial" w:eastAsia="Arial" w:hAnsi="Arial"/>
                <w:sz w:val="16"/>
                <w:szCs w:val="16"/>
                <w:color w:val="auto"/>
              </w:rPr>
              <w:t>Commitments and contingencies (Note 10)</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80" w:type="dxa"/>
            <w:vAlign w:val="bottom"/>
          </w:tcPr>
          <w:p>
            <w:pPr>
              <w:spacing w:after="0"/>
              <w:rPr>
                <w:sz w:val="20"/>
                <w:szCs w:val="20"/>
                <w:color w:val="auto"/>
              </w:rPr>
            </w:pPr>
            <w:r>
              <w:rPr>
                <w:rFonts w:ascii="Arial" w:cs="Arial" w:eastAsia="Arial" w:hAnsi="Arial"/>
                <w:sz w:val="16"/>
                <w:szCs w:val="16"/>
                <w:color w:val="auto"/>
              </w:rPr>
              <w:t>Equity:</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Preferred stock (50 million shares authorized; none issued)</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Common stock (750 million shares authorized; 244 million and 242 million shares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6"/>
                <w:szCs w:val="16"/>
                <w:color w:val="auto"/>
              </w:rPr>
              <w:t>outstanding at March 31, 2013 and December 31, 2012, respectively; no par value)</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2,334</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2,217</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8,466</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8,441</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(377)</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24"/>
        </w:trPr>
        <w:tc>
          <w:tcPr>
            <w:tcW w:w="8580" w:type="dxa"/>
            <w:vAlign w:val="bottom"/>
          </w:tcPr>
          <w:p>
            <w:pPr>
              <w:ind w:left="360"/>
              <w:spacing w:after="0"/>
              <w:rPr>
                <w:sz w:val="20"/>
                <w:szCs w:val="20"/>
                <w:color w:val="auto"/>
              </w:rPr>
            </w:pPr>
            <w:r>
              <w:rPr>
                <w:rFonts w:ascii="Arial" w:cs="Arial" w:eastAsia="Arial" w:hAnsi="Arial"/>
                <w:sz w:val="16"/>
                <w:szCs w:val="16"/>
                <w:color w:val="auto"/>
              </w:rPr>
              <w:t>Total Sempra Energy shareholders’ equity</w:t>
            </w:r>
          </w:p>
        </w:tc>
        <w:tc>
          <w:tcPr>
            <w:tcW w:w="280" w:type="dxa"/>
            <w:vAlign w:val="bottom"/>
          </w:tcPr>
          <w:p>
            <w:pPr>
              <w:spacing w:after="0"/>
              <w:rPr>
                <w:sz w:val="19"/>
                <w:szCs w:val="19"/>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10,423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10,282</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Preferred stock of subsidiary</w:t>
            </w:r>
          </w:p>
        </w:tc>
        <w:tc>
          <w:tcPr>
            <w:tcW w:w="280" w:type="dxa"/>
            <w:vAlign w:val="bottom"/>
          </w:tcPr>
          <w:p>
            <w:pPr>
              <w:spacing w:after="0"/>
              <w:rPr>
                <w:sz w:val="18"/>
                <w:szCs w:val="18"/>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20</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Other noncontrolling interests</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818</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equity</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11,261</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10,683</w:t>
            </w:r>
          </w:p>
        </w:tc>
        <w:tc>
          <w:tcPr>
            <w:tcW w:w="0" w:type="dxa"/>
            <w:vAlign w:val="bottom"/>
          </w:tcPr>
          <w:p>
            <w:pPr>
              <w:spacing w:after="0"/>
              <w:rPr>
                <w:sz w:val="1"/>
                <w:szCs w:val="1"/>
                <w:color w:val="auto"/>
              </w:rPr>
            </w:pPr>
          </w:p>
        </w:tc>
      </w:tr>
      <w:tr>
        <w:trPr>
          <w:trHeight w:val="189"/>
        </w:trPr>
        <w:tc>
          <w:tcPr>
            <w:tcW w:w="8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liabilities and equity</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37,273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36,499</w:t>
            </w:r>
          </w:p>
        </w:tc>
        <w:tc>
          <w:tcPr>
            <w:tcW w:w="0" w:type="dxa"/>
            <w:vAlign w:val="bottom"/>
          </w:tcPr>
          <w:p>
            <w:pPr>
              <w:spacing w:after="0"/>
              <w:rPr>
                <w:sz w:val="1"/>
                <w:szCs w:val="1"/>
                <w:color w:val="auto"/>
              </w:rPr>
            </w:pPr>
          </w:p>
        </w:tc>
      </w:tr>
      <w:tr>
        <w:trPr>
          <w:trHeight w:val="21"/>
        </w:trPr>
        <w:tc>
          <w:tcPr>
            <w:tcW w:w="8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60"/>
        <w:spacing w:after="0"/>
        <w:tabs>
          <w:tab w:leader="none" w:pos="480" w:val="left"/>
        </w:tabs>
        <w:rPr>
          <w:sz w:val="20"/>
          <w:szCs w:val="20"/>
          <w:color w:val="auto"/>
        </w:rPr>
      </w:pPr>
      <w:r>
        <w:rPr>
          <w:rFonts w:ascii="Arial" w:cs="Arial" w:eastAsia="Arial" w:hAnsi="Arial"/>
          <w:sz w:val="14"/>
          <w:szCs w:val="14"/>
          <w:i w:val="1"/>
          <w:iCs w:val="1"/>
          <w:color w:val="auto"/>
        </w:rPr>
        <w:t>(1)</w:t>
        <w:tab/>
        <w:t>Derived from audited financial statements.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8" w:lineRule="exact"/>
        <w:rPr>
          <w:sz w:val="20"/>
          <w:szCs w:val="20"/>
          <w:color w:val="auto"/>
        </w:rPr>
      </w:pPr>
    </w:p>
    <w:p>
      <w:pPr>
        <w:ind w:left="9240"/>
        <w:spacing w:after="0"/>
        <w:rPr>
          <w:sz w:val="20"/>
          <w:szCs w:val="20"/>
          <w:color w:val="auto"/>
        </w:rPr>
      </w:pPr>
      <w:r>
        <w:rPr>
          <w:rFonts w:ascii="Arial" w:cs="Arial" w:eastAsia="Arial" w:hAnsi="Arial"/>
          <w:sz w:val="14"/>
          <w:szCs w:val="14"/>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5759450</wp:posOffset>
            </wp:positionH>
            <wp:positionV relativeFrom="paragraph">
              <wp:posOffset>-1905</wp:posOffset>
            </wp:positionV>
            <wp:extent cx="14922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92250" cy="17145"/>
                    </a:xfrm>
                    <a:prstGeom prst="rect">
                      <a:avLst/>
                    </a:prstGeom>
                    <a:noFill/>
                  </pic:spPr>
                </pic:pic>
              </a:graphicData>
            </a:graphic>
          </wp:anchor>
        </w:drawing>
      </w:r>
    </w:p>
    <w:p>
      <w:pPr>
        <w:spacing w:after="0" w:line="62" w:lineRule="exact"/>
        <w:rPr>
          <w:sz w:val="20"/>
          <w:szCs w:val="20"/>
          <w:color w:val="auto"/>
        </w:rPr>
      </w:pPr>
    </w:p>
    <w:p>
      <w:pPr>
        <w:ind w:left="9440"/>
        <w:spacing w:after="0"/>
        <w:tabs>
          <w:tab w:leader="none" w:pos="10600" w:val="left"/>
        </w:tabs>
        <w:rPr>
          <w:sz w:val="20"/>
          <w:szCs w:val="20"/>
          <w:color w:val="auto"/>
        </w:rPr>
      </w:pPr>
      <w:r>
        <w:rPr>
          <w:rFonts w:ascii="Arial" w:cs="Arial" w:eastAsia="Arial" w:hAnsi="Arial"/>
          <w:sz w:val="14"/>
          <w:szCs w:val="14"/>
          <w:color w:val="auto"/>
        </w:rPr>
        <w:t>2013</w:t>
      </w:r>
      <w:r>
        <w:rPr>
          <w:sz w:val="20"/>
          <w:szCs w:val="20"/>
          <w:color w:val="auto"/>
        </w:rPr>
        <w:tab/>
      </w:r>
      <w:r>
        <w:rPr>
          <w:rFonts w:ascii="Arial" w:cs="Arial" w:eastAsia="Arial" w:hAnsi="Arial"/>
          <w:sz w:val="14"/>
          <w:szCs w:val="14"/>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2" w:lineRule="exact"/>
        <w:rPr>
          <w:sz w:val="20"/>
          <w:szCs w:val="20"/>
          <w:color w:val="auto"/>
        </w:rPr>
      </w:pPr>
    </w:p>
    <w:p>
      <w:pPr>
        <w:ind w:left="9880"/>
        <w:spacing w:after="0"/>
        <w:rPr>
          <w:sz w:val="20"/>
          <w:szCs w:val="20"/>
          <w:color w:val="auto"/>
        </w:rPr>
      </w:pPr>
      <w:r>
        <w:rPr>
          <w:rFonts w:ascii="Arial" w:cs="Arial" w:eastAsia="Arial" w:hAnsi="Arial"/>
          <w:sz w:val="14"/>
          <w:szCs w:val="14"/>
          <w:color w:val="auto"/>
        </w:rPr>
        <w:t>(unaudited)</w:t>
      </w:r>
    </w:p>
    <w:p>
      <w:pPr>
        <w:sectPr>
          <w:pgSz w:w="11900" w:h="16838" w:orient="portrait"/>
          <w:cols w:equalWidth="0" w:num="1">
            <w:col w:w="11420"/>
          </w:cols>
          <w:pgMar w:left="240" w:top="141" w:right="239" w:bottom="0" w:gutter="0" w:footer="0" w:header="0"/>
        </w:sectPr>
      </w:pPr>
    </w:p>
    <w:bookmarkStart w:id="5" w:name="page6"/>
    <w:bookmarkEnd w:id="5"/>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6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1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6"/>
        </w:trPr>
        <w:tc>
          <w:tcPr>
            <w:tcW w:w="726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178</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251</w:t>
            </w:r>
          </w:p>
        </w:tc>
      </w:tr>
      <w:tr>
        <w:trPr>
          <w:trHeight w:val="216"/>
        </w:trPr>
        <w:tc>
          <w:tcPr>
            <w:tcW w:w="726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6"/>
                <w:szCs w:val="16"/>
                <w:color w:val="auto"/>
              </w:rPr>
              <w:t>by operating activities: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260" w:type="dxa"/>
            <w:vAlign w:val="bottom"/>
          </w:tcPr>
          <w:p>
            <w:pPr>
              <w:ind w:left="540"/>
              <w:spacing w:after="0"/>
              <w:rPr>
                <w:sz w:val="20"/>
                <w:szCs w:val="20"/>
                <w:color w:val="auto"/>
              </w:rPr>
            </w:pPr>
            <w:r>
              <w:rPr>
                <w:rFonts w:ascii="Arial" w:cs="Arial" w:eastAsia="Arial" w:hAnsi="Arial"/>
                <w:sz w:val="16"/>
                <w:szCs w:val="16"/>
                <w:color w:val="auto"/>
              </w:rPr>
              <w:t>Depreciation and amortization</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295</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257</w:t>
            </w:r>
          </w:p>
        </w:tc>
      </w:tr>
      <w:tr>
        <w:trPr>
          <w:trHeight w:val="216"/>
        </w:trPr>
        <w:tc>
          <w:tcPr>
            <w:tcW w:w="7260" w:type="dxa"/>
            <w:vAlign w:val="bottom"/>
          </w:tcPr>
          <w:p>
            <w:pPr>
              <w:ind w:left="540"/>
              <w:spacing w:after="0"/>
              <w:rPr>
                <w:sz w:val="20"/>
                <w:szCs w:val="20"/>
                <w:color w:val="auto"/>
              </w:rPr>
            </w:pPr>
            <w:r>
              <w:rPr>
                <w:rFonts w:ascii="Arial" w:cs="Arial" w:eastAsia="Arial" w:hAnsi="Arial"/>
                <w:sz w:val="16"/>
                <w:szCs w:val="16"/>
                <w:color w:val="auto"/>
              </w:rPr>
              <w:t>Deferred income taxes and investment tax credits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252</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6"/>
        </w:trPr>
        <w:tc>
          <w:tcPr>
            <w:tcW w:w="7260" w:type="dxa"/>
            <w:vAlign w:val="bottom"/>
          </w:tcPr>
          <w:p>
            <w:pPr>
              <w:ind w:left="540"/>
              <w:spacing w:after="0"/>
              <w:rPr>
                <w:sz w:val="20"/>
                <w:szCs w:val="20"/>
                <w:color w:val="auto"/>
              </w:rPr>
            </w:pPr>
            <w:r>
              <w:rPr>
                <w:rFonts w:ascii="Arial" w:cs="Arial" w:eastAsia="Arial" w:hAnsi="Arial"/>
                <w:sz w:val="16"/>
                <w:szCs w:val="16"/>
                <w:color w:val="auto"/>
              </w:rPr>
              <w:t>Gain on sale of asset</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(74)</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260" w:type="dxa"/>
            <w:vAlign w:val="bottom"/>
          </w:tcPr>
          <w:p>
            <w:pPr>
              <w:ind w:left="540"/>
              <w:spacing w:after="0"/>
              <w:rPr>
                <w:sz w:val="20"/>
                <w:szCs w:val="20"/>
                <w:color w:val="auto"/>
              </w:rPr>
            </w:pPr>
            <w:r>
              <w:rPr>
                <w:rFonts w:ascii="Arial" w:cs="Arial" w:eastAsia="Arial" w:hAnsi="Arial"/>
                <w:sz w:val="16"/>
                <w:szCs w:val="16"/>
                <w:color w:val="auto"/>
              </w:rPr>
              <w:t>Equity earnings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6"/>
        </w:trPr>
        <w:tc>
          <w:tcPr>
            <w:tcW w:w="7260" w:type="dxa"/>
            <w:vAlign w:val="bottom"/>
          </w:tcPr>
          <w:p>
            <w:pPr>
              <w:ind w:left="540"/>
              <w:spacing w:after="0"/>
              <w:rPr>
                <w:sz w:val="20"/>
                <w:szCs w:val="20"/>
                <w:color w:val="auto"/>
              </w:rPr>
            </w:pPr>
            <w:r>
              <w:rPr>
                <w:rFonts w:ascii="Arial" w:cs="Arial" w:eastAsia="Arial" w:hAnsi="Arial"/>
                <w:sz w:val="16"/>
                <w:szCs w:val="16"/>
                <w:color w:val="auto"/>
              </w:rPr>
              <w:t>Fixed-price contracts and other derivatives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7260" w:type="dxa"/>
            <w:vAlign w:val="bottom"/>
          </w:tcPr>
          <w:p>
            <w:pPr>
              <w:ind w:left="540"/>
              <w:spacing w:after="0"/>
              <w:rPr>
                <w:sz w:val="20"/>
                <w:szCs w:val="20"/>
                <w:color w:val="auto"/>
              </w:rPr>
            </w:pPr>
            <w:r>
              <w:rPr>
                <w:rFonts w:ascii="Arial" w:cs="Arial" w:eastAsia="Arial" w:hAnsi="Arial"/>
                <w:sz w:val="16"/>
                <w:szCs w:val="16"/>
                <w:color w:val="auto"/>
              </w:rPr>
              <w:t>Other</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7260" w:type="dxa"/>
            <w:vAlign w:val="bottom"/>
          </w:tcPr>
          <w:p>
            <w:pPr>
              <w:ind w:left="180"/>
              <w:spacing w:after="0"/>
              <w:rPr>
                <w:sz w:val="20"/>
                <w:szCs w:val="20"/>
                <w:color w:val="auto"/>
              </w:rPr>
            </w:pPr>
            <w:r>
              <w:rPr>
                <w:rFonts w:ascii="Arial" w:cs="Arial" w:eastAsia="Arial" w:hAnsi="Arial"/>
                <w:sz w:val="16"/>
                <w:szCs w:val="16"/>
                <w:color w:val="auto"/>
              </w:rPr>
              <w:t>Net change in other working capital components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149</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216"/>
        </w:trPr>
        <w:tc>
          <w:tcPr>
            <w:tcW w:w="7260" w:type="dxa"/>
            <w:vAlign w:val="bottom"/>
          </w:tcPr>
          <w:p>
            <w:pPr>
              <w:ind w:left="180"/>
              <w:spacing w:after="0"/>
              <w:rPr>
                <w:sz w:val="20"/>
                <w:szCs w:val="20"/>
                <w:color w:val="auto"/>
              </w:rPr>
            </w:pPr>
            <w:r>
              <w:rPr>
                <w:rFonts w:ascii="Arial" w:cs="Arial" w:eastAsia="Arial" w:hAnsi="Arial"/>
                <w:sz w:val="16"/>
                <w:szCs w:val="16"/>
                <w:color w:val="auto"/>
              </w:rPr>
              <w:t>Changes in other assets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7260" w:type="dxa"/>
            <w:vAlign w:val="bottom"/>
          </w:tcPr>
          <w:p>
            <w:pPr>
              <w:ind w:left="180"/>
              <w:spacing w:after="0"/>
              <w:rPr>
                <w:sz w:val="20"/>
                <w:szCs w:val="20"/>
                <w:color w:val="auto"/>
              </w:rPr>
            </w:pPr>
            <w:r>
              <w:rPr>
                <w:rFonts w:ascii="Arial" w:cs="Arial" w:eastAsia="Arial" w:hAnsi="Arial"/>
                <w:sz w:val="16"/>
                <w:szCs w:val="16"/>
                <w:color w:val="auto"/>
              </w:rPr>
              <w:t>Changes in other liabilities</w:t>
            </w:r>
          </w:p>
        </w:tc>
        <w:tc>
          <w:tcPr>
            <w:tcW w:w="18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23"/>
        </w:trPr>
        <w:tc>
          <w:tcPr>
            <w:tcW w:w="7260" w:type="dxa"/>
            <w:vAlign w:val="bottom"/>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1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w:t>
            </w:r>
          </w:p>
        </w:tc>
      </w:tr>
      <w:tr>
        <w:trPr>
          <w:trHeight w:val="440"/>
        </w:trPr>
        <w:tc>
          <w:tcPr>
            <w:tcW w:w="726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7260" w:type="dxa"/>
            <w:vAlign w:val="bottom"/>
          </w:tcPr>
          <w:p>
            <w:pPr>
              <w:ind w:left="180"/>
              <w:spacing w:after="0"/>
              <w:rPr>
                <w:sz w:val="20"/>
                <w:szCs w:val="20"/>
                <w:color w:val="auto"/>
              </w:rPr>
            </w:pPr>
            <w:r>
              <w:rPr>
                <w:rFonts w:ascii="Arial" w:cs="Arial" w:eastAsia="Arial" w:hAnsi="Arial"/>
                <w:sz w:val="16"/>
                <w:szCs w:val="16"/>
                <w:color w:val="auto"/>
              </w:rPr>
              <w:t>Expenditures for property, plant and equipment</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(531)</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(811)</w:t>
            </w:r>
          </w:p>
        </w:tc>
      </w:tr>
      <w:tr>
        <w:trPr>
          <w:trHeight w:val="216"/>
        </w:trPr>
        <w:tc>
          <w:tcPr>
            <w:tcW w:w="7260" w:type="dxa"/>
            <w:vAlign w:val="bottom"/>
          </w:tcPr>
          <w:p>
            <w:pPr>
              <w:ind w:left="180"/>
              <w:spacing w:after="0"/>
              <w:rPr>
                <w:sz w:val="20"/>
                <w:szCs w:val="20"/>
                <w:color w:val="auto"/>
              </w:rPr>
            </w:pPr>
            <w:r>
              <w:rPr>
                <w:rFonts w:ascii="Arial" w:cs="Arial" w:eastAsia="Arial" w:hAnsi="Arial"/>
                <w:sz w:val="16"/>
                <w:szCs w:val="16"/>
                <w:color w:val="auto"/>
              </w:rPr>
              <w:t>Expenditures for investments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6"/>
        </w:trPr>
        <w:tc>
          <w:tcPr>
            <w:tcW w:w="7260" w:type="dxa"/>
            <w:vAlign w:val="bottom"/>
          </w:tcPr>
          <w:p>
            <w:pPr>
              <w:ind w:left="180"/>
              <w:spacing w:after="0"/>
              <w:rPr>
                <w:sz w:val="20"/>
                <w:szCs w:val="20"/>
                <w:color w:val="auto"/>
              </w:rPr>
            </w:pPr>
            <w:r>
              <w:rPr>
                <w:rFonts w:ascii="Arial" w:cs="Arial" w:eastAsia="Arial" w:hAnsi="Arial"/>
                <w:sz w:val="16"/>
                <w:szCs w:val="16"/>
                <w:color w:val="auto"/>
              </w:rPr>
              <w:t>Proceeds from sale of asset</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371</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260" w:type="dxa"/>
            <w:vAlign w:val="bottom"/>
          </w:tcPr>
          <w:p>
            <w:pPr>
              <w:ind w:left="180"/>
              <w:spacing w:after="0"/>
              <w:rPr>
                <w:sz w:val="20"/>
                <w:szCs w:val="20"/>
                <w:color w:val="auto"/>
              </w:rPr>
            </w:pPr>
            <w:r>
              <w:rPr>
                <w:rFonts w:ascii="Arial" w:cs="Arial" w:eastAsia="Arial" w:hAnsi="Arial"/>
                <w:sz w:val="16"/>
                <w:szCs w:val="16"/>
                <w:color w:val="auto"/>
              </w:rPr>
              <w:t>Distributions from investments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7260" w:type="dxa"/>
            <w:vAlign w:val="bottom"/>
          </w:tcPr>
          <w:p>
            <w:pPr>
              <w:ind w:left="180"/>
              <w:spacing w:after="0"/>
              <w:rPr>
                <w:sz w:val="20"/>
                <w:szCs w:val="20"/>
                <w:color w:val="auto"/>
              </w:rPr>
            </w:pPr>
            <w:r>
              <w:rPr>
                <w:rFonts w:ascii="Arial" w:cs="Arial" w:eastAsia="Arial" w:hAnsi="Arial"/>
                <w:sz w:val="16"/>
                <w:szCs w:val="16"/>
                <w:color w:val="auto"/>
              </w:rPr>
              <w:t>Purchases of nuclear decommissioning and other trust assets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(136)</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16"/>
        </w:trPr>
        <w:tc>
          <w:tcPr>
            <w:tcW w:w="7260" w:type="dxa"/>
            <w:vAlign w:val="bottom"/>
          </w:tcPr>
          <w:p>
            <w:pPr>
              <w:ind w:left="180"/>
              <w:spacing w:after="0"/>
              <w:rPr>
                <w:sz w:val="20"/>
                <w:szCs w:val="20"/>
                <w:color w:val="auto"/>
              </w:rPr>
            </w:pPr>
            <w:r>
              <w:rPr>
                <w:rFonts w:ascii="Arial" w:cs="Arial" w:eastAsia="Arial" w:hAnsi="Arial"/>
                <w:sz w:val="16"/>
                <w:szCs w:val="16"/>
                <w:color w:val="auto"/>
              </w:rPr>
              <w:t>Proceeds from sales by nuclear decommissioning and other trusts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134</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16"/>
        </w:trPr>
        <w:tc>
          <w:tcPr>
            <w:tcW w:w="7260" w:type="dxa"/>
            <w:vAlign w:val="bottom"/>
          </w:tcPr>
          <w:p>
            <w:pPr>
              <w:ind w:left="180"/>
              <w:spacing w:after="0"/>
              <w:rPr>
                <w:sz w:val="20"/>
                <w:szCs w:val="20"/>
                <w:color w:val="auto"/>
              </w:rPr>
            </w:pPr>
            <w:r>
              <w:rPr>
                <w:rFonts w:ascii="Arial" w:cs="Arial" w:eastAsia="Arial" w:hAnsi="Arial"/>
                <w:sz w:val="16"/>
                <w:szCs w:val="16"/>
                <w:color w:val="auto"/>
              </w:rPr>
              <w:t>Decrease in restricted cash</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52</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6"/>
        </w:trPr>
        <w:tc>
          <w:tcPr>
            <w:tcW w:w="7260" w:type="dxa"/>
            <w:vAlign w:val="bottom"/>
          </w:tcPr>
          <w:p>
            <w:pPr>
              <w:ind w:left="180"/>
              <w:spacing w:after="0"/>
              <w:rPr>
                <w:sz w:val="20"/>
                <w:szCs w:val="20"/>
                <w:color w:val="auto"/>
              </w:rPr>
            </w:pPr>
            <w:r>
              <w:rPr>
                <w:rFonts w:ascii="Arial" w:cs="Arial" w:eastAsia="Arial" w:hAnsi="Arial"/>
                <w:sz w:val="16"/>
                <w:szCs w:val="16"/>
                <w:color w:val="auto"/>
              </w:rPr>
              <w:t>Increase in restricted cash</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6"/>
        </w:trPr>
        <w:tc>
          <w:tcPr>
            <w:tcW w:w="7260" w:type="dxa"/>
            <w:vAlign w:val="bottom"/>
          </w:tcPr>
          <w:p>
            <w:pPr>
              <w:ind w:left="180"/>
              <w:spacing w:after="0"/>
              <w:rPr>
                <w:sz w:val="20"/>
                <w:szCs w:val="20"/>
                <w:color w:val="auto"/>
              </w:rPr>
            </w:pPr>
            <w:r>
              <w:rPr>
                <w:rFonts w:ascii="Arial" w:cs="Arial" w:eastAsia="Arial" w:hAnsi="Arial"/>
                <w:sz w:val="16"/>
                <w:szCs w:val="16"/>
                <w:color w:val="auto"/>
              </w:rPr>
              <w:t>Other</w:t>
            </w:r>
          </w:p>
        </w:tc>
        <w:tc>
          <w:tcPr>
            <w:tcW w:w="18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23"/>
        </w:trPr>
        <w:tc>
          <w:tcPr>
            <w:tcW w:w="7260" w:type="dxa"/>
            <w:vAlign w:val="bottom"/>
          </w:tcPr>
          <w:p>
            <w:pPr>
              <w:ind w:left="360"/>
              <w:spacing w:after="0"/>
              <w:rPr>
                <w:sz w:val="20"/>
                <w:szCs w:val="20"/>
                <w:color w:val="auto"/>
              </w:rPr>
            </w:pPr>
            <w:r>
              <w:rPr>
                <w:rFonts w:ascii="Arial" w:cs="Arial" w:eastAsia="Arial" w:hAnsi="Arial"/>
                <w:sz w:val="16"/>
                <w:szCs w:val="16"/>
                <w:color w:val="auto"/>
              </w:rPr>
              <w:t>Net cash used in investing activities</w:t>
            </w:r>
          </w:p>
        </w:tc>
        <w:tc>
          <w:tcPr>
            <w:tcW w:w="1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w:t>
            </w:r>
          </w:p>
        </w:tc>
      </w:tr>
      <w:tr>
        <w:trPr>
          <w:trHeight w:val="440"/>
        </w:trPr>
        <w:tc>
          <w:tcPr>
            <w:tcW w:w="726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7260" w:type="dxa"/>
            <w:vAlign w:val="bottom"/>
          </w:tcPr>
          <w:p>
            <w:pPr>
              <w:ind w:left="180"/>
              <w:spacing w:after="0"/>
              <w:rPr>
                <w:sz w:val="20"/>
                <w:szCs w:val="20"/>
                <w:color w:val="auto"/>
              </w:rPr>
            </w:pPr>
            <w:r>
              <w:rPr>
                <w:rFonts w:ascii="Arial" w:cs="Arial" w:eastAsia="Arial" w:hAnsi="Arial"/>
                <w:sz w:val="16"/>
                <w:szCs w:val="16"/>
                <w:color w:val="auto"/>
              </w:rPr>
              <w:t>Common dividends paid</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(145)</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16"/>
        </w:trPr>
        <w:tc>
          <w:tcPr>
            <w:tcW w:w="7260" w:type="dxa"/>
            <w:vAlign w:val="bottom"/>
          </w:tcPr>
          <w:p>
            <w:pPr>
              <w:ind w:left="180"/>
              <w:spacing w:after="0"/>
              <w:rPr>
                <w:sz w:val="20"/>
                <w:szCs w:val="20"/>
                <w:color w:val="auto"/>
              </w:rPr>
            </w:pPr>
            <w:r>
              <w:rPr>
                <w:rFonts w:ascii="Arial" w:cs="Arial" w:eastAsia="Arial" w:hAnsi="Arial"/>
                <w:sz w:val="16"/>
                <w:szCs w:val="16"/>
                <w:color w:val="auto"/>
              </w:rPr>
              <w:t>Preferred dividends paid by subsidiaries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7260" w:type="dxa"/>
            <w:vAlign w:val="bottom"/>
          </w:tcPr>
          <w:p>
            <w:pPr>
              <w:ind w:left="180"/>
              <w:spacing w:after="0"/>
              <w:rPr>
                <w:sz w:val="20"/>
                <w:szCs w:val="20"/>
                <w:color w:val="auto"/>
              </w:rPr>
            </w:pPr>
            <w:r>
              <w:rPr>
                <w:rFonts w:ascii="Arial" w:cs="Arial" w:eastAsia="Arial" w:hAnsi="Arial"/>
                <w:sz w:val="16"/>
                <w:szCs w:val="16"/>
                <w:color w:val="auto"/>
              </w:rPr>
              <w:t>Issuances of common stock</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7260" w:type="dxa"/>
            <w:vAlign w:val="bottom"/>
          </w:tcPr>
          <w:p>
            <w:pPr>
              <w:ind w:left="180"/>
              <w:spacing w:after="0"/>
              <w:rPr>
                <w:sz w:val="20"/>
                <w:szCs w:val="20"/>
                <w:color w:val="auto"/>
              </w:rPr>
            </w:pPr>
            <w:r>
              <w:rPr>
                <w:rFonts w:ascii="Arial" w:cs="Arial" w:eastAsia="Arial" w:hAnsi="Arial"/>
                <w:sz w:val="16"/>
                <w:szCs w:val="16"/>
                <w:color w:val="auto"/>
              </w:rPr>
              <w:t>Repurchases of common stock</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6"/>
        </w:trPr>
        <w:tc>
          <w:tcPr>
            <w:tcW w:w="7260" w:type="dxa"/>
            <w:vAlign w:val="bottom"/>
          </w:tcPr>
          <w:p>
            <w:pPr>
              <w:ind w:left="180"/>
              <w:spacing w:after="0"/>
              <w:rPr>
                <w:sz w:val="20"/>
                <w:szCs w:val="20"/>
                <w:color w:val="auto"/>
              </w:rPr>
            </w:pPr>
            <w:r>
              <w:rPr>
                <w:rFonts w:ascii="Arial" w:cs="Arial" w:eastAsia="Arial" w:hAnsi="Arial"/>
                <w:sz w:val="16"/>
                <w:szCs w:val="16"/>
                <w:color w:val="auto"/>
              </w:rPr>
              <w:t>Issuances of debt (maturities greater than 90 days)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608</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1,008</w:t>
            </w:r>
          </w:p>
        </w:tc>
      </w:tr>
      <w:tr>
        <w:trPr>
          <w:trHeight w:val="216"/>
        </w:trPr>
        <w:tc>
          <w:tcPr>
            <w:tcW w:w="7260" w:type="dxa"/>
            <w:vAlign w:val="bottom"/>
          </w:tcPr>
          <w:p>
            <w:pPr>
              <w:ind w:left="180"/>
              <w:spacing w:after="0"/>
              <w:rPr>
                <w:sz w:val="20"/>
                <w:szCs w:val="20"/>
                <w:color w:val="auto"/>
              </w:rPr>
            </w:pPr>
            <w:r>
              <w:rPr>
                <w:rFonts w:ascii="Arial" w:cs="Arial" w:eastAsia="Arial" w:hAnsi="Arial"/>
                <w:sz w:val="16"/>
                <w:szCs w:val="16"/>
                <w:color w:val="auto"/>
              </w:rPr>
              <w:t>Payments on debt (maturities greater than 90 days)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(645)</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(347)</w:t>
            </w:r>
          </w:p>
        </w:tc>
      </w:tr>
      <w:tr>
        <w:trPr>
          <w:trHeight w:val="216"/>
        </w:trPr>
        <w:tc>
          <w:tcPr>
            <w:tcW w:w="7260" w:type="dxa"/>
            <w:vAlign w:val="bottom"/>
          </w:tcPr>
          <w:p>
            <w:pPr>
              <w:ind w:left="180"/>
              <w:spacing w:after="0"/>
              <w:rPr>
                <w:sz w:val="20"/>
                <w:szCs w:val="20"/>
                <w:color w:val="auto"/>
              </w:rPr>
            </w:pPr>
            <w:r>
              <w:rPr>
                <w:rFonts w:ascii="Arial" w:cs="Arial" w:eastAsia="Arial" w:hAnsi="Arial"/>
                <w:sz w:val="16"/>
                <w:szCs w:val="16"/>
                <w:color w:val="auto"/>
              </w:rPr>
              <w:t>Proceeds from sale of noncontrolling interests, net of $25 in offering costs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574</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260" w:type="dxa"/>
            <w:vAlign w:val="bottom"/>
          </w:tcPr>
          <w:p>
            <w:pPr>
              <w:ind w:left="180"/>
              <w:spacing w:after="0"/>
              <w:rPr>
                <w:sz w:val="20"/>
                <w:szCs w:val="20"/>
                <w:color w:val="auto"/>
              </w:rPr>
            </w:pPr>
            <w:r>
              <w:rPr>
                <w:rFonts w:ascii="Arial" w:cs="Arial" w:eastAsia="Arial" w:hAnsi="Arial"/>
                <w:sz w:val="16"/>
                <w:szCs w:val="16"/>
                <w:color w:val="auto"/>
              </w:rPr>
              <w:t>Decrease in short-term debt, net</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(224)</w:t>
            </w:r>
          </w:p>
        </w:tc>
      </w:tr>
      <w:tr>
        <w:trPr>
          <w:trHeight w:val="216"/>
        </w:trPr>
        <w:tc>
          <w:tcPr>
            <w:tcW w:w="7260" w:type="dxa"/>
            <w:vAlign w:val="bottom"/>
          </w:tcPr>
          <w:p>
            <w:pPr>
              <w:ind w:left="180"/>
              <w:spacing w:after="0"/>
              <w:rPr>
                <w:sz w:val="20"/>
                <w:szCs w:val="20"/>
                <w:color w:val="auto"/>
              </w:rPr>
            </w:pPr>
            <w:r>
              <w:rPr>
                <w:rFonts w:ascii="Arial" w:cs="Arial" w:eastAsia="Arial" w:hAnsi="Arial"/>
                <w:sz w:val="16"/>
                <w:szCs w:val="16"/>
                <w:color w:val="auto"/>
              </w:rPr>
              <w:t>Distributions to noncontrolling interests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7260" w:type="dxa"/>
            <w:vAlign w:val="bottom"/>
          </w:tcPr>
          <w:p>
            <w:pPr>
              <w:ind w:left="180"/>
              <w:spacing w:after="0"/>
              <w:rPr>
                <w:sz w:val="20"/>
                <w:szCs w:val="20"/>
                <w:color w:val="auto"/>
              </w:rPr>
            </w:pPr>
            <w:r>
              <w:rPr>
                <w:rFonts w:ascii="Arial" w:cs="Arial" w:eastAsia="Arial" w:hAnsi="Arial"/>
                <w:sz w:val="16"/>
                <w:szCs w:val="16"/>
                <w:color w:val="auto"/>
              </w:rPr>
              <w:t>Other</w:t>
            </w:r>
          </w:p>
        </w:tc>
        <w:tc>
          <w:tcPr>
            <w:tcW w:w="18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23"/>
        </w:trPr>
        <w:tc>
          <w:tcPr>
            <w:tcW w:w="7260" w:type="dxa"/>
            <w:vAlign w:val="bottom"/>
          </w:tcPr>
          <w:p>
            <w:pPr>
              <w:ind w:left="360"/>
              <w:spacing w:after="0"/>
              <w:rPr>
                <w:sz w:val="20"/>
                <w:szCs w:val="20"/>
                <w:color w:val="auto"/>
              </w:rPr>
            </w:pPr>
            <w:r>
              <w:rPr>
                <w:rFonts w:ascii="Arial" w:cs="Arial" w:eastAsia="Arial" w:hAnsi="Arial"/>
                <w:sz w:val="16"/>
                <w:szCs w:val="16"/>
                <w:color w:val="auto"/>
              </w:rPr>
              <w:t>Net cash provided by financing activities</w:t>
            </w:r>
          </w:p>
        </w:tc>
        <w:tc>
          <w:tcPr>
            <w:tcW w:w="1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r>
      <w:tr>
        <w:trPr>
          <w:trHeight w:val="439"/>
        </w:trPr>
        <w:tc>
          <w:tcPr>
            <w:tcW w:w="726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8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440"/>
        </w:trPr>
        <w:tc>
          <w:tcPr>
            <w:tcW w:w="7260" w:type="dxa"/>
            <w:vAlign w:val="bottom"/>
          </w:tcPr>
          <w:p>
            <w:pPr>
              <w:spacing w:after="0"/>
              <w:rPr>
                <w:sz w:val="20"/>
                <w:szCs w:val="20"/>
                <w:color w:val="auto"/>
              </w:rPr>
            </w:pPr>
            <w:r>
              <w:rPr>
                <w:rFonts w:ascii="Arial" w:cs="Arial" w:eastAsia="Arial" w:hAnsi="Arial"/>
                <w:sz w:val="16"/>
                <w:szCs w:val="16"/>
                <w:color w:val="auto"/>
              </w:rPr>
              <w:t>Increase in cash and cash equivalents</w:t>
            </w: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996</w:t>
            </w: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16"/>
        </w:trPr>
        <w:tc>
          <w:tcPr>
            <w:tcW w:w="7260" w:type="dxa"/>
            <w:vAlign w:val="bottom"/>
          </w:tcPr>
          <w:p>
            <w:pPr>
              <w:spacing w:after="0"/>
              <w:rPr>
                <w:sz w:val="20"/>
                <w:szCs w:val="20"/>
                <w:color w:val="auto"/>
              </w:rPr>
            </w:pPr>
            <w:r>
              <w:rPr>
                <w:rFonts w:ascii="Arial" w:cs="Arial" w:eastAsia="Arial" w:hAnsi="Arial"/>
                <w:sz w:val="16"/>
                <w:szCs w:val="16"/>
                <w:color w:val="auto"/>
              </w:rPr>
              <w:t>Cash and cash equivalents, January 1</w:t>
            </w:r>
          </w:p>
        </w:tc>
        <w:tc>
          <w:tcPr>
            <w:tcW w:w="18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w:t>
            </w: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r>
      <w:tr>
        <w:trPr>
          <w:trHeight w:val="189"/>
        </w:trPr>
        <w:tc>
          <w:tcPr>
            <w:tcW w:w="7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Cash and cash equivalents, March 31</w:t>
            </w:r>
          </w:p>
        </w:tc>
        <w:tc>
          <w:tcPr>
            <w:tcW w:w="21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1,471</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w:t>
            </w:r>
          </w:p>
        </w:tc>
      </w:tr>
      <w:tr>
        <w:trPr>
          <w:trHeight w:val="21"/>
        </w:trPr>
        <w:tc>
          <w:tcPr>
            <w:tcW w:w="7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FLOWS (CONTINUED)</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3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Three months ended March 31,</w:t>
            </w:r>
          </w:p>
        </w:tc>
      </w:tr>
      <w:tr>
        <w:trPr>
          <w:trHeight w:val="223"/>
        </w:trPr>
        <w:tc>
          <w:tcPr>
            <w:tcW w:w="73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2013</w:t>
            </w:r>
          </w:p>
        </w:tc>
        <w:tc>
          <w:tcPr>
            <w:tcW w:w="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w w:val="96"/>
              </w:rPr>
              <w:t>2012</w:t>
            </w:r>
          </w:p>
        </w:tc>
      </w:tr>
      <w:tr>
        <w:trPr>
          <w:trHeight w:val="231"/>
        </w:trPr>
        <w:tc>
          <w:tcPr>
            <w:tcW w:w="73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(unaudited)</w:t>
            </w:r>
          </w:p>
        </w:tc>
        <w:tc>
          <w:tcPr>
            <w:tcW w:w="740" w:type="dxa"/>
            <w:vAlign w:val="bottom"/>
          </w:tcPr>
          <w:p>
            <w:pPr>
              <w:spacing w:after="0"/>
              <w:rPr>
                <w:sz w:val="20"/>
                <w:szCs w:val="20"/>
                <w:color w:val="auto"/>
              </w:rPr>
            </w:pPr>
          </w:p>
        </w:tc>
      </w:tr>
      <w:tr>
        <w:trPr>
          <w:trHeight w:val="203"/>
        </w:trPr>
        <w:tc>
          <w:tcPr>
            <w:tcW w:w="7300" w:type="dxa"/>
            <w:vAlign w:val="bottom"/>
          </w:tcPr>
          <w:p>
            <w:pPr>
              <w:spacing w:after="0"/>
              <w:rPr>
                <w:sz w:val="20"/>
                <w:szCs w:val="20"/>
                <w:color w:val="auto"/>
              </w:rPr>
            </w:pPr>
            <w:r>
              <w:rPr>
                <w:rFonts w:ascii="Arial" w:cs="Arial" w:eastAsia="Arial" w:hAnsi="Arial"/>
                <w:sz w:val="16"/>
                <w:szCs w:val="16"/>
                <w:color w:val="auto"/>
              </w:rPr>
              <w:t>SUPPLEMENTAL DISCLOSURE OF CASH FLOW INFORMATION</w:t>
            </w:r>
          </w:p>
        </w:tc>
        <w:tc>
          <w:tcPr>
            <w:tcW w:w="1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5"/>
        </w:trPr>
        <w:tc>
          <w:tcPr>
            <w:tcW w:w="7300" w:type="dxa"/>
            <w:vAlign w:val="bottom"/>
          </w:tcPr>
          <w:p>
            <w:pPr>
              <w:ind w:left="180"/>
              <w:spacing w:after="0"/>
              <w:rPr>
                <w:sz w:val="20"/>
                <w:szCs w:val="20"/>
                <w:color w:val="auto"/>
              </w:rPr>
            </w:pPr>
            <w:r>
              <w:rPr>
                <w:rFonts w:ascii="Arial" w:cs="Arial" w:eastAsia="Arial" w:hAnsi="Arial"/>
                <w:sz w:val="16"/>
                <w:szCs w:val="16"/>
                <w:color w:val="auto"/>
              </w:rPr>
              <w:t>Interest payments, net of amounts capitalized</w:t>
            </w:r>
          </w:p>
        </w:tc>
        <w:tc>
          <w:tcPr>
            <w:tcW w:w="2640" w:type="dxa"/>
            <w:vAlign w:val="bottom"/>
            <w:gridSpan w:val="2"/>
          </w:tcPr>
          <w:p>
            <w:pPr>
              <w:jc w:val="right"/>
              <w:ind w:right="568"/>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87</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16"/>
        </w:trPr>
        <w:tc>
          <w:tcPr>
            <w:tcW w:w="7300" w:type="dxa"/>
            <w:vAlign w:val="bottom"/>
          </w:tcPr>
          <w:p>
            <w:pPr>
              <w:ind w:left="180"/>
              <w:spacing w:after="0"/>
              <w:rPr>
                <w:sz w:val="20"/>
                <w:szCs w:val="20"/>
                <w:color w:val="auto"/>
              </w:rPr>
            </w:pPr>
            <w:r>
              <w:rPr>
                <w:rFonts w:ascii="Arial" w:cs="Arial" w:eastAsia="Arial" w:hAnsi="Arial"/>
                <w:sz w:val="16"/>
                <w:szCs w:val="16"/>
                <w:color w:val="auto"/>
              </w:rPr>
              <w:t>Income tax payments, net of refunds</w:t>
            </w:r>
          </w:p>
        </w:tc>
        <w:tc>
          <w:tcPr>
            <w:tcW w:w="1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14</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427"/>
        </w:trPr>
        <w:tc>
          <w:tcPr>
            <w:tcW w:w="7300" w:type="dxa"/>
            <w:vAlign w:val="bottom"/>
          </w:tcPr>
          <w:p>
            <w:pPr>
              <w:spacing w:after="0"/>
              <w:rPr>
                <w:sz w:val="20"/>
                <w:szCs w:val="20"/>
                <w:color w:val="auto"/>
              </w:rPr>
            </w:pPr>
            <w:r>
              <w:rPr>
                <w:rFonts w:ascii="Arial" w:cs="Arial" w:eastAsia="Arial" w:hAnsi="Arial"/>
                <w:sz w:val="16"/>
                <w:szCs w:val="16"/>
                <w:color w:val="auto"/>
              </w:rPr>
              <w:t>SUPPLEMENTAL DISCLOSURE OF NONCASH INVESTING ACTIVITIES</w:t>
            </w:r>
          </w:p>
        </w:tc>
        <w:tc>
          <w:tcPr>
            <w:tcW w:w="1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5"/>
        </w:trPr>
        <w:tc>
          <w:tcPr>
            <w:tcW w:w="7300" w:type="dxa"/>
            <w:vAlign w:val="bottom"/>
          </w:tcPr>
          <w:p>
            <w:pPr>
              <w:ind w:left="180"/>
              <w:spacing w:after="0"/>
              <w:rPr>
                <w:sz w:val="20"/>
                <w:szCs w:val="20"/>
                <w:color w:val="auto"/>
              </w:rPr>
            </w:pPr>
            <w:r>
              <w:rPr>
                <w:rFonts w:ascii="Arial" w:cs="Arial" w:eastAsia="Arial" w:hAnsi="Arial"/>
                <w:sz w:val="16"/>
                <w:szCs w:val="16"/>
                <w:color w:val="auto"/>
              </w:rPr>
              <w:t>Accrued capital expenditures</w:t>
            </w:r>
          </w:p>
        </w:tc>
        <w:tc>
          <w:tcPr>
            <w:tcW w:w="2640" w:type="dxa"/>
            <w:vAlign w:val="bottom"/>
            <w:gridSpan w:val="2"/>
          </w:tcPr>
          <w:p>
            <w:pPr>
              <w:jc w:val="right"/>
              <w:ind w:right="568"/>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275</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336</w:t>
            </w:r>
          </w:p>
        </w:tc>
      </w:tr>
      <w:tr>
        <w:trPr>
          <w:trHeight w:val="216"/>
        </w:trPr>
        <w:tc>
          <w:tcPr>
            <w:tcW w:w="7300" w:type="dxa"/>
            <w:vAlign w:val="bottom"/>
          </w:tcPr>
          <w:p>
            <w:pPr>
              <w:ind w:left="180"/>
              <w:spacing w:after="0"/>
              <w:rPr>
                <w:sz w:val="20"/>
                <w:szCs w:val="20"/>
                <w:color w:val="auto"/>
              </w:rPr>
            </w:pPr>
            <w:r>
              <w:rPr>
                <w:rFonts w:ascii="Arial" w:cs="Arial" w:eastAsia="Arial" w:hAnsi="Arial"/>
                <w:sz w:val="16"/>
                <w:szCs w:val="16"/>
                <w:color w:val="auto"/>
              </w:rPr>
              <w:t>U.S. Treasury grants receivable</w:t>
            </w:r>
          </w:p>
        </w:tc>
        <w:tc>
          <w:tcPr>
            <w:tcW w:w="1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(22)</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427"/>
        </w:trPr>
        <w:tc>
          <w:tcPr>
            <w:tcW w:w="7300" w:type="dxa"/>
            <w:vAlign w:val="bottom"/>
          </w:tcPr>
          <w:p>
            <w:pPr>
              <w:spacing w:after="0"/>
              <w:rPr>
                <w:sz w:val="20"/>
                <w:szCs w:val="20"/>
                <w:color w:val="auto"/>
              </w:rPr>
            </w:pPr>
            <w:r>
              <w:rPr>
                <w:rFonts w:ascii="Arial" w:cs="Arial" w:eastAsia="Arial" w:hAnsi="Arial"/>
                <w:sz w:val="16"/>
                <w:szCs w:val="16"/>
                <w:color w:val="auto"/>
              </w:rPr>
              <w:t>SUPPLEMENTAL DISCLOSURE OF NONCASH FINANCING ACTIVITIES</w:t>
            </w:r>
          </w:p>
        </w:tc>
        <w:tc>
          <w:tcPr>
            <w:tcW w:w="1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7"/>
        </w:trPr>
        <w:tc>
          <w:tcPr>
            <w:tcW w:w="73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Dividends declared but not paid</w:t>
            </w:r>
          </w:p>
        </w:tc>
        <w:tc>
          <w:tcPr>
            <w:tcW w:w="2640" w:type="dxa"/>
            <w:vAlign w:val="bottom"/>
            <w:tcBorders>
              <w:bottom w:val="single" w:sz="8" w:color="auto"/>
            </w:tcBorders>
            <w:gridSpan w:val="2"/>
          </w:tcPr>
          <w:p>
            <w:pPr>
              <w:jc w:val="right"/>
              <w:ind w:right="568"/>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r>
      <w:tr>
        <w:trPr>
          <w:trHeight w:val="21"/>
        </w:trPr>
        <w:tc>
          <w:tcPr>
            <w:tcW w:w="7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17" w:lineRule="exact"/>
        <w:rPr>
          <w:sz w:val="20"/>
          <w:szCs w:val="20"/>
          <w:color w:val="auto"/>
        </w:rPr>
      </w:pPr>
    </w:p>
    <w:p>
      <w:pPr>
        <w:ind w:left="9040"/>
        <w:spacing w:after="0"/>
        <w:rPr>
          <w:sz w:val="20"/>
          <w:szCs w:val="20"/>
          <w:color w:val="auto"/>
        </w:rPr>
      </w:pPr>
      <w:r>
        <w:rPr>
          <w:rFonts w:ascii="Arial" w:cs="Arial" w:eastAsia="Arial" w:hAnsi="Arial"/>
          <w:sz w:val="14"/>
          <w:szCs w:val="14"/>
          <w:color w:val="auto"/>
        </w:rPr>
        <w:t>Three months ended March 31,</w:t>
      </w:r>
    </w:p>
    <w:p>
      <w:pPr>
        <w:sectPr>
          <w:pgSz w:w="11900" w:h="16901" w:orient="portrait"/>
          <w:cols w:equalWidth="0" w:num="1">
            <w:col w:w="11420"/>
          </w:cols>
          <w:pgMar w:left="240" w:top="141" w:right="23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8"/>
        </w:trPr>
        <w:tc>
          <w:tcPr>
            <w:tcW w:w="86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2013</w:t>
            </w: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2012</w:t>
            </w:r>
          </w:p>
        </w:tc>
      </w:tr>
      <w:tr>
        <w:trPr>
          <w:trHeight w:val="231"/>
        </w:trPr>
        <w:tc>
          <w:tcPr>
            <w:tcW w:w="8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(unaudited)</w:t>
            </w:r>
          </w:p>
        </w:tc>
        <w:tc>
          <w:tcPr>
            <w:tcW w:w="940" w:type="dxa"/>
            <w:vAlign w:val="bottom"/>
          </w:tcPr>
          <w:p>
            <w:pPr>
              <w:spacing w:after="0"/>
              <w:rPr>
                <w:sz w:val="20"/>
                <w:szCs w:val="20"/>
                <w:color w:val="auto"/>
              </w:rPr>
            </w:pPr>
          </w:p>
        </w:tc>
      </w:tr>
      <w:tr>
        <w:trPr>
          <w:trHeight w:val="203"/>
        </w:trPr>
        <w:tc>
          <w:tcPr>
            <w:tcW w:w="8660" w:type="dxa"/>
            <w:vAlign w:val="bottom"/>
          </w:tcPr>
          <w:p>
            <w:pPr>
              <w:spacing w:after="0"/>
              <w:rPr>
                <w:sz w:val="20"/>
                <w:szCs w:val="20"/>
                <w:color w:val="auto"/>
              </w:rPr>
            </w:pPr>
            <w:r>
              <w:rPr>
                <w:rFonts w:ascii="Arial" w:cs="Arial" w:eastAsia="Arial" w:hAnsi="Arial"/>
                <w:sz w:val="16"/>
                <w:szCs w:val="16"/>
                <w:color w:val="auto"/>
              </w:rPr>
              <w:t>Operating revenues</w:t>
            </w: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5"/>
        </w:trPr>
        <w:tc>
          <w:tcPr>
            <w:tcW w:w="8660" w:type="dxa"/>
            <w:vAlign w:val="bottom"/>
          </w:tcPr>
          <w:p>
            <w:pPr>
              <w:ind w:left="180"/>
              <w:spacing w:after="0"/>
              <w:rPr>
                <w:sz w:val="20"/>
                <w:szCs w:val="20"/>
                <w:color w:val="auto"/>
              </w:rPr>
            </w:pPr>
            <w:r>
              <w:rPr>
                <w:rFonts w:ascii="Arial" w:cs="Arial" w:eastAsia="Arial" w:hAnsi="Arial"/>
                <w:sz w:val="16"/>
                <w:szCs w:val="16"/>
                <w:color w:val="auto"/>
              </w:rPr>
              <w:t>Electric</w:t>
            </w:r>
          </w:p>
        </w:tc>
        <w:tc>
          <w:tcPr>
            <w:tcW w:w="920" w:type="dxa"/>
            <w:vAlign w:val="bottom"/>
          </w:tcPr>
          <w:p>
            <w:pPr>
              <w:jc w:val="right"/>
              <w:ind w:right="765"/>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772</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671</w:t>
            </w:r>
          </w:p>
        </w:tc>
      </w:tr>
      <w:tr>
        <w:trPr>
          <w:trHeight w:val="216"/>
        </w:trPr>
        <w:tc>
          <w:tcPr>
            <w:tcW w:w="8660" w:type="dxa"/>
            <w:vAlign w:val="bottom"/>
          </w:tcPr>
          <w:p>
            <w:pPr>
              <w:ind w:left="180"/>
              <w:spacing w:after="0"/>
              <w:rPr>
                <w:sz w:val="20"/>
                <w:szCs w:val="20"/>
                <w:color w:val="auto"/>
              </w:rPr>
            </w:pPr>
            <w:r>
              <w:rPr>
                <w:rFonts w:ascii="Arial" w:cs="Arial" w:eastAsia="Arial" w:hAnsi="Arial"/>
                <w:sz w:val="16"/>
                <w:szCs w:val="16"/>
                <w:color w:val="auto"/>
              </w:rPr>
              <w:t>Natural gas</w:t>
            </w: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r>
      <w:tr>
        <w:trPr>
          <w:trHeight w:val="223"/>
        </w:trPr>
        <w:tc>
          <w:tcPr>
            <w:tcW w:w="8660" w:type="dxa"/>
            <w:vAlign w:val="bottom"/>
          </w:tcPr>
          <w:p>
            <w:pPr>
              <w:ind w:left="360"/>
              <w:spacing w:after="0"/>
              <w:rPr>
                <w:sz w:val="20"/>
                <w:szCs w:val="20"/>
                <w:color w:val="auto"/>
              </w:rPr>
            </w:pPr>
            <w:r>
              <w:rPr>
                <w:rFonts w:ascii="Arial" w:cs="Arial" w:eastAsia="Arial" w:hAnsi="Arial"/>
                <w:sz w:val="16"/>
                <w:szCs w:val="16"/>
                <w:color w:val="auto"/>
              </w:rPr>
              <w:t>Total operating revenues</w:t>
            </w: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939</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w:t>
            </w:r>
          </w:p>
        </w:tc>
      </w:tr>
      <w:tr>
        <w:trPr>
          <w:trHeight w:val="224"/>
        </w:trPr>
        <w:tc>
          <w:tcPr>
            <w:tcW w:w="8660" w:type="dxa"/>
            <w:vAlign w:val="bottom"/>
          </w:tcPr>
          <w:p>
            <w:pPr>
              <w:spacing w:after="0"/>
              <w:rPr>
                <w:sz w:val="20"/>
                <w:szCs w:val="20"/>
                <w:color w:val="auto"/>
              </w:rPr>
            </w:pPr>
            <w:r>
              <w:rPr>
                <w:rFonts w:ascii="Arial" w:cs="Arial" w:eastAsia="Arial" w:hAnsi="Arial"/>
                <w:sz w:val="16"/>
                <w:szCs w:val="16"/>
                <w:color w:val="auto"/>
              </w:rPr>
              <w:t>Operating expenses</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8660" w:type="dxa"/>
            <w:vAlign w:val="bottom"/>
          </w:tcPr>
          <w:p>
            <w:pPr>
              <w:ind w:left="180"/>
              <w:spacing w:after="0"/>
              <w:rPr>
                <w:sz w:val="20"/>
                <w:szCs w:val="20"/>
                <w:color w:val="auto"/>
              </w:rPr>
            </w:pPr>
            <w:r>
              <w:rPr>
                <w:rFonts w:ascii="Arial" w:cs="Arial" w:eastAsia="Arial" w:hAnsi="Arial"/>
                <w:sz w:val="16"/>
                <w:szCs w:val="16"/>
                <w:color w:val="auto"/>
              </w:rPr>
              <w:t>Cost of electric fuel and purchased power</w:t>
            </w: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209</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216"/>
        </w:trPr>
        <w:tc>
          <w:tcPr>
            <w:tcW w:w="8660" w:type="dxa"/>
            <w:vAlign w:val="bottom"/>
          </w:tcPr>
          <w:p>
            <w:pPr>
              <w:ind w:left="180"/>
              <w:spacing w:after="0"/>
              <w:rPr>
                <w:sz w:val="20"/>
                <w:szCs w:val="20"/>
                <w:color w:val="auto"/>
              </w:rPr>
            </w:pPr>
            <w:r>
              <w:rPr>
                <w:rFonts w:ascii="Arial" w:cs="Arial" w:eastAsia="Arial" w:hAnsi="Arial"/>
                <w:sz w:val="16"/>
                <w:szCs w:val="16"/>
                <w:color w:val="auto"/>
              </w:rPr>
              <w:t>Cost of natural gas</w:t>
            </w: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76</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6"/>
        </w:trPr>
        <w:tc>
          <w:tcPr>
            <w:tcW w:w="8660" w:type="dxa"/>
            <w:vAlign w:val="bottom"/>
          </w:tcPr>
          <w:p>
            <w:pPr>
              <w:ind w:left="180"/>
              <w:spacing w:after="0"/>
              <w:rPr>
                <w:sz w:val="20"/>
                <w:szCs w:val="20"/>
                <w:color w:val="auto"/>
              </w:rPr>
            </w:pPr>
            <w:r>
              <w:rPr>
                <w:rFonts w:ascii="Arial" w:cs="Arial" w:eastAsia="Arial" w:hAnsi="Arial"/>
                <w:sz w:val="16"/>
                <w:szCs w:val="16"/>
                <w:color w:val="auto"/>
              </w:rPr>
              <w:t>Operation and maintenance</w:t>
            </w: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297</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268</w:t>
            </w:r>
          </w:p>
        </w:tc>
      </w:tr>
      <w:tr>
        <w:trPr>
          <w:trHeight w:val="216"/>
        </w:trPr>
        <w:tc>
          <w:tcPr>
            <w:tcW w:w="866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134</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16"/>
        </w:trPr>
        <w:tc>
          <w:tcPr>
            <w:tcW w:w="8660" w:type="dxa"/>
            <w:vAlign w:val="bottom"/>
          </w:tcPr>
          <w:p>
            <w:pPr>
              <w:ind w:left="180"/>
              <w:spacing w:after="0"/>
              <w:rPr>
                <w:sz w:val="20"/>
                <w:szCs w:val="20"/>
                <w:color w:val="auto"/>
              </w:rPr>
            </w:pPr>
            <w:r>
              <w:rPr>
                <w:rFonts w:ascii="Arial" w:cs="Arial" w:eastAsia="Arial" w:hAnsi="Arial"/>
                <w:sz w:val="16"/>
                <w:szCs w:val="16"/>
                <w:color w:val="auto"/>
              </w:rPr>
              <w:t>Franchise fees and other taxes</w:t>
            </w: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223"/>
        </w:trPr>
        <w:tc>
          <w:tcPr>
            <w:tcW w:w="8660" w:type="dxa"/>
            <w:vAlign w:val="bottom"/>
          </w:tcPr>
          <w:p>
            <w:pPr>
              <w:ind w:left="360"/>
              <w:spacing w:after="0"/>
              <w:rPr>
                <w:sz w:val="20"/>
                <w:szCs w:val="20"/>
                <w:color w:val="auto"/>
              </w:rPr>
            </w:pPr>
            <w:r>
              <w:rPr>
                <w:rFonts w:ascii="Arial" w:cs="Arial" w:eastAsia="Arial" w:hAnsi="Arial"/>
                <w:sz w:val="16"/>
                <w:szCs w:val="16"/>
                <w:color w:val="auto"/>
              </w:rPr>
              <w:t>Total operating expenses</w:t>
            </w: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w:t>
            </w:r>
          </w:p>
        </w:tc>
      </w:tr>
      <w:tr>
        <w:trPr>
          <w:trHeight w:val="224"/>
        </w:trPr>
        <w:tc>
          <w:tcPr>
            <w:tcW w:w="8660" w:type="dxa"/>
            <w:vAlign w:val="bottom"/>
          </w:tcPr>
          <w:p>
            <w:pPr>
              <w:spacing w:after="0"/>
              <w:rPr>
                <w:sz w:val="20"/>
                <w:szCs w:val="20"/>
                <w:color w:val="auto"/>
              </w:rPr>
            </w:pPr>
            <w:r>
              <w:rPr>
                <w:rFonts w:ascii="Arial" w:cs="Arial" w:eastAsia="Arial" w:hAnsi="Arial"/>
                <w:sz w:val="16"/>
                <w:szCs w:val="16"/>
                <w:color w:val="auto"/>
              </w:rPr>
              <w:t>Operating income</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168</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178</w:t>
            </w:r>
          </w:p>
        </w:tc>
      </w:tr>
      <w:tr>
        <w:trPr>
          <w:trHeight w:val="216"/>
        </w:trPr>
        <w:tc>
          <w:tcPr>
            <w:tcW w:w="8660" w:type="dxa"/>
            <w:vAlign w:val="bottom"/>
          </w:tcPr>
          <w:p>
            <w:pPr>
              <w:spacing w:after="0"/>
              <w:rPr>
                <w:sz w:val="20"/>
                <w:szCs w:val="20"/>
                <w:color w:val="auto"/>
              </w:rPr>
            </w:pPr>
            <w:r>
              <w:rPr>
                <w:rFonts w:ascii="Arial" w:cs="Arial" w:eastAsia="Arial" w:hAnsi="Arial"/>
                <w:sz w:val="16"/>
                <w:szCs w:val="16"/>
                <w:color w:val="auto"/>
              </w:rPr>
              <w:t>Other income, net</w:t>
            </w: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11</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8660" w:type="dxa"/>
            <w:vAlign w:val="bottom"/>
          </w:tcPr>
          <w:p>
            <w:pPr>
              <w:spacing w:after="0"/>
              <w:rPr>
                <w:sz w:val="20"/>
                <w:szCs w:val="20"/>
                <w:color w:val="auto"/>
              </w:rPr>
            </w:pPr>
            <w:r>
              <w:rPr>
                <w:rFonts w:ascii="Arial" w:cs="Arial" w:eastAsia="Arial" w:hAnsi="Arial"/>
                <w:sz w:val="16"/>
                <w:szCs w:val="16"/>
                <w:color w:val="auto"/>
              </w:rPr>
              <w:t>Interest income</w:t>
            </w: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660" w:type="dxa"/>
            <w:vAlign w:val="bottom"/>
          </w:tcPr>
          <w:p>
            <w:pPr>
              <w:spacing w:after="0"/>
              <w:rPr>
                <w:sz w:val="20"/>
                <w:szCs w:val="20"/>
                <w:color w:val="auto"/>
              </w:rPr>
            </w:pPr>
            <w:r>
              <w:rPr>
                <w:rFonts w:ascii="Arial" w:cs="Arial" w:eastAsia="Arial" w:hAnsi="Arial"/>
                <w:sz w:val="16"/>
                <w:szCs w:val="16"/>
                <w:color w:val="auto"/>
              </w:rPr>
              <w:t>Interest expense</w:t>
            </w: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224"/>
        </w:trPr>
        <w:tc>
          <w:tcPr>
            <w:tcW w:w="866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132</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216"/>
        </w:trPr>
        <w:tc>
          <w:tcPr>
            <w:tcW w:w="8660" w:type="dxa"/>
            <w:vAlign w:val="bottom"/>
          </w:tcPr>
          <w:p>
            <w:pPr>
              <w:spacing w:after="0"/>
              <w:rPr>
                <w:sz w:val="20"/>
                <w:szCs w:val="20"/>
                <w:color w:val="auto"/>
              </w:rPr>
            </w:pPr>
            <w:r>
              <w:rPr>
                <w:rFonts w:ascii="Arial" w:cs="Arial" w:eastAsia="Arial" w:hAnsi="Arial"/>
                <w:sz w:val="16"/>
                <w:szCs w:val="16"/>
                <w:color w:val="auto"/>
              </w:rPr>
              <w:t>Income tax expense</w:t>
            </w: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r>
      <w:tr>
        <w:trPr>
          <w:trHeight w:val="224"/>
        </w:trPr>
        <w:tc>
          <w:tcPr>
            <w:tcW w:w="8660" w:type="dxa"/>
            <w:vAlign w:val="bottom"/>
          </w:tcPr>
          <w:p>
            <w:pPr>
              <w:spacing w:after="0"/>
              <w:rPr>
                <w:sz w:val="20"/>
                <w:szCs w:val="20"/>
                <w:color w:val="auto"/>
              </w:rPr>
            </w:pPr>
            <w:r>
              <w:rPr>
                <w:rFonts w:ascii="Arial" w:cs="Arial" w:eastAsia="Arial" w:hAnsi="Arial"/>
                <w:sz w:val="16"/>
                <w:szCs w:val="16"/>
                <w:color w:val="auto"/>
              </w:rPr>
              <w:t>Net income</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81</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16"/>
        </w:trPr>
        <w:tc>
          <w:tcPr>
            <w:tcW w:w="8660" w:type="dxa"/>
            <w:vAlign w:val="bottom"/>
          </w:tcPr>
          <w:p>
            <w:pPr>
              <w:spacing w:after="0"/>
              <w:rPr>
                <w:sz w:val="20"/>
                <w:szCs w:val="20"/>
                <w:color w:val="auto"/>
              </w:rPr>
            </w:pPr>
            <w:r>
              <w:rPr>
                <w:rFonts w:ascii="Arial" w:cs="Arial" w:eastAsia="Arial" w:hAnsi="Arial"/>
                <w:sz w:val="16"/>
                <w:szCs w:val="16"/>
                <w:color w:val="auto"/>
              </w:rPr>
              <w:t>Losses (earnings) attributable to noncontrolling interest</w:t>
            </w: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24"/>
        </w:trPr>
        <w:tc>
          <w:tcPr>
            <w:tcW w:w="8660" w:type="dxa"/>
            <w:vAlign w:val="bottom"/>
          </w:tcPr>
          <w:p>
            <w:pPr>
              <w:spacing w:after="0"/>
              <w:rPr>
                <w:sz w:val="20"/>
                <w:szCs w:val="20"/>
                <w:color w:val="auto"/>
              </w:rPr>
            </w:pPr>
            <w:r>
              <w:rPr>
                <w:rFonts w:ascii="Arial" w:cs="Arial" w:eastAsia="Arial" w:hAnsi="Arial"/>
                <w:sz w:val="16"/>
                <w:szCs w:val="16"/>
                <w:color w:val="auto"/>
              </w:rPr>
              <w:t>Earnings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92</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16"/>
        </w:trPr>
        <w:tc>
          <w:tcPr>
            <w:tcW w:w="8660" w:type="dxa"/>
            <w:vAlign w:val="bottom"/>
          </w:tcPr>
          <w:p>
            <w:pPr>
              <w:spacing w:after="0"/>
              <w:rPr>
                <w:sz w:val="20"/>
                <w:szCs w:val="20"/>
                <w:color w:val="auto"/>
              </w:rPr>
            </w:pPr>
            <w:r>
              <w:rPr>
                <w:rFonts w:ascii="Arial" w:cs="Arial" w:eastAsia="Arial" w:hAnsi="Arial"/>
                <w:sz w:val="16"/>
                <w:szCs w:val="16"/>
                <w:color w:val="auto"/>
              </w:rPr>
              <w:t>Preferred dividend requirements</w:t>
            </w: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8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Earnings attributable to common shares</w:t>
            </w:r>
          </w:p>
        </w:tc>
        <w:tc>
          <w:tcPr>
            <w:tcW w:w="920" w:type="dxa"/>
            <w:vAlign w:val="bottom"/>
            <w:tcBorders>
              <w:bottom w:val="single" w:sz="8" w:color="auto"/>
            </w:tcBorders>
          </w:tcPr>
          <w:p>
            <w:pPr>
              <w:jc w:val="right"/>
              <w:ind w:right="76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r>
      <w:tr>
        <w:trPr>
          <w:trHeight w:val="21"/>
        </w:trPr>
        <w:tc>
          <w:tcPr>
            <w:tcW w:w="8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5645785</wp:posOffset>
            </wp:positionH>
            <wp:positionV relativeFrom="page">
              <wp:posOffset>208915</wp:posOffset>
            </wp:positionV>
            <wp:extent cx="17583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58315" cy="17145"/>
                    </a:xfrm>
                    <a:prstGeom prst="rect">
                      <a:avLst/>
                    </a:prstGeom>
                    <a:noFill/>
                  </pic:spPr>
                </pic:pic>
              </a:graphicData>
            </a:graphic>
          </wp:anchor>
        </w:drawing>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ind w:right="5500"/>
        <w:spacing w:after="0" w:line="237" w:lineRule="auto"/>
        <w:rPr>
          <w:sz w:val="20"/>
          <w:szCs w:val="20"/>
          <w:color w:val="auto"/>
        </w:rPr>
      </w:pPr>
      <w:r>
        <w:rPr>
          <w:rFonts w:ascii="Arial" w:cs="Arial" w:eastAsia="Arial" w:hAnsi="Arial"/>
          <w:sz w:val="16"/>
          <w:szCs w:val="16"/>
          <w:b w:val="1"/>
          <w:bCs w:val="1"/>
          <w:color w:val="auto"/>
        </w:rPr>
        <w:t xml:space="preserve">CONDENSED CONSOLIDATED STATEMENTS OF COMPREHENSIVE INCOME </w:t>
      </w:r>
      <w:r>
        <w:rPr>
          <w:rFonts w:ascii="Arial" w:cs="Arial" w:eastAsia="Arial" w:hAnsi="Arial"/>
          <w:sz w:val="14"/>
          <w:szCs w:val="14"/>
          <w:i w:val="1"/>
          <w:iCs w:val="1"/>
          <w:color w:val="auto"/>
        </w:rPr>
        <w:t>(Dollars in millions)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7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right"/>
              <w:ind w:right="101"/>
              <w:spacing w:after="0"/>
              <w:rPr>
                <w:sz w:val="20"/>
                <w:szCs w:val="20"/>
                <w:color w:val="auto"/>
              </w:rPr>
            </w:pPr>
            <w:r>
              <w:rPr>
                <w:rFonts w:ascii="Arial" w:cs="Arial" w:eastAsia="Arial" w:hAnsi="Arial"/>
                <w:sz w:val="14"/>
                <w:szCs w:val="14"/>
                <w:color w:val="auto"/>
              </w:rPr>
              <w:t>Three months ended March 31,</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223"/>
        </w:trPr>
        <w:tc>
          <w:tcPr>
            <w:tcW w:w="47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color w:val="auto"/>
              </w:rPr>
              <w:t>2013</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color w:val="auto"/>
              </w:rPr>
              <w:t>2012</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31"/>
        </w:trPr>
        <w:tc>
          <w:tcPr>
            <w:tcW w:w="4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(unaudited)</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16"/>
        </w:trPr>
        <w:tc>
          <w:tcPr>
            <w:tcW w:w="4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163"/>
              <w:spacing w:after="0"/>
              <w:rPr>
                <w:sz w:val="20"/>
                <w:szCs w:val="20"/>
                <w:color w:val="auto"/>
              </w:rPr>
            </w:pPr>
            <w:r>
              <w:rPr>
                <w:rFonts w:ascii="Arial" w:cs="Arial" w:eastAsia="Arial" w:hAnsi="Arial"/>
                <w:sz w:val="14"/>
                <w:szCs w:val="14"/>
                <w:color w:val="auto"/>
              </w:rPr>
              <w:t>Non-</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right="143"/>
              <w:spacing w:after="0"/>
              <w:rPr>
                <w:sz w:val="20"/>
                <w:szCs w:val="20"/>
                <w:color w:val="auto"/>
              </w:rPr>
            </w:pPr>
            <w:r>
              <w:rPr>
                <w:rFonts w:ascii="Arial" w:cs="Arial" w:eastAsia="Arial" w:hAnsi="Arial"/>
                <w:sz w:val="14"/>
                <w:szCs w:val="14"/>
                <w:color w:val="auto"/>
              </w:rPr>
              <w:t>Non-</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163"/>
              <w:spacing w:after="0"/>
              <w:rPr>
                <w:sz w:val="20"/>
                <w:szCs w:val="20"/>
                <w:color w:val="auto"/>
              </w:rPr>
            </w:pPr>
            <w:r>
              <w:rPr>
                <w:rFonts w:ascii="Arial" w:cs="Arial" w:eastAsia="Arial" w:hAnsi="Arial"/>
                <w:sz w:val="14"/>
                <w:szCs w:val="14"/>
                <w:color w:val="auto"/>
              </w:rPr>
              <w:t>controlling</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right="123"/>
              <w:spacing w:after="0"/>
              <w:rPr>
                <w:sz w:val="20"/>
                <w:szCs w:val="20"/>
                <w:color w:val="auto"/>
              </w:rPr>
            </w:pPr>
            <w:r>
              <w:rPr>
                <w:rFonts w:ascii="Arial" w:cs="Arial" w:eastAsia="Arial" w:hAnsi="Arial"/>
                <w:sz w:val="14"/>
                <w:szCs w:val="14"/>
                <w:color w:val="auto"/>
              </w:rPr>
              <w:t>controlling</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8"/>
        </w:trPr>
        <w:tc>
          <w:tcPr>
            <w:tcW w:w="47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SDG&amp;E</w:t>
            </w: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color w:val="auto"/>
              </w:rPr>
              <w:t>Interest</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SDG&amp;E</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color w:val="auto"/>
              </w:rPr>
              <w:t>Interest</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Total</w:t>
            </w:r>
          </w:p>
        </w:tc>
      </w:tr>
      <w:tr>
        <w:trPr>
          <w:trHeight w:val="223"/>
        </w:trPr>
        <w:tc>
          <w:tcPr>
            <w:tcW w:w="4720" w:type="dxa"/>
            <w:vAlign w:val="bottom"/>
          </w:tcPr>
          <w:p>
            <w:pPr>
              <w:spacing w:after="0"/>
              <w:rPr>
                <w:sz w:val="20"/>
                <w:szCs w:val="20"/>
                <w:color w:val="auto"/>
              </w:rPr>
            </w:pPr>
            <w:r>
              <w:rPr>
                <w:rFonts w:ascii="Arial" w:cs="Arial" w:eastAsia="Arial" w:hAnsi="Arial"/>
                <w:sz w:val="16"/>
                <w:szCs w:val="16"/>
                <w:color w:val="auto"/>
              </w:rPr>
              <w:t>Net income (loss)</w:t>
            </w:r>
          </w:p>
        </w:tc>
        <w:tc>
          <w:tcPr>
            <w:tcW w:w="820" w:type="dxa"/>
            <w:vAlign w:val="bottom"/>
            <w:tcBorders>
              <w:bottom w:val="single" w:sz="8" w:color="auto"/>
            </w:tcBorders>
          </w:tcPr>
          <w:p>
            <w:pPr>
              <w:jc w:val="right"/>
              <w:ind w:right="58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81</w:t>
            </w:r>
          </w:p>
        </w:tc>
        <w:tc>
          <w:tcPr>
            <w:tcW w:w="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r>
      <w:tr>
        <w:trPr>
          <w:trHeight w:val="224"/>
        </w:trPr>
        <w:tc>
          <w:tcPr>
            <w:tcW w:w="4720" w:type="dxa"/>
            <w:vAlign w:val="bottom"/>
          </w:tcPr>
          <w:p>
            <w:pPr>
              <w:spacing w:after="0"/>
              <w:rPr>
                <w:sz w:val="20"/>
                <w:szCs w:val="20"/>
                <w:color w:val="auto"/>
              </w:rPr>
            </w:pPr>
            <w:r>
              <w:rPr>
                <w:rFonts w:ascii="Arial" w:cs="Arial" w:eastAsia="Arial" w:hAnsi="Arial"/>
                <w:sz w:val="16"/>
                <w:szCs w:val="16"/>
                <w:color w:val="auto"/>
              </w:rPr>
              <w:t>Other comprehensive income, net of income tax:</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8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3</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720" w:type="dxa"/>
            <w:vAlign w:val="bottom"/>
          </w:tcPr>
          <w:p>
            <w:pPr>
              <w:spacing w:after="0"/>
              <w:rPr>
                <w:sz w:val="20"/>
                <w:szCs w:val="20"/>
                <w:color w:val="auto"/>
              </w:rPr>
            </w:pPr>
            <w:r>
              <w:rPr>
                <w:rFonts w:ascii="Arial" w:cs="Arial" w:eastAsia="Arial" w:hAnsi="Arial"/>
                <w:sz w:val="16"/>
                <w:szCs w:val="16"/>
                <w:color w:val="auto"/>
              </w:rPr>
              <w:t>Total other comprehensive income</w:t>
            </w:r>
          </w:p>
        </w:tc>
        <w:tc>
          <w:tcPr>
            <w:tcW w:w="8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3</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comprehensive income (loss)</w:t>
            </w:r>
          </w:p>
        </w:tc>
        <w:tc>
          <w:tcPr>
            <w:tcW w:w="820" w:type="dxa"/>
            <w:vAlign w:val="bottom"/>
            <w:tcBorders>
              <w:bottom w:val="single" w:sz="8" w:color="auto"/>
            </w:tcBorders>
          </w:tcPr>
          <w:p>
            <w:pPr>
              <w:jc w:val="right"/>
              <w:ind w:right="58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84</w:t>
            </w:r>
          </w:p>
        </w:tc>
        <w:tc>
          <w:tcPr>
            <w:tcW w:w="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r>
      <w:tr>
        <w:trPr>
          <w:trHeight w:val="21"/>
        </w:trPr>
        <w:tc>
          <w:tcPr>
            <w:tcW w:w="4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00"/>
              <w:spacing w:after="0"/>
              <w:rPr>
                <w:sz w:val="20"/>
                <w:szCs w:val="20"/>
                <w:color w:val="auto"/>
              </w:rPr>
            </w:pPr>
            <w:r>
              <w:rPr>
                <w:rFonts w:ascii="Arial" w:cs="Arial" w:eastAsia="Arial" w:hAnsi="Arial"/>
                <w:sz w:val="14"/>
                <w:szCs w:val="14"/>
                <w:color w:val="auto"/>
              </w:rPr>
              <w:t>March 31,</w:t>
            </w:r>
          </w:p>
        </w:tc>
        <w:tc>
          <w:tcPr>
            <w:tcW w:w="200" w:type="dxa"/>
            <w:vAlign w:val="bottom"/>
          </w:tcPr>
          <w:p>
            <w:pPr>
              <w:spacing w:after="0"/>
              <w:rPr>
                <w:sz w:val="14"/>
                <w:szCs w:val="14"/>
                <w:color w:val="auto"/>
              </w:rPr>
            </w:pPr>
          </w:p>
        </w:tc>
        <w:tc>
          <w:tcPr>
            <w:tcW w:w="126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r>
      <w:tr>
        <w:trPr>
          <w:trHeight w:val="208"/>
        </w:trPr>
        <w:tc>
          <w:tcPr>
            <w:tcW w:w="85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color w:val="auto"/>
              </w:rPr>
              <w:t>2013</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2012(1)</w:t>
            </w:r>
          </w:p>
        </w:tc>
      </w:tr>
      <w:tr>
        <w:trPr>
          <w:trHeight w:val="231"/>
        </w:trPr>
        <w:tc>
          <w:tcPr>
            <w:tcW w:w="8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center"/>
              <w:ind w:right="100"/>
              <w:spacing w:after="0"/>
              <w:rPr>
                <w:sz w:val="20"/>
                <w:szCs w:val="20"/>
                <w:color w:val="auto"/>
              </w:rPr>
            </w:pPr>
            <w:r>
              <w:rPr>
                <w:rFonts w:ascii="Arial" w:cs="Arial" w:eastAsia="Arial" w:hAnsi="Arial"/>
                <w:sz w:val="14"/>
                <w:szCs w:val="14"/>
                <w:color w:val="auto"/>
              </w:rPr>
              <w:t>(unaudited)</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09"/>
        </w:trPr>
        <w:tc>
          <w:tcPr>
            <w:tcW w:w="8580" w:type="dxa"/>
            <w:vAlign w:val="bottom"/>
          </w:tcPr>
          <w:p>
            <w:pPr>
              <w:spacing w:after="0"/>
              <w:rPr>
                <w:sz w:val="20"/>
                <w:szCs w:val="20"/>
                <w:color w:val="auto"/>
              </w:rPr>
            </w:pPr>
            <w:r>
              <w:rPr>
                <w:rFonts w:ascii="Arial" w:cs="Arial" w:eastAsia="Arial" w:hAnsi="Arial"/>
                <w:sz w:val="16"/>
                <w:szCs w:val="16"/>
                <w:color w:val="auto"/>
              </w:rPr>
              <w:t>ASSETS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8580" w:type="dxa"/>
            <w:vAlign w:val="bottom"/>
          </w:tcPr>
          <w:p>
            <w:pPr>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5"/>
        </w:trPr>
        <w:tc>
          <w:tcPr>
            <w:tcW w:w="858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Accounts receivable – trade, net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259</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252</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Accounts receivable – other, net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Due from unconsolidated affiliates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Income taxes receivable</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Regulatory balancing accounts, net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411</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395</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Regulatory assets arising from fixed-price contracts and other derivatives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Other regulatory assets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Fixed-price contracts and other derivatives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1,039</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w:t>
            </w:r>
          </w:p>
        </w:tc>
      </w:tr>
      <w:tr>
        <w:trPr>
          <w:trHeight w:val="440"/>
        </w:trPr>
        <w:tc>
          <w:tcPr>
            <w:tcW w:w="8580" w:type="dxa"/>
            <w:vAlign w:val="bottom"/>
          </w:tcPr>
          <w:p>
            <w:pPr>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w:t>
            </w:r>
          </w:p>
        </w:tc>
      </w:tr>
    </w:tbl>
    <w:p>
      <w:pPr>
        <w:sectPr>
          <w:pgSz w:w="11900" w:h="16838" w:orient="portrait"/>
          <w:cols w:equalWidth="0" w:num="1">
            <w:col w:w="11420"/>
          </w:cols>
          <w:pgMar w:left="240" w:top="411"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ind w:left="180"/>
              <w:spacing w:after="0"/>
              <w:rPr>
                <w:sz w:val="20"/>
                <w:szCs w:val="20"/>
                <w:color w:val="auto"/>
              </w:rPr>
            </w:pPr>
            <w:r>
              <w:rPr>
                <w:rFonts w:ascii="Arial" w:cs="Arial" w:eastAsia="Arial" w:hAnsi="Arial"/>
                <w:sz w:val="16"/>
                <w:szCs w:val="16"/>
                <w:color w:val="auto"/>
              </w:rPr>
              <w:t>Deferred taxes recoverable in rates</w:t>
            </w: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727</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6"/>
                <w:szCs w:val="16"/>
                <w:color w:val="auto"/>
              </w:rPr>
              <w:t>Regulatory assets arising from fixed-price contracts and other derivatives</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106</w:t>
            </w: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Regulatory assets arising from pension and other postretirement</w:t>
            </w: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6"/>
                <w:szCs w:val="16"/>
                <w:color w:val="auto"/>
              </w:rPr>
              <w:t>benefit obligations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307</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Regulatory assets arising from wildfire litigation costs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360</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Other regulatory assets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243</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Nuclear decommissioning trusts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952</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908</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Sundry</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other assets</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2,857</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2,794</w:t>
            </w:r>
          </w:p>
        </w:tc>
        <w:tc>
          <w:tcPr>
            <w:tcW w:w="0" w:type="dxa"/>
            <w:vAlign w:val="bottom"/>
          </w:tcPr>
          <w:p>
            <w:pPr>
              <w:spacing w:after="0"/>
              <w:rPr>
                <w:sz w:val="1"/>
                <w:szCs w:val="1"/>
                <w:color w:val="auto"/>
              </w:rPr>
            </w:pPr>
          </w:p>
        </w:tc>
      </w:tr>
      <w:tr>
        <w:trPr>
          <w:trHeight w:val="440"/>
        </w:trPr>
        <w:tc>
          <w:tcPr>
            <w:tcW w:w="858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Property, plant and equipment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14,299</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14,124</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Less accumulated depreciation and amortization</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(3,343)</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(3,261)</w:t>
            </w:r>
          </w:p>
        </w:tc>
        <w:tc>
          <w:tcPr>
            <w:tcW w:w="0" w:type="dxa"/>
            <w:vAlign w:val="bottom"/>
          </w:tcPr>
          <w:p>
            <w:pPr>
              <w:spacing w:after="0"/>
              <w:rPr>
                <w:sz w:val="1"/>
                <w:szCs w:val="1"/>
                <w:color w:val="auto"/>
              </w:rPr>
            </w:pPr>
          </w:p>
        </w:tc>
      </w:tr>
      <w:tr>
        <w:trPr>
          <w:trHeight w:val="191"/>
        </w:trPr>
        <w:tc>
          <w:tcPr>
            <w:tcW w:w="8580" w:type="dxa"/>
            <w:vAlign w:val="bottom"/>
          </w:tcPr>
          <w:p>
            <w:pPr>
              <w:ind w:left="360"/>
              <w:spacing w:after="0"/>
              <w:rPr>
                <w:sz w:val="20"/>
                <w:szCs w:val="20"/>
                <w:color w:val="auto"/>
              </w:rPr>
            </w:pPr>
            <w:r>
              <w:rPr>
                <w:rFonts w:ascii="Arial" w:cs="Arial" w:eastAsia="Arial" w:hAnsi="Arial"/>
                <w:sz w:val="16"/>
                <w:szCs w:val="16"/>
                <w:color w:val="auto"/>
              </w:rPr>
              <w:t>Property, plant and equipment, net ($459 and $466 at March 31, 2013 and</w:t>
            </w:r>
          </w:p>
        </w:tc>
        <w:tc>
          <w:tcPr>
            <w:tcW w:w="4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10,956</w:t>
            </w:r>
          </w:p>
        </w:tc>
        <w:tc>
          <w:tcPr>
            <w:tcW w:w="5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10,863</w:t>
            </w:r>
          </w:p>
        </w:tc>
        <w:tc>
          <w:tcPr>
            <w:tcW w:w="0" w:type="dxa"/>
            <w:vAlign w:val="bottom"/>
          </w:tcPr>
          <w:p>
            <w:pPr>
              <w:spacing w:after="0"/>
              <w:rPr>
                <w:sz w:val="1"/>
                <w:szCs w:val="1"/>
                <w:color w:val="auto"/>
              </w:rPr>
            </w:pPr>
          </w:p>
        </w:tc>
      </w:tr>
      <w:tr>
        <w:trPr>
          <w:trHeight w:val="167"/>
        </w:trPr>
        <w:tc>
          <w:tcPr>
            <w:tcW w:w="8580" w:type="dxa"/>
            <w:vAlign w:val="bottom"/>
          </w:tcPr>
          <w:p>
            <w:pPr>
              <w:ind w:left="540"/>
              <w:spacing w:after="0" w:line="160" w:lineRule="exact"/>
              <w:rPr>
                <w:sz w:val="20"/>
                <w:szCs w:val="20"/>
                <w:color w:val="auto"/>
              </w:rPr>
            </w:pPr>
            <w:r>
              <w:rPr>
                <w:rFonts w:ascii="Arial" w:cs="Arial" w:eastAsia="Arial" w:hAnsi="Arial"/>
                <w:sz w:val="16"/>
                <w:szCs w:val="16"/>
                <w:color w:val="auto"/>
              </w:rPr>
              <w:t>December 31, 2012, respectively, related to VIE)</w:t>
            </w: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assets</w:t>
            </w:r>
          </w:p>
        </w:tc>
        <w:tc>
          <w:tcPr>
            <w:tcW w:w="48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14,852</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14,744</w:t>
            </w:r>
          </w:p>
        </w:tc>
        <w:tc>
          <w:tcPr>
            <w:tcW w:w="0" w:type="dxa"/>
            <w:vAlign w:val="bottom"/>
          </w:tcPr>
          <w:p>
            <w:pPr>
              <w:spacing w:after="0"/>
              <w:rPr>
                <w:sz w:val="1"/>
                <w:szCs w:val="1"/>
                <w:color w:val="auto"/>
              </w:rPr>
            </w:pPr>
          </w:p>
        </w:tc>
      </w:tr>
      <w:tr>
        <w:trPr>
          <w:trHeight w:val="21"/>
        </w:trPr>
        <w:tc>
          <w:tcPr>
            <w:tcW w:w="8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500" w:hanging="330"/>
        <w:spacing w:after="0"/>
        <w:tabs>
          <w:tab w:leader="none" w:pos="50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Derived from audited financial statements.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color w:val="auto"/>
              </w:rPr>
              <w:t>March 31,</w:t>
            </w:r>
          </w:p>
        </w:tc>
        <w:tc>
          <w:tcPr>
            <w:tcW w:w="180" w:type="dxa"/>
            <w:vAlign w:val="bottom"/>
          </w:tcPr>
          <w:p>
            <w:pPr>
              <w:spacing w:after="0"/>
              <w:rPr>
                <w:sz w:val="14"/>
                <w:szCs w:val="14"/>
                <w:color w:val="auto"/>
              </w:rPr>
            </w:pPr>
          </w:p>
        </w:tc>
        <w:tc>
          <w:tcPr>
            <w:tcW w:w="126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8"/>
        </w:trPr>
        <w:tc>
          <w:tcPr>
            <w:tcW w:w="85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color w:val="auto"/>
              </w:rPr>
              <w:t>2013</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2012(1)</w:t>
            </w:r>
          </w:p>
        </w:tc>
        <w:tc>
          <w:tcPr>
            <w:tcW w:w="0" w:type="dxa"/>
            <w:vAlign w:val="bottom"/>
          </w:tcPr>
          <w:p>
            <w:pPr>
              <w:spacing w:after="0"/>
              <w:rPr>
                <w:sz w:val="1"/>
                <w:szCs w:val="1"/>
                <w:color w:val="auto"/>
              </w:rPr>
            </w:pPr>
          </w:p>
        </w:tc>
      </w:tr>
      <w:tr>
        <w:trPr>
          <w:trHeight w:val="231"/>
        </w:trPr>
        <w:tc>
          <w:tcPr>
            <w:tcW w:w="8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color w:val="auto"/>
              </w:rPr>
              <w:t>(unaudited)</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580" w:type="dxa"/>
            <w:vAlign w:val="bottom"/>
          </w:tcPr>
          <w:p>
            <w:pPr>
              <w:spacing w:after="0"/>
              <w:rPr>
                <w:sz w:val="20"/>
                <w:szCs w:val="20"/>
                <w:color w:val="auto"/>
              </w:rPr>
            </w:pPr>
            <w:r>
              <w:rPr>
                <w:rFonts w:ascii="Arial" w:cs="Arial" w:eastAsia="Arial" w:hAnsi="Arial"/>
                <w:sz w:val="16"/>
                <w:szCs w:val="16"/>
                <w:color w:val="auto"/>
              </w:rPr>
              <w:t>LIABILITIES AND EQUITY</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80" w:type="dxa"/>
            <w:vAlign w:val="bottom"/>
          </w:tcPr>
          <w:p>
            <w:pPr>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58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239</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Due to unconsolidated affiliates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Income taxes payable</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Dividends and interest payable</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Accrued compensation and benefits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Fixed-price contracts and other derivatives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Customer deposits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Construction deposits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Reserve for wildfire litigation</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221</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1,104</w:t>
            </w:r>
          </w:p>
        </w:tc>
        <w:tc>
          <w:tcPr>
            <w:tcW w:w="0" w:type="dxa"/>
            <w:vAlign w:val="bottom"/>
          </w:tcPr>
          <w:p>
            <w:pPr>
              <w:spacing w:after="0"/>
              <w:rPr>
                <w:sz w:val="1"/>
                <w:szCs w:val="1"/>
                <w:color w:val="auto"/>
              </w:rPr>
            </w:pPr>
          </w:p>
        </w:tc>
      </w:tr>
      <w:tr>
        <w:trPr>
          <w:trHeight w:val="191"/>
        </w:trPr>
        <w:tc>
          <w:tcPr>
            <w:tcW w:w="8580" w:type="dxa"/>
            <w:vAlign w:val="bottom"/>
          </w:tcPr>
          <w:p>
            <w:pPr>
              <w:spacing w:after="0"/>
              <w:rPr>
                <w:sz w:val="20"/>
                <w:szCs w:val="20"/>
                <w:color w:val="auto"/>
              </w:rPr>
            </w:pPr>
            <w:r>
              <w:rPr>
                <w:rFonts w:ascii="Arial" w:cs="Arial" w:eastAsia="Arial" w:hAnsi="Arial"/>
                <w:sz w:val="16"/>
                <w:szCs w:val="16"/>
                <w:color w:val="auto"/>
              </w:rPr>
              <w:t>Long-term debt ($332 and $335 at March 31, 2013 and December 31, 2012,</w:t>
            </w:r>
          </w:p>
        </w:tc>
        <w:tc>
          <w:tcPr>
            <w:tcW w:w="20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4,289</w:t>
            </w:r>
          </w:p>
        </w:tc>
        <w:tc>
          <w:tcPr>
            <w:tcW w:w="18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4,292</w:t>
            </w:r>
          </w:p>
        </w:tc>
        <w:tc>
          <w:tcPr>
            <w:tcW w:w="0" w:type="dxa"/>
            <w:vAlign w:val="bottom"/>
          </w:tcPr>
          <w:p>
            <w:pPr>
              <w:spacing w:after="0"/>
              <w:rPr>
                <w:sz w:val="1"/>
                <w:szCs w:val="1"/>
                <w:color w:val="auto"/>
              </w:rPr>
            </w:pPr>
          </w:p>
        </w:tc>
      </w:tr>
      <w:tr>
        <w:trPr>
          <w:trHeight w:val="167"/>
        </w:trPr>
        <w:tc>
          <w:tcPr>
            <w:tcW w:w="8580" w:type="dxa"/>
            <w:vAlign w:val="bottom"/>
          </w:tcPr>
          <w:p>
            <w:pPr>
              <w:ind w:left="180"/>
              <w:spacing w:after="0" w:line="160" w:lineRule="exact"/>
              <w:rPr>
                <w:sz w:val="20"/>
                <w:szCs w:val="20"/>
                <w:color w:val="auto"/>
              </w:rPr>
            </w:pPr>
            <w:r>
              <w:rPr>
                <w:rFonts w:ascii="Arial" w:cs="Arial" w:eastAsia="Arial" w:hAnsi="Arial"/>
                <w:sz w:val="16"/>
                <w:szCs w:val="16"/>
                <w:color w:val="auto"/>
              </w:rPr>
              <w:t>respectively, related to VIE)</w:t>
            </w: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0"/>
        </w:trPr>
        <w:tc>
          <w:tcPr>
            <w:tcW w:w="8580" w:type="dxa"/>
            <w:vAlign w:val="bottom"/>
          </w:tcPr>
          <w:p>
            <w:pPr>
              <w:spacing w:after="0"/>
              <w:rPr>
                <w:sz w:val="20"/>
                <w:szCs w:val="20"/>
                <w:color w:val="auto"/>
              </w:rPr>
            </w:pPr>
            <w:r>
              <w:rPr>
                <w:rFonts w:ascii="Arial" w:cs="Arial" w:eastAsia="Arial" w:hAnsi="Arial"/>
                <w:sz w:val="16"/>
                <w:szCs w:val="16"/>
                <w:color w:val="auto"/>
              </w:rPr>
              <w:t>Deferred credits and other liabilities: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Customer advances for construction</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Pension and other postretirement benefit obligations, net of plan assets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345</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1,714</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1,636</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Deferred investment tax credits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Regulatory liabilities arising from removal obligations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1,658</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1,603</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Asset retirement obligations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744</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Fixed-price contracts and other derivatives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200</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Reserve for wildfire litigation</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Deferred credits and other</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deferred credits and other liabilities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5,111</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4,971</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6"/>
                <w:szCs w:val="16"/>
                <w:color w:val="auto"/>
              </w:rPr>
              <w:t>Contingently redeemable preferred stock</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440"/>
        </w:trPr>
        <w:tc>
          <w:tcPr>
            <w:tcW w:w="8580" w:type="dxa"/>
            <w:vAlign w:val="bottom"/>
          </w:tcPr>
          <w:p>
            <w:pPr>
              <w:spacing w:after="0"/>
              <w:rPr>
                <w:sz w:val="20"/>
                <w:szCs w:val="20"/>
                <w:color w:val="auto"/>
              </w:rPr>
            </w:pPr>
            <w:r>
              <w:rPr>
                <w:rFonts w:ascii="Arial" w:cs="Arial" w:eastAsia="Arial" w:hAnsi="Arial"/>
                <w:sz w:val="16"/>
                <w:szCs w:val="16"/>
                <w:color w:val="auto"/>
              </w:rPr>
              <w:t>Commitments and contingencies (Note 10)</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80" w:type="dxa"/>
            <w:vAlign w:val="bottom"/>
          </w:tcPr>
          <w:p>
            <w:pPr>
              <w:spacing w:after="0"/>
              <w:rPr>
                <w:sz w:val="20"/>
                <w:szCs w:val="20"/>
                <w:color w:val="auto"/>
              </w:rPr>
            </w:pPr>
            <w:r>
              <w:rPr>
                <w:rFonts w:ascii="Arial" w:cs="Arial" w:eastAsia="Arial" w:hAnsi="Arial"/>
                <w:sz w:val="16"/>
                <w:szCs w:val="16"/>
                <w:color w:val="auto"/>
              </w:rPr>
              <w:t>Equity:</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Common stock (255 million shares authorized; 117 million shares outstanding;</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6"/>
                <w:szCs w:val="16"/>
                <w:color w:val="auto"/>
              </w:rPr>
              <w:t>no par value)</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1,338</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1,338</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2,986</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2,895</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4"/>
        </w:trPr>
        <w:tc>
          <w:tcPr>
            <w:tcW w:w="8580" w:type="dxa"/>
            <w:vAlign w:val="bottom"/>
          </w:tcPr>
          <w:p>
            <w:pPr>
              <w:ind w:left="360"/>
              <w:spacing w:after="0"/>
              <w:rPr>
                <w:sz w:val="20"/>
                <w:szCs w:val="20"/>
                <w:color w:val="auto"/>
              </w:rPr>
            </w:pPr>
            <w:r>
              <w:rPr>
                <w:rFonts w:ascii="Arial" w:cs="Arial" w:eastAsia="Arial" w:hAnsi="Arial"/>
                <w:sz w:val="16"/>
                <w:szCs w:val="16"/>
                <w:color w:val="auto"/>
              </w:rPr>
              <w:t>Total SDG&amp;E shareholder's equity</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4,313</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4,222</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Noncontrolling interest</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equity</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4,385</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4,298</w:t>
            </w:r>
          </w:p>
        </w:tc>
        <w:tc>
          <w:tcPr>
            <w:tcW w:w="0" w:type="dxa"/>
            <w:vAlign w:val="bottom"/>
          </w:tcPr>
          <w:p>
            <w:pPr>
              <w:spacing w:after="0"/>
              <w:rPr>
                <w:sz w:val="1"/>
                <w:szCs w:val="1"/>
                <w:color w:val="auto"/>
              </w:rPr>
            </w:pPr>
          </w:p>
        </w:tc>
      </w:tr>
      <w:tr>
        <w:trPr>
          <w:trHeight w:val="189"/>
        </w:trPr>
        <w:tc>
          <w:tcPr>
            <w:tcW w:w="8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liabilities and equity</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14,852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14,744</w:t>
            </w:r>
          </w:p>
        </w:tc>
        <w:tc>
          <w:tcPr>
            <w:tcW w:w="0" w:type="dxa"/>
            <w:vAlign w:val="bottom"/>
          </w:tcPr>
          <w:p>
            <w:pPr>
              <w:spacing w:after="0"/>
              <w:rPr>
                <w:sz w:val="1"/>
                <w:szCs w:val="1"/>
                <w:color w:val="auto"/>
              </w:rPr>
            </w:pPr>
          </w:p>
        </w:tc>
      </w:tr>
      <w:tr>
        <w:trPr>
          <w:trHeight w:val="21"/>
        </w:trPr>
        <w:tc>
          <w:tcPr>
            <w:tcW w:w="8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60"/>
        <w:spacing w:after="0"/>
        <w:tabs>
          <w:tab w:leader="none" w:pos="480" w:val="left"/>
        </w:tabs>
        <w:rPr>
          <w:sz w:val="20"/>
          <w:szCs w:val="20"/>
          <w:color w:val="auto"/>
        </w:rPr>
      </w:pPr>
      <w:r>
        <w:rPr>
          <w:rFonts w:ascii="Arial" w:cs="Arial" w:eastAsia="Arial" w:hAnsi="Arial"/>
          <w:sz w:val="14"/>
          <w:szCs w:val="14"/>
          <w:i w:val="1"/>
          <w:iCs w:val="1"/>
          <w:color w:val="auto"/>
        </w:rPr>
        <w:t>(1)</w:t>
        <w:tab/>
        <w:t>Derived from audited financial statements.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1420"/>
          </w:cols>
          <w:pgMar w:left="240" w:top="141" w:right="239" w:bottom="33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40" w:type="dxa"/>
            <w:vAlign w:val="bottom"/>
          </w:tcPr>
          <w:p>
            <w:pPr>
              <w:spacing w:after="0"/>
              <w:rPr>
                <w:sz w:val="14"/>
                <w:szCs w:val="14"/>
                <w:color w:val="auto"/>
              </w:rPr>
            </w:pPr>
          </w:p>
        </w:tc>
        <w:tc>
          <w:tcPr>
            <w:tcW w:w="2460" w:type="dxa"/>
            <w:vAlign w:val="bottom"/>
            <w:gridSpan w:val="3"/>
          </w:tcPr>
          <w:p>
            <w:pPr>
              <w:jc w:val="center"/>
              <w:ind w:left="345"/>
              <w:spacing w:after="0"/>
              <w:rPr>
                <w:sz w:val="20"/>
                <w:szCs w:val="20"/>
                <w:color w:val="auto"/>
              </w:rPr>
            </w:pPr>
            <w:r>
              <w:rPr>
                <w:rFonts w:ascii="Arial" w:cs="Arial" w:eastAsia="Arial" w:hAnsi="Arial"/>
                <w:sz w:val="14"/>
                <w:szCs w:val="14"/>
                <w:color w:val="auto"/>
              </w:rPr>
              <w:t>Three months ended</w:t>
            </w:r>
          </w:p>
        </w:tc>
        <w:tc>
          <w:tcPr>
            <w:tcW w:w="420" w:type="dxa"/>
            <w:vAlign w:val="bottom"/>
          </w:tcPr>
          <w:p>
            <w:pPr>
              <w:spacing w:after="0"/>
              <w:rPr>
                <w:sz w:val="14"/>
                <w:szCs w:val="14"/>
                <w:color w:val="auto"/>
              </w:rPr>
            </w:pPr>
          </w:p>
        </w:tc>
      </w:tr>
      <w:tr>
        <w:trPr>
          <w:trHeight w:val="164"/>
        </w:trPr>
        <w:tc>
          <w:tcPr>
            <w:tcW w:w="85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right="483"/>
              <w:spacing w:after="0" w:line="157" w:lineRule="exact"/>
              <w:rPr>
                <w:sz w:val="20"/>
                <w:szCs w:val="20"/>
                <w:color w:val="auto"/>
              </w:rPr>
            </w:pPr>
            <w:r>
              <w:rPr>
                <w:rFonts w:ascii="Arial" w:cs="Arial" w:eastAsia="Arial" w:hAnsi="Arial"/>
                <w:sz w:val="14"/>
                <w:szCs w:val="14"/>
                <w:color w:val="auto"/>
              </w:rPr>
              <w:t>March 31,</w:t>
            </w:r>
          </w:p>
        </w:tc>
        <w:tc>
          <w:tcPr>
            <w:tcW w:w="420" w:type="dxa"/>
            <w:vAlign w:val="bottom"/>
            <w:tcBorders>
              <w:bottom w:val="single" w:sz="8" w:color="auto"/>
            </w:tcBorders>
          </w:tcPr>
          <w:p>
            <w:pPr>
              <w:spacing w:after="0"/>
              <w:rPr>
                <w:sz w:val="14"/>
                <w:szCs w:val="14"/>
                <w:color w:val="auto"/>
              </w:rPr>
            </w:pPr>
          </w:p>
        </w:tc>
      </w:tr>
      <w:tr>
        <w:trPr>
          <w:trHeight w:val="223"/>
        </w:trPr>
        <w:tc>
          <w:tcPr>
            <w:tcW w:w="8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color w:val="auto"/>
              </w:rPr>
              <w:t>2013</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auto"/>
              </w:rPr>
              <w:t>2012</w:t>
            </w:r>
          </w:p>
        </w:tc>
        <w:tc>
          <w:tcPr>
            <w:tcW w:w="420" w:type="dxa"/>
            <w:vAlign w:val="bottom"/>
            <w:tcBorders>
              <w:bottom w:val="single" w:sz="8" w:color="auto"/>
            </w:tcBorders>
          </w:tcPr>
          <w:p>
            <w:pPr>
              <w:spacing w:after="0"/>
              <w:rPr>
                <w:sz w:val="19"/>
                <w:szCs w:val="19"/>
                <w:color w:val="auto"/>
              </w:rPr>
            </w:pPr>
          </w:p>
        </w:tc>
      </w:tr>
      <w:tr>
        <w:trPr>
          <w:trHeight w:val="231"/>
        </w:trPr>
        <w:tc>
          <w:tcPr>
            <w:tcW w:w="8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80" w:type="dxa"/>
            <w:vAlign w:val="bottom"/>
            <w:gridSpan w:val="2"/>
          </w:tcPr>
          <w:p>
            <w:pPr>
              <w:jc w:val="center"/>
              <w:ind w:right="483"/>
              <w:spacing w:after="0"/>
              <w:rPr>
                <w:sz w:val="20"/>
                <w:szCs w:val="20"/>
                <w:color w:val="auto"/>
              </w:rPr>
            </w:pPr>
            <w:r>
              <w:rPr>
                <w:rFonts w:ascii="Arial" w:cs="Arial" w:eastAsia="Arial" w:hAnsi="Arial"/>
                <w:sz w:val="14"/>
                <w:szCs w:val="14"/>
                <w:color w:val="auto"/>
              </w:rPr>
              <w:t>(unaudited)</w:t>
            </w:r>
          </w:p>
        </w:tc>
        <w:tc>
          <w:tcPr>
            <w:tcW w:w="420" w:type="dxa"/>
            <w:vAlign w:val="bottom"/>
          </w:tcPr>
          <w:p>
            <w:pPr>
              <w:spacing w:after="0"/>
              <w:rPr>
                <w:sz w:val="20"/>
                <w:szCs w:val="20"/>
                <w:color w:val="auto"/>
              </w:rPr>
            </w:pPr>
          </w:p>
        </w:tc>
      </w:tr>
      <w:tr>
        <w:trPr>
          <w:trHeight w:val="203"/>
        </w:trPr>
        <w:tc>
          <w:tcPr>
            <w:tcW w:w="854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5"/>
        </w:trPr>
        <w:tc>
          <w:tcPr>
            <w:tcW w:w="85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980" w:type="dxa"/>
            <w:vAlign w:val="bottom"/>
          </w:tcPr>
          <w:p>
            <w:pPr>
              <w:jc w:val="right"/>
              <w:ind w:right="805"/>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81</w:t>
            </w:r>
          </w:p>
        </w:tc>
        <w:tc>
          <w:tcPr>
            <w:tcW w:w="960" w:type="dxa"/>
            <w:vAlign w:val="bottom"/>
          </w:tcPr>
          <w:p>
            <w:pPr>
              <w:jc w:val="right"/>
              <w:ind w:right="783"/>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16"/>
        </w:trPr>
        <w:tc>
          <w:tcPr>
            <w:tcW w:w="854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8540" w:type="dxa"/>
            <w:vAlign w:val="bottom"/>
          </w:tcPr>
          <w:p>
            <w:pPr>
              <w:ind w:left="360"/>
              <w:spacing w:after="0"/>
              <w:rPr>
                <w:sz w:val="20"/>
                <w:szCs w:val="20"/>
                <w:color w:val="auto"/>
              </w:rPr>
            </w:pPr>
            <w:r>
              <w:rPr>
                <w:rFonts w:ascii="Arial" w:cs="Arial" w:eastAsia="Arial" w:hAnsi="Arial"/>
                <w:sz w:val="16"/>
                <w:szCs w:val="16"/>
                <w:color w:val="auto"/>
              </w:rPr>
              <w:t>operating activities: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8540" w:type="dxa"/>
            <w:vAlign w:val="bottom"/>
          </w:tcPr>
          <w:p>
            <w:pPr>
              <w:ind w:left="540"/>
              <w:spacing w:after="0"/>
              <w:rPr>
                <w:sz w:val="20"/>
                <w:szCs w:val="20"/>
                <w:color w:val="auto"/>
              </w:rPr>
            </w:pPr>
            <w:r>
              <w:rPr>
                <w:rFonts w:ascii="Arial" w:cs="Arial" w:eastAsia="Arial" w:hAnsi="Arial"/>
                <w:sz w:val="16"/>
                <w:szCs w:val="16"/>
                <w:color w:val="auto"/>
              </w:rPr>
              <w:t>Depreciation and amortization</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134</w:t>
            </w: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16"/>
        </w:trPr>
        <w:tc>
          <w:tcPr>
            <w:tcW w:w="8540" w:type="dxa"/>
            <w:vAlign w:val="bottom"/>
          </w:tcPr>
          <w:p>
            <w:pPr>
              <w:ind w:left="540"/>
              <w:spacing w:after="0"/>
              <w:rPr>
                <w:sz w:val="20"/>
                <w:szCs w:val="20"/>
                <w:color w:val="auto"/>
              </w:rPr>
            </w:pPr>
            <w:r>
              <w:rPr>
                <w:rFonts w:ascii="Arial" w:cs="Arial" w:eastAsia="Arial" w:hAnsi="Arial"/>
                <w:sz w:val="16"/>
                <w:szCs w:val="16"/>
                <w:color w:val="auto"/>
              </w:rPr>
              <w:t>Deferred income taxes and investment tax credits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36</w:t>
            </w: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16"/>
        </w:trPr>
        <w:tc>
          <w:tcPr>
            <w:tcW w:w="8540" w:type="dxa"/>
            <w:vAlign w:val="bottom"/>
          </w:tcPr>
          <w:p>
            <w:pPr>
              <w:ind w:left="540"/>
              <w:spacing w:after="0"/>
              <w:rPr>
                <w:sz w:val="20"/>
                <w:szCs w:val="20"/>
                <w:color w:val="auto"/>
              </w:rPr>
            </w:pPr>
            <w:r>
              <w:rPr>
                <w:rFonts w:ascii="Arial" w:cs="Arial" w:eastAsia="Arial" w:hAnsi="Arial"/>
                <w:sz w:val="16"/>
                <w:szCs w:val="16"/>
                <w:color w:val="auto"/>
              </w:rPr>
              <w:t>Fixed-price contracts and other derivatives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8540" w:type="dxa"/>
            <w:vAlign w:val="bottom"/>
          </w:tcPr>
          <w:p>
            <w:pPr>
              <w:ind w:left="540"/>
              <w:spacing w:after="0"/>
              <w:rPr>
                <w:sz w:val="20"/>
                <w:szCs w:val="20"/>
                <w:color w:val="auto"/>
              </w:rPr>
            </w:pPr>
            <w:r>
              <w:rPr>
                <w:rFonts w:ascii="Arial" w:cs="Arial" w:eastAsia="Arial" w:hAnsi="Arial"/>
                <w:sz w:val="16"/>
                <w:szCs w:val="16"/>
                <w:color w:val="auto"/>
              </w:rPr>
              <w:t>Other</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w:t>
            </w: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6"/>
        </w:trPr>
        <w:tc>
          <w:tcPr>
            <w:tcW w:w="8540" w:type="dxa"/>
            <w:vAlign w:val="bottom"/>
          </w:tcPr>
          <w:p>
            <w:pPr>
              <w:ind w:left="180"/>
              <w:spacing w:after="0"/>
              <w:rPr>
                <w:sz w:val="20"/>
                <w:szCs w:val="20"/>
                <w:color w:val="auto"/>
              </w:rPr>
            </w:pPr>
            <w:r>
              <w:rPr>
                <w:rFonts w:ascii="Arial" w:cs="Arial" w:eastAsia="Arial" w:hAnsi="Arial"/>
                <w:sz w:val="16"/>
                <w:szCs w:val="16"/>
                <w:color w:val="auto"/>
              </w:rPr>
              <w:t>Net change in other working capital components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16"/>
        </w:trPr>
        <w:tc>
          <w:tcPr>
            <w:tcW w:w="8540" w:type="dxa"/>
            <w:vAlign w:val="bottom"/>
          </w:tcPr>
          <w:p>
            <w:pPr>
              <w:ind w:left="180"/>
              <w:spacing w:after="0"/>
              <w:rPr>
                <w:sz w:val="20"/>
                <w:szCs w:val="20"/>
                <w:color w:val="auto"/>
              </w:rPr>
            </w:pPr>
            <w:r>
              <w:rPr>
                <w:rFonts w:ascii="Arial" w:cs="Arial" w:eastAsia="Arial" w:hAnsi="Arial"/>
                <w:sz w:val="16"/>
                <w:szCs w:val="16"/>
                <w:color w:val="auto"/>
              </w:rPr>
              <w:t>Changes in other assets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w:t>
            </w: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8540" w:type="dxa"/>
            <w:vAlign w:val="bottom"/>
          </w:tcPr>
          <w:p>
            <w:pPr>
              <w:ind w:left="180"/>
              <w:spacing w:after="0"/>
              <w:rPr>
                <w:sz w:val="20"/>
                <w:szCs w:val="20"/>
                <w:color w:val="auto"/>
              </w:rPr>
            </w:pPr>
            <w:r>
              <w:rPr>
                <w:rFonts w:ascii="Arial" w:cs="Arial" w:eastAsia="Arial" w:hAnsi="Arial"/>
                <w:sz w:val="16"/>
                <w:szCs w:val="16"/>
                <w:color w:val="auto"/>
              </w:rPr>
              <w:t>Changes in other liabilities</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23"/>
        </w:trPr>
        <w:tc>
          <w:tcPr>
            <w:tcW w:w="8540" w:type="dxa"/>
            <w:vAlign w:val="bottom"/>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r>
    </w:tbl>
    <w:p>
      <w:pPr>
        <w:spacing w:after="0" w:line="200" w:lineRule="exact"/>
        <w:rPr>
          <w:sz w:val="20"/>
          <w:szCs w:val="20"/>
          <w:color w:val="auto"/>
        </w:rPr>
      </w:pPr>
    </w:p>
    <w:p>
      <w:pPr>
        <w:sectPr>
          <w:pgSz w:w="11900" w:h="16838" w:orient="portrait"/>
          <w:cols w:equalWidth="0" w:num="1">
            <w:col w:w="11420"/>
          </w:cols>
          <w:pgMar w:left="240" w:top="864" w:right="239" w:bottom="0" w:gutter="0" w:footer="0" w:header="0"/>
        </w:sectPr>
      </w:pP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CASH FLOWS FROM INVESTING ACTIVITIES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Expenditures for property, plant and equipment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Purchases of nuclear decommissioning trust assets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Proceeds from sales by nuclear decommissioning trusts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Decrease in restricted cash</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Increase in restricted cash</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used in investing activities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CASH FLOWS FROM FINANCING ACTIVITIES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Preferred dividends paid</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Issuance of long-term debt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Payments on long-term debt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Distributions to noncontrolling interests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(used in) provided by financing activities</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1376" w:hanging="1376"/>
        <w:spacing w:after="0"/>
        <w:tabs>
          <w:tab w:leader="none" w:pos="1376" w:val="left"/>
        </w:tabs>
        <w:numPr>
          <w:ilvl w:val="0"/>
          <w:numId w:val="7"/>
        </w:numPr>
        <w:rPr>
          <w:rFonts w:ascii="Arial" w:cs="Arial" w:eastAsia="Arial" w:hAnsi="Arial"/>
          <w:sz w:val="16"/>
          <w:szCs w:val="16"/>
          <w:color w:val="auto"/>
        </w:rPr>
      </w:pPr>
      <w:r>
        <w:rPr>
          <w:rFonts w:ascii="Arial" w:cs="Arial" w:eastAsia="Arial" w:hAnsi="Arial"/>
          <w:sz w:val="16"/>
          <w:szCs w:val="16"/>
          <w:color w:val="auto"/>
        </w:rPr>
        <w:t>(398)</w:t>
      </w:r>
    </w:p>
    <w:p>
      <w:pPr>
        <w:spacing w:after="0" w:line="32" w:lineRule="exact"/>
        <w:rPr>
          <w:sz w:val="20"/>
          <w:szCs w:val="20"/>
          <w:color w:val="auto"/>
        </w:rPr>
      </w:pPr>
    </w:p>
    <w:p>
      <w:pPr>
        <w:ind w:left="1376" w:hanging="1376"/>
        <w:spacing w:after="0"/>
        <w:tabs>
          <w:tab w:leader="none" w:pos="1376" w:val="left"/>
        </w:tabs>
        <w:numPr>
          <w:ilvl w:val="0"/>
          <w:numId w:val="8"/>
        </w:numPr>
        <w:rPr>
          <w:rFonts w:ascii="Arial" w:cs="Arial" w:eastAsia="Arial" w:hAnsi="Arial"/>
          <w:sz w:val="16"/>
          <w:szCs w:val="16"/>
          <w:color w:val="auto"/>
        </w:rPr>
      </w:pPr>
      <w:r>
        <w:rPr>
          <w:rFonts w:ascii="Arial" w:cs="Arial" w:eastAsia="Arial" w:hAnsi="Arial"/>
          <w:sz w:val="16"/>
          <w:szCs w:val="16"/>
          <w:color w:val="auto"/>
        </w:rPr>
        <w:t>(133)</w:t>
      </w:r>
    </w:p>
    <w:p>
      <w:pPr>
        <w:spacing w:after="0" w:line="32" w:lineRule="exact"/>
        <w:rPr>
          <w:sz w:val="20"/>
          <w:szCs w:val="20"/>
          <w:color w:val="auto"/>
        </w:rPr>
      </w:pPr>
    </w:p>
    <w:tbl>
      <w:tblPr>
        <w:tblLayout w:type="fixed"/>
        <w:tblInd w:w="56" w:type="dxa"/>
        <w:tblCellMar>
          <w:top w:w="0" w:type="dxa"/>
          <w:left w:w="0" w:type="dxa"/>
          <w:bottom w:w="0" w:type="dxa"/>
          <w:right w:w="0" w:type="dxa"/>
        </w:tblCellMar>
      </w:tblPr>
      <w:tr>
        <w:trPr>
          <w:trHeight w:val="195"/>
        </w:trPr>
        <w:tc>
          <w:tcPr>
            <w:tcW w:w="840" w:type="dxa"/>
            <w:vAlign w:val="bottom"/>
          </w:tcPr>
          <w:p>
            <w:pPr>
              <w:jc w:val="right"/>
              <w:ind w:right="479"/>
              <w:spacing w:after="0"/>
              <w:rPr>
                <w:sz w:val="20"/>
                <w:szCs w:val="20"/>
                <w:color w:val="auto"/>
              </w:rPr>
            </w:pPr>
            <w:r>
              <w:rPr>
                <w:rFonts w:ascii="Arial" w:cs="Arial" w:eastAsia="Arial" w:hAnsi="Arial"/>
                <w:sz w:val="16"/>
                <w:szCs w:val="16"/>
                <w:color w:val="auto"/>
                <w:w w:val="97"/>
              </w:rPr>
              <w:t>134</w:t>
            </w:r>
          </w:p>
        </w:tc>
        <w:tc>
          <w:tcPr>
            <w:tcW w:w="82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16"/>
        </w:trPr>
        <w:tc>
          <w:tcPr>
            <w:tcW w:w="840" w:type="dxa"/>
            <w:vAlign w:val="bottom"/>
          </w:tcPr>
          <w:p>
            <w:pPr>
              <w:jc w:val="right"/>
              <w:ind w:right="479"/>
              <w:spacing w:after="0"/>
              <w:rPr>
                <w:sz w:val="20"/>
                <w:szCs w:val="20"/>
                <w:color w:val="auto"/>
              </w:rPr>
            </w:pPr>
            <w:r>
              <w:rPr>
                <w:rFonts w:ascii="Arial" w:cs="Arial" w:eastAsia="Arial" w:hAnsi="Arial"/>
                <w:sz w:val="16"/>
                <w:szCs w:val="16"/>
                <w:color w:val="auto"/>
              </w:rPr>
              <w:t>17</w:t>
            </w:r>
          </w:p>
        </w:tc>
        <w:tc>
          <w:tcPr>
            <w:tcW w:w="820" w:type="dxa"/>
            <w:vAlign w:val="bottom"/>
          </w:tcPr>
          <w:p>
            <w:pPr>
              <w:jc w:val="right"/>
              <w:spacing w:after="0"/>
              <w:rPr>
                <w:sz w:val="20"/>
                <w:szCs w:val="20"/>
                <w:color w:val="auto"/>
              </w:rPr>
            </w:pPr>
            <w:r>
              <w:rPr>
                <w:rFonts w:ascii="Arial" w:cs="Arial" w:eastAsia="Arial" w:hAnsi="Arial"/>
                <w:sz w:val="16"/>
                <w:szCs w:val="16"/>
                <w:color w:val="auto"/>
              </w:rPr>
              <w:t>37</w:t>
            </w:r>
          </w:p>
        </w:tc>
      </w:tr>
    </w:tbl>
    <w:p>
      <w:pPr>
        <w:spacing w:after="0" w:line="21" w:lineRule="exact"/>
        <w:rPr>
          <w:sz w:val="20"/>
          <w:szCs w:val="20"/>
          <w:color w:val="auto"/>
        </w:rPr>
      </w:pPr>
    </w:p>
    <w:p>
      <w:pPr>
        <w:ind w:left="1476" w:hanging="1386"/>
        <w:spacing w:after="0"/>
        <w:tabs>
          <w:tab w:leader="none" w:pos="1476" w:val="left"/>
        </w:tabs>
        <w:numPr>
          <w:ilvl w:val="0"/>
          <w:numId w:val="9"/>
        </w:numPr>
        <w:rPr>
          <w:rFonts w:ascii="Arial" w:cs="Arial" w:eastAsia="Arial" w:hAnsi="Arial"/>
          <w:sz w:val="15"/>
          <w:szCs w:val="15"/>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9525</wp:posOffset>
            </wp:positionV>
            <wp:extent cx="182689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17145"/>
                    </a:xfrm>
                    <a:prstGeom prst="rect">
                      <a:avLst/>
                    </a:prstGeom>
                    <a:noFill/>
                  </pic:spPr>
                </pic:pic>
              </a:graphicData>
            </a:graphic>
          </wp:anchor>
        </w:drawing>
      </w:r>
    </w:p>
    <w:p>
      <w:pPr>
        <w:spacing w:after="0" w:line="51" w:lineRule="exact"/>
        <w:rPr>
          <w:sz w:val="20"/>
          <w:szCs w:val="20"/>
          <w:color w:val="auto"/>
        </w:rPr>
      </w:pPr>
    </w:p>
    <w:p>
      <w:pPr>
        <w:ind w:left="1376" w:hanging="1376"/>
        <w:spacing w:after="0"/>
        <w:tabs>
          <w:tab w:leader="none" w:pos="1376" w:val="left"/>
        </w:tabs>
        <w:numPr>
          <w:ilvl w:val="0"/>
          <w:numId w:val="10"/>
        </w:numPr>
        <w:rPr>
          <w:rFonts w:ascii="Arial" w:cs="Arial" w:eastAsia="Arial" w:hAnsi="Arial"/>
          <w:sz w:val="16"/>
          <w:szCs w:val="16"/>
          <w:color w:val="auto"/>
        </w:rPr>
      </w:pPr>
      <w:r>
        <w:rPr>
          <w:rFonts w:ascii="Arial" w:cs="Arial" w:eastAsia="Arial" w:hAnsi="Arial"/>
          <w:sz w:val="16"/>
          <w:szCs w:val="16"/>
          <w:color w:val="auto"/>
        </w:rPr>
        <w:t>(399)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1905</wp:posOffset>
            </wp:positionV>
            <wp:extent cx="182689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171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556" w:hanging="1376"/>
        <w:spacing w:after="0"/>
        <w:tabs>
          <w:tab w:leader="none" w:pos="1556" w:val="left"/>
        </w:tabs>
        <w:numPr>
          <w:ilvl w:val="1"/>
          <w:numId w:val="11"/>
        </w:numPr>
        <w:rPr>
          <w:rFonts w:ascii="Arial" w:cs="Arial" w:eastAsia="Arial" w:hAnsi="Arial"/>
          <w:sz w:val="16"/>
          <w:szCs w:val="16"/>
          <w:color w:val="auto"/>
        </w:rPr>
      </w:pPr>
      <w:r>
        <w:rPr>
          <w:rFonts w:ascii="Arial" w:cs="Arial" w:eastAsia="Arial" w:hAnsi="Arial"/>
          <w:sz w:val="16"/>
          <w:szCs w:val="16"/>
          <w:color w:val="auto"/>
        </w:rPr>
        <w:t>(1)</w:t>
      </w:r>
    </w:p>
    <w:p>
      <w:pPr>
        <w:spacing w:after="0" w:line="32" w:lineRule="exact"/>
        <w:rPr>
          <w:rFonts w:ascii="Arial" w:cs="Arial" w:eastAsia="Arial" w:hAnsi="Arial"/>
          <w:sz w:val="16"/>
          <w:szCs w:val="16"/>
          <w:color w:val="auto"/>
        </w:rPr>
      </w:pPr>
    </w:p>
    <w:p>
      <w:pPr>
        <w:ind w:left="1436" w:hanging="1264"/>
        <w:spacing w:after="0"/>
        <w:tabs>
          <w:tab w:leader="none" w:pos="1436" w:val="left"/>
        </w:tabs>
        <w:numPr>
          <w:ilvl w:val="0"/>
          <w:numId w:val="11"/>
        </w:numPr>
        <w:rPr>
          <w:rFonts w:ascii="Arial" w:cs="Arial" w:eastAsia="Arial" w:hAnsi="Arial"/>
          <w:sz w:val="16"/>
          <w:szCs w:val="16"/>
          <w:color w:val="auto"/>
        </w:rPr>
      </w:pPr>
      <w:r>
        <w:rPr>
          <w:rFonts w:ascii="Arial" w:cs="Arial" w:eastAsia="Arial" w:hAnsi="Arial"/>
          <w:sz w:val="16"/>
          <w:szCs w:val="16"/>
          <w:color w:val="auto"/>
        </w:rPr>
        <w:t>249</w:t>
      </w:r>
    </w:p>
    <w:p>
      <w:pPr>
        <w:spacing w:after="0" w:line="32" w:lineRule="exact"/>
        <w:rPr>
          <w:rFonts w:ascii="Arial" w:cs="Arial" w:eastAsia="Arial" w:hAnsi="Arial"/>
          <w:sz w:val="16"/>
          <w:szCs w:val="16"/>
          <w:color w:val="auto"/>
        </w:rPr>
      </w:pPr>
    </w:p>
    <w:p>
      <w:pPr>
        <w:ind w:left="1556" w:hanging="1376"/>
        <w:spacing w:after="0"/>
        <w:tabs>
          <w:tab w:leader="none" w:pos="1556" w:val="left"/>
        </w:tabs>
        <w:numPr>
          <w:ilvl w:val="1"/>
          <w:numId w:val="12"/>
        </w:numPr>
        <w:rPr>
          <w:rFonts w:ascii="Arial" w:cs="Arial" w:eastAsia="Arial" w:hAnsi="Arial"/>
          <w:sz w:val="16"/>
          <w:szCs w:val="16"/>
          <w:color w:val="auto"/>
        </w:rPr>
      </w:pPr>
      <w:r>
        <w:rPr>
          <w:rFonts w:ascii="Arial" w:cs="Arial" w:eastAsia="Arial" w:hAnsi="Arial"/>
          <w:sz w:val="16"/>
          <w:szCs w:val="16"/>
          <w:color w:val="auto"/>
        </w:rPr>
        <w:t>(3)</w:t>
      </w:r>
    </w:p>
    <w:p>
      <w:pPr>
        <w:spacing w:after="0" w:line="32" w:lineRule="exact"/>
        <w:rPr>
          <w:sz w:val="20"/>
          <w:szCs w:val="20"/>
          <w:color w:val="auto"/>
        </w:rPr>
      </w:pPr>
    </w:p>
    <w:p>
      <w:pPr>
        <w:ind w:left="1556" w:hanging="1376"/>
        <w:spacing w:after="0"/>
        <w:tabs>
          <w:tab w:leader="none" w:pos="1556" w:val="left"/>
        </w:tabs>
        <w:numPr>
          <w:ilvl w:val="1"/>
          <w:numId w:val="13"/>
        </w:numPr>
        <w:rPr>
          <w:rFonts w:ascii="Arial" w:cs="Arial" w:eastAsia="Arial" w:hAnsi="Arial"/>
          <w:sz w:val="16"/>
          <w:szCs w:val="16"/>
          <w:color w:val="auto"/>
        </w:rPr>
      </w:pPr>
      <w:r>
        <w:rPr>
          <w:rFonts w:ascii="Arial" w:cs="Arial" w:eastAsia="Arial" w:hAnsi="Arial"/>
          <w:sz w:val="16"/>
          <w:szCs w:val="16"/>
          <w:color w:val="auto"/>
        </w:rPr>
        <w:t>―</w:t>
      </w:r>
    </w:p>
    <w:p>
      <w:pPr>
        <w:spacing w:after="0" w:line="32" w:lineRule="exact"/>
        <w:rPr>
          <w:rFonts w:ascii="Arial" w:cs="Arial" w:eastAsia="Arial" w:hAnsi="Arial"/>
          <w:sz w:val="16"/>
          <w:szCs w:val="16"/>
          <w:color w:val="auto"/>
        </w:rPr>
      </w:pPr>
    </w:p>
    <w:p>
      <w:pPr>
        <w:ind w:left="1556" w:hanging="1384"/>
        <w:spacing w:after="0"/>
        <w:tabs>
          <w:tab w:leader="none" w:pos="1556" w:val="left"/>
        </w:tabs>
        <w:numPr>
          <w:ilvl w:val="0"/>
          <w:numId w:val="13"/>
        </w:numPr>
        <w:rPr>
          <w:rFonts w:ascii="Arial" w:cs="Arial" w:eastAsia="Arial" w:hAnsi="Arial"/>
          <w:sz w:val="16"/>
          <w:szCs w:val="16"/>
          <w:color w:val="auto"/>
        </w:rPr>
      </w:pPr>
      <w:r>
        <w:rPr>
          <w:rFonts w:ascii="Arial" w:cs="Arial" w:eastAsia="Arial" w:hAnsi="Arial"/>
          <w:sz w:val="16"/>
          <w:szCs w:val="16"/>
          <w:color w:val="auto"/>
        </w:rPr>
        <w:t>(2)</w:t>
      </w:r>
    </w:p>
    <w:p>
      <w:pPr>
        <w:spacing w:after="0" w:line="59" w:lineRule="exact"/>
        <w:rPr>
          <w:rFonts w:ascii="Arial" w:cs="Arial" w:eastAsia="Arial" w:hAnsi="Arial"/>
          <w:sz w:val="16"/>
          <w:szCs w:val="16"/>
          <w:color w:val="auto"/>
        </w:rPr>
      </w:pPr>
    </w:p>
    <w:p>
      <w:pPr>
        <w:ind w:left="1436" w:hanging="1256"/>
        <w:spacing w:after="0"/>
        <w:tabs>
          <w:tab w:leader="none" w:pos="1436" w:val="left"/>
        </w:tabs>
        <w:numPr>
          <w:ilvl w:val="1"/>
          <w:numId w:val="14"/>
        </w:numPr>
        <w:rPr>
          <w:rFonts w:ascii="Arial" w:cs="Arial" w:eastAsia="Arial" w:hAnsi="Arial"/>
          <w:sz w:val="16"/>
          <w:szCs w:val="16"/>
          <w:color w:val="auto"/>
        </w:rPr>
      </w:pPr>
      <w:r>
        <w:rPr>
          <w:rFonts w:ascii="Arial" w:cs="Arial" w:eastAsia="Arial" w:hAnsi="Arial"/>
          <w:sz w:val="16"/>
          <w:szCs w:val="16"/>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-151765</wp:posOffset>
            </wp:positionV>
            <wp:extent cx="182689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26895" cy="17145"/>
                    </a:xfrm>
                    <a:prstGeom prst="rect">
                      <a:avLst/>
                    </a:prstGeom>
                    <a:noFill/>
                  </pic:spPr>
                </pic:pic>
              </a:graphicData>
            </a:graphic>
          </wp:anchor>
        </w:drawing>
        <w:drawing>
          <wp:anchor simplePos="0" relativeHeight="251657728" behindDoc="1" locked="0" layoutInCell="0" allowOverlap="1">
            <wp:simplePos x="0" y="0"/>
            <wp:positionH relativeFrom="column">
              <wp:posOffset>-711200</wp:posOffset>
            </wp:positionH>
            <wp:positionV relativeFrom="paragraph">
              <wp:posOffset>1905</wp:posOffset>
            </wp:positionV>
            <wp:extent cx="182689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1714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944" w:space="720"/>
            <w:col w:w="1756"/>
          </w:cols>
          <w:pgMar w:left="240" w:top="864" w:right="239" w:bottom="0" w:gutter="0" w:footer="0" w:header="0"/>
          <w:type w:val="continuous"/>
        </w:sectPr>
      </w:pP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40" w:type="dxa"/>
            <w:vAlign w:val="bottom"/>
          </w:tcPr>
          <w:p>
            <w:pPr>
              <w:spacing w:after="0"/>
              <w:rPr>
                <w:sz w:val="20"/>
                <w:szCs w:val="20"/>
                <w:color w:val="auto"/>
              </w:rPr>
            </w:pPr>
            <w:r>
              <w:rPr>
                <w:rFonts w:ascii="Arial" w:cs="Arial" w:eastAsia="Arial" w:hAnsi="Arial"/>
                <w:sz w:val="16"/>
                <w:szCs w:val="16"/>
                <w:color w:val="auto"/>
              </w:rPr>
              <w:t>Increase in cash and cash equivalents</w:t>
            </w: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w:t>
            </w:r>
          </w:p>
        </w:tc>
        <w:tc>
          <w:tcPr>
            <w:tcW w:w="6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6"/>
                <w:szCs w:val="16"/>
                <w:color w:val="auto"/>
              </w:rPr>
              <w:t>Cash and cash equivalents, January 1</w:t>
            </w:r>
          </w:p>
        </w:tc>
        <w:tc>
          <w:tcPr>
            <w:tcW w:w="6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6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89"/>
        </w:trPr>
        <w:tc>
          <w:tcPr>
            <w:tcW w:w="8540" w:type="dxa"/>
            <w:vAlign w:val="bottom"/>
          </w:tcPr>
          <w:p>
            <w:pPr>
              <w:spacing w:after="0" w:line="183" w:lineRule="exact"/>
              <w:rPr>
                <w:sz w:val="20"/>
                <w:szCs w:val="20"/>
                <w:color w:val="auto"/>
              </w:rPr>
            </w:pPr>
            <w:r>
              <w:rPr>
                <w:rFonts w:ascii="Arial" w:cs="Arial" w:eastAsia="Arial" w:hAnsi="Arial"/>
                <w:sz w:val="16"/>
                <w:szCs w:val="16"/>
                <w:color w:val="auto"/>
              </w:rPr>
              <w:t>Cash and cash equivalents, March 31</w:t>
            </w: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
        </w:trPr>
        <w:tc>
          <w:tcPr>
            <w:tcW w:w="8540" w:type="dxa"/>
            <w:vAlign w:val="bottom"/>
            <w:vMerge w:val="restart"/>
          </w:tcPr>
          <w:p>
            <w:pPr>
              <w:spacing w:after="0"/>
              <w:rPr>
                <w:sz w:val="20"/>
                <w:szCs w:val="20"/>
                <w:color w:val="auto"/>
              </w:rPr>
            </w:pPr>
            <w:r>
              <w:rPr>
                <w:rFonts w:ascii="Arial" w:cs="Arial" w:eastAsia="Arial" w:hAnsi="Arial"/>
                <w:sz w:val="16"/>
                <w:szCs w:val="16"/>
                <w:color w:val="auto"/>
              </w:rPr>
              <w:t>SUPPLEMENTAL DISCLOSURE OF CASH FLOW INFORMATION</w:t>
            </w: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8"/>
        </w:trPr>
        <w:tc>
          <w:tcPr>
            <w:tcW w:w="85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540" w:type="dxa"/>
            <w:vAlign w:val="bottom"/>
          </w:tcPr>
          <w:p>
            <w:pPr>
              <w:ind w:left="180"/>
              <w:spacing w:after="0"/>
              <w:rPr>
                <w:sz w:val="20"/>
                <w:szCs w:val="20"/>
                <w:color w:val="auto"/>
              </w:rPr>
            </w:pPr>
            <w:r>
              <w:rPr>
                <w:rFonts w:ascii="Arial" w:cs="Arial" w:eastAsia="Arial" w:hAnsi="Arial"/>
                <w:sz w:val="16"/>
                <w:szCs w:val="16"/>
                <w:color w:val="auto"/>
              </w:rPr>
              <w:t>Interest payments, net of amounts capitalized</w:t>
            </w: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28</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6"/>
                <w:szCs w:val="16"/>
                <w:color w:val="auto"/>
              </w:rPr>
              <w:t>Income tax refunds</w:t>
            </w: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427"/>
        </w:trPr>
        <w:tc>
          <w:tcPr>
            <w:tcW w:w="8540" w:type="dxa"/>
            <w:vAlign w:val="bottom"/>
          </w:tcPr>
          <w:p>
            <w:pPr>
              <w:spacing w:after="0"/>
              <w:rPr>
                <w:sz w:val="20"/>
                <w:szCs w:val="20"/>
                <w:color w:val="auto"/>
              </w:rPr>
            </w:pPr>
            <w:r>
              <w:rPr>
                <w:rFonts w:ascii="Arial" w:cs="Arial" w:eastAsia="Arial" w:hAnsi="Arial"/>
                <w:sz w:val="16"/>
                <w:szCs w:val="16"/>
                <w:color w:val="auto"/>
              </w:rPr>
              <w:t>SUPPLEMENTAL DISCLOSURE OF NONCASH INVESTING ACTIVITIES</w:t>
            </w: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540" w:type="dxa"/>
            <w:vAlign w:val="bottom"/>
          </w:tcPr>
          <w:p>
            <w:pPr>
              <w:ind w:left="180"/>
              <w:spacing w:after="0"/>
              <w:rPr>
                <w:sz w:val="20"/>
                <w:szCs w:val="20"/>
                <w:color w:val="auto"/>
              </w:rPr>
            </w:pPr>
            <w:r>
              <w:rPr>
                <w:rFonts w:ascii="Arial" w:cs="Arial" w:eastAsia="Arial" w:hAnsi="Arial"/>
                <w:sz w:val="16"/>
                <w:szCs w:val="16"/>
                <w:color w:val="auto"/>
              </w:rPr>
              <w:t>Accrued capital expenditures</w:t>
            </w: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102</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427"/>
        </w:trPr>
        <w:tc>
          <w:tcPr>
            <w:tcW w:w="8540" w:type="dxa"/>
            <w:vAlign w:val="bottom"/>
          </w:tcPr>
          <w:p>
            <w:pPr>
              <w:spacing w:after="0"/>
              <w:rPr>
                <w:sz w:val="20"/>
                <w:szCs w:val="20"/>
                <w:color w:val="auto"/>
              </w:rPr>
            </w:pPr>
            <w:r>
              <w:rPr>
                <w:rFonts w:ascii="Arial" w:cs="Arial" w:eastAsia="Arial" w:hAnsi="Arial"/>
                <w:sz w:val="16"/>
                <w:szCs w:val="16"/>
                <w:color w:val="auto"/>
              </w:rPr>
              <w:t>SUPPLEMENTAL DISCLOSURE OF NONCASH FINANCING ACTIVITIES</w:t>
            </w: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85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Dividends declared but not paid</w:t>
            </w: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
        </w:trPr>
        <w:tc>
          <w:tcPr>
            <w:tcW w:w="8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4" w:lineRule="exact"/>
        <w:rPr>
          <w:sz w:val="20"/>
          <w:szCs w:val="20"/>
          <w:color w:val="auto"/>
        </w:rPr>
      </w:pPr>
    </w:p>
    <w:p>
      <w:pPr>
        <w:ind w:left="9040"/>
        <w:spacing w:after="0"/>
        <w:rPr>
          <w:sz w:val="20"/>
          <w:szCs w:val="20"/>
          <w:color w:val="auto"/>
        </w:rPr>
      </w:pPr>
      <w:r>
        <w:rPr>
          <w:rFonts w:ascii="Arial" w:cs="Arial" w:eastAsia="Arial" w:hAnsi="Arial"/>
          <w:sz w:val="14"/>
          <w:szCs w:val="14"/>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-1905</wp:posOffset>
            </wp:positionV>
            <wp:extent cx="17583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58315" cy="17145"/>
                    </a:xfrm>
                    <a:prstGeom prst="rect">
                      <a:avLst/>
                    </a:prstGeom>
                    <a:noFill/>
                  </pic:spPr>
                </pic:pic>
              </a:graphicData>
            </a:graphic>
          </wp:anchor>
        </w:drawing>
      </w:r>
    </w:p>
    <w:p>
      <w:pPr>
        <w:spacing w:after="0" w:line="62" w:lineRule="exact"/>
        <w:rPr>
          <w:sz w:val="20"/>
          <w:szCs w:val="20"/>
          <w:color w:val="auto"/>
        </w:rPr>
      </w:pPr>
    </w:p>
    <w:p>
      <w:pPr>
        <w:ind w:left="9160"/>
        <w:spacing w:after="0"/>
        <w:tabs>
          <w:tab w:leader="none" w:pos="10520" w:val="left"/>
        </w:tabs>
        <w:rPr>
          <w:sz w:val="20"/>
          <w:szCs w:val="20"/>
          <w:color w:val="auto"/>
        </w:rPr>
      </w:pPr>
      <w:r>
        <w:rPr>
          <w:rFonts w:ascii="Arial" w:cs="Arial" w:eastAsia="Arial" w:hAnsi="Arial"/>
          <w:sz w:val="14"/>
          <w:szCs w:val="14"/>
          <w:color w:val="auto"/>
        </w:rPr>
        <w:t>2013</w:t>
      </w:r>
      <w:r>
        <w:rPr>
          <w:sz w:val="20"/>
          <w:szCs w:val="20"/>
          <w:color w:val="auto"/>
        </w:rPr>
        <w:tab/>
      </w:r>
      <w:r>
        <w:rPr>
          <w:rFonts w:ascii="Arial" w:cs="Arial" w:eastAsia="Arial" w:hAnsi="Arial"/>
          <w:sz w:val="14"/>
          <w:szCs w:val="14"/>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2" w:lineRule="exact"/>
        <w:rPr>
          <w:sz w:val="20"/>
          <w:szCs w:val="20"/>
          <w:color w:val="auto"/>
        </w:rPr>
      </w:pPr>
    </w:p>
    <w:p>
      <w:pPr>
        <w:ind w:left="9680"/>
        <w:spacing w:after="0"/>
        <w:rPr>
          <w:sz w:val="20"/>
          <w:szCs w:val="20"/>
          <w:color w:val="auto"/>
        </w:rPr>
      </w:pPr>
      <w:r>
        <w:rPr>
          <w:rFonts w:ascii="Arial" w:cs="Arial" w:eastAsia="Arial" w:hAnsi="Arial"/>
          <w:sz w:val="14"/>
          <w:szCs w:val="14"/>
          <w:color w:val="auto"/>
        </w:rPr>
        <w:t>(unaudited)</w:t>
      </w:r>
    </w:p>
    <w:p>
      <w:pPr>
        <w:sectPr>
          <w:pgSz w:w="11900" w:h="16838" w:orient="portrait"/>
          <w:cols w:equalWidth="0" w:num="1">
            <w:col w:w="11420"/>
          </w:cols>
          <w:pgMar w:left="240" w:top="864" w:right="239" w:bottom="0" w:gutter="0" w:footer="0" w:header="0"/>
          <w:type w:val="continuous"/>
        </w:sect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Operating revenues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Cost of natural gas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Operation and maintenance</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Depreciation and amortization</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Franchise fees and other taxes</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operating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income, net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before income taxes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56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w:t>
            </w: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w:t>
            </w:r>
          </w:p>
        </w:tc>
      </w:tr>
      <w:tr>
        <w:trPr>
          <w:trHeight w:val="440"/>
        </w:trPr>
        <w:tc>
          <w:tcPr>
            <w:tcW w:w="5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454</w:t>
            </w:r>
          </w:p>
        </w:tc>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349</w:t>
            </w:r>
          </w:p>
        </w:tc>
      </w:tr>
      <w:tr>
        <w:trPr>
          <w:trHeight w:val="216"/>
        </w:trPr>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306</w:t>
            </w: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289</w:t>
            </w:r>
          </w:p>
        </w:tc>
      </w:tr>
      <w:tr>
        <w:trPr>
          <w:trHeight w:val="216"/>
        </w:trPr>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w:t>
            </w: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16"/>
        </w:trPr>
        <w:tc>
          <w:tcPr>
            <w:tcW w:w="5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6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223"/>
        </w:trPr>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w:t>
            </w:r>
          </w:p>
        </w:tc>
        <w:tc>
          <w:tcPr>
            <w:tcW w:w="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w:t>
            </w:r>
          </w:p>
        </w:tc>
      </w:tr>
      <w:tr>
        <w:trPr>
          <w:trHeight w:val="224"/>
        </w:trPr>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83</w:t>
            </w: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16"/>
        </w:trPr>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w:t>
            </w: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5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6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24"/>
        </w:trPr>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w:t>
            </w: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106</w:t>
            </w:r>
          </w:p>
        </w:tc>
      </w:tr>
    </w:tbl>
    <w:p>
      <w:pPr>
        <w:sectPr>
          <w:pgSz w:w="11900" w:h="16838" w:orient="portrait"/>
          <w:cols w:equalWidth="0" w:num="2">
            <w:col w:w="7940" w:space="720"/>
            <w:col w:w="2760"/>
          </w:cols>
          <w:pgMar w:left="240" w:top="864" w:right="239" w:bottom="0" w:gutter="0" w:footer="0" w:header="0"/>
          <w:type w:val="continuous"/>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660" w:type="dxa"/>
            <w:vAlign w:val="bottom"/>
          </w:tcPr>
          <w:p>
            <w:pPr>
              <w:spacing w:after="0"/>
              <w:rPr>
                <w:sz w:val="20"/>
                <w:szCs w:val="20"/>
                <w:color w:val="auto"/>
              </w:rPr>
            </w:pPr>
            <w:r>
              <w:rPr>
                <w:rFonts w:ascii="Arial" w:cs="Arial" w:eastAsia="Arial" w:hAnsi="Arial"/>
                <w:sz w:val="16"/>
                <w:szCs w:val="16"/>
                <w:color w:val="auto"/>
              </w:rPr>
              <w:t>Income tax expense</w:t>
            </w:r>
          </w:p>
        </w:tc>
        <w:tc>
          <w:tcPr>
            <w:tcW w:w="5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189"/>
        </w:trPr>
        <w:tc>
          <w:tcPr>
            <w:tcW w:w="8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income/Earnings attributable to common shares</w:t>
            </w:r>
          </w:p>
        </w:tc>
        <w:tc>
          <w:tcPr>
            <w:tcW w:w="58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r>
      <w:tr>
        <w:trPr>
          <w:trHeight w:val="21"/>
        </w:trPr>
        <w:tc>
          <w:tcPr>
            <w:tcW w:w="8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5500"/>
        <w:spacing w:after="0" w:line="267" w:lineRule="auto"/>
        <w:rPr>
          <w:sz w:val="20"/>
          <w:szCs w:val="20"/>
          <w:color w:val="auto"/>
        </w:rPr>
      </w:pPr>
      <w:r>
        <w:rPr>
          <w:rFonts w:ascii="Arial" w:cs="Arial" w:eastAsia="Arial" w:hAnsi="Arial"/>
          <w:sz w:val="16"/>
          <w:szCs w:val="16"/>
          <w:b w:val="1"/>
          <w:bCs w:val="1"/>
          <w:color w:val="auto"/>
        </w:rPr>
        <w:t xml:space="preserve">SOUTHERN CALIFORNIA GAS COMPANY AND SUBSIDIARIES CONDENSED CONSOLIDATED STATEMENTS OF COMPREHENSIVE INCOME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-370205</wp:posOffset>
            </wp:positionV>
            <wp:extent cx="7246620" cy="3517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6"/>
        </w:trPr>
        <w:tc>
          <w:tcPr>
            <w:tcW w:w="7960" w:type="dxa"/>
            <w:vAlign w:val="bottom"/>
          </w:tcPr>
          <w:p>
            <w:pPr>
              <w:spacing w:after="0"/>
              <w:rPr>
                <w:sz w:val="14"/>
                <w:szCs w:val="14"/>
                <w:color w:val="auto"/>
              </w:rPr>
            </w:pPr>
          </w:p>
        </w:tc>
        <w:tc>
          <w:tcPr>
            <w:tcW w:w="3040" w:type="dxa"/>
            <w:vAlign w:val="bottom"/>
            <w:tcBorders>
              <w:bottom w:val="single" w:sz="8" w:color="auto"/>
            </w:tcBorders>
            <w:gridSpan w:val="3"/>
          </w:tcPr>
          <w:p>
            <w:pPr>
              <w:jc w:val="right"/>
              <w:ind w:right="222"/>
              <w:spacing w:after="0" w:line="159" w:lineRule="exact"/>
              <w:rPr>
                <w:sz w:val="20"/>
                <w:szCs w:val="20"/>
                <w:color w:val="auto"/>
              </w:rPr>
            </w:pPr>
            <w:r>
              <w:rPr>
                <w:rFonts w:ascii="Arial" w:cs="Arial" w:eastAsia="Arial" w:hAnsi="Arial"/>
                <w:sz w:val="14"/>
                <w:szCs w:val="14"/>
                <w:color w:val="auto"/>
              </w:rPr>
              <w:t>Three months ended March 31,</w:t>
            </w:r>
          </w:p>
        </w:tc>
        <w:tc>
          <w:tcPr>
            <w:tcW w:w="420" w:type="dxa"/>
            <w:vAlign w:val="bottom"/>
            <w:tcBorders>
              <w:bottom w:val="single" w:sz="8" w:color="auto"/>
            </w:tcBorders>
          </w:tcPr>
          <w:p>
            <w:pPr>
              <w:spacing w:after="0"/>
              <w:rPr>
                <w:sz w:val="14"/>
                <w:szCs w:val="14"/>
                <w:color w:val="auto"/>
              </w:rPr>
            </w:pPr>
          </w:p>
        </w:tc>
      </w:tr>
      <w:tr>
        <w:trPr>
          <w:trHeight w:val="223"/>
        </w:trPr>
        <w:tc>
          <w:tcPr>
            <w:tcW w:w="7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color w:val="auto"/>
              </w:rPr>
              <w:t>2013</w:t>
            </w:r>
          </w:p>
        </w:tc>
        <w:tc>
          <w:tcPr>
            <w:tcW w:w="10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color w:val="auto"/>
              </w:rPr>
              <w:t>2012</w:t>
            </w:r>
          </w:p>
        </w:tc>
        <w:tc>
          <w:tcPr>
            <w:tcW w:w="420" w:type="dxa"/>
            <w:vAlign w:val="bottom"/>
            <w:tcBorders>
              <w:bottom w:val="single" w:sz="8" w:color="auto"/>
            </w:tcBorders>
          </w:tcPr>
          <w:p>
            <w:pPr>
              <w:spacing w:after="0"/>
              <w:rPr>
                <w:sz w:val="19"/>
                <w:szCs w:val="19"/>
                <w:color w:val="auto"/>
              </w:rPr>
            </w:pPr>
          </w:p>
        </w:tc>
      </w:tr>
      <w:tr>
        <w:trPr>
          <w:trHeight w:val="231"/>
        </w:trPr>
        <w:tc>
          <w:tcPr>
            <w:tcW w:w="7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(unaudited)</w:t>
            </w: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9"/>
        </w:trPr>
        <w:tc>
          <w:tcPr>
            <w:tcW w:w="7960" w:type="dxa"/>
            <w:vAlign w:val="bottom"/>
          </w:tcPr>
          <w:p>
            <w:pPr>
              <w:spacing w:after="0"/>
              <w:rPr>
                <w:sz w:val="20"/>
                <w:szCs w:val="20"/>
                <w:color w:val="auto"/>
              </w:rPr>
            </w:pPr>
            <w:r>
              <w:rPr>
                <w:rFonts w:ascii="Arial" w:cs="Arial" w:eastAsia="Arial" w:hAnsi="Arial"/>
                <w:sz w:val="16"/>
                <w:szCs w:val="16"/>
                <w:color w:val="auto"/>
              </w:rPr>
              <w:t>Net income</w:t>
            </w:r>
          </w:p>
        </w:tc>
        <w:tc>
          <w:tcPr>
            <w:tcW w:w="1100" w:type="dxa"/>
            <w:vAlign w:val="bottom"/>
          </w:tcPr>
          <w:p>
            <w:pPr>
              <w:jc w:val="right"/>
              <w:ind w:right="743"/>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81"/>
              <w:spacing w:after="0"/>
              <w:rPr>
                <w:sz w:val="20"/>
                <w:szCs w:val="20"/>
                <w:color w:val="auto"/>
              </w:rPr>
            </w:pPr>
            <w:r>
              <w:rPr>
                <w:rFonts w:ascii="Arial" w:cs="Arial" w:eastAsia="Arial" w:hAnsi="Arial"/>
                <w:sz w:val="16"/>
                <w:szCs w:val="16"/>
                <w:color w:val="auto"/>
              </w:rPr>
              <w:t>46</w:t>
            </w:r>
          </w:p>
        </w:tc>
        <w:tc>
          <w:tcPr>
            <w:tcW w:w="920" w:type="dxa"/>
            <w:vAlign w:val="bottom"/>
          </w:tcPr>
          <w:p>
            <w:pPr>
              <w:jc w:val="right"/>
              <w:ind w:right="742"/>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6"/>
        </w:trPr>
        <w:tc>
          <w:tcPr>
            <w:tcW w:w="7960" w:type="dxa"/>
            <w:vAlign w:val="bottom"/>
          </w:tcPr>
          <w:p>
            <w:pPr>
              <w:spacing w:after="0"/>
              <w:rPr>
                <w:sz w:val="20"/>
                <w:szCs w:val="20"/>
                <w:color w:val="auto"/>
              </w:rPr>
            </w:pPr>
            <w:r>
              <w:rPr>
                <w:rFonts w:ascii="Arial" w:cs="Arial" w:eastAsia="Arial" w:hAnsi="Arial"/>
                <w:sz w:val="16"/>
                <w:szCs w:val="16"/>
                <w:color w:val="auto"/>
              </w:rPr>
              <w:t>Total other comprehensive income, net of income tax</w:t>
            </w:r>
          </w:p>
        </w:tc>
        <w:tc>
          <w:tcPr>
            <w:tcW w:w="1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comprehensive income</w:t>
            </w:r>
          </w:p>
        </w:tc>
        <w:tc>
          <w:tcPr>
            <w:tcW w:w="1100" w:type="dxa"/>
            <w:vAlign w:val="bottom"/>
            <w:tcBorders>
              <w:bottom w:val="single" w:sz="8" w:color="auto"/>
            </w:tcBorders>
          </w:tcPr>
          <w:p>
            <w:pPr>
              <w:jc w:val="right"/>
              <w:ind w:right="743"/>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color w:val="auto"/>
              </w:rPr>
              <w:t>46</w:t>
            </w:r>
          </w:p>
        </w:tc>
        <w:tc>
          <w:tcPr>
            <w:tcW w:w="92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r>
      <w:tr>
        <w:trPr>
          <w:trHeight w:val="21"/>
        </w:trPr>
        <w:tc>
          <w:tcPr>
            <w:tcW w:w="79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01"/>
              <w:spacing w:after="0"/>
              <w:rPr>
                <w:sz w:val="20"/>
                <w:szCs w:val="20"/>
                <w:color w:val="auto"/>
              </w:rPr>
            </w:pPr>
            <w:r>
              <w:rPr>
                <w:rFonts w:ascii="Arial" w:cs="Arial" w:eastAsia="Arial" w:hAnsi="Arial"/>
                <w:sz w:val="14"/>
                <w:szCs w:val="14"/>
                <w:color w:val="auto"/>
              </w:rPr>
              <w:t>March 31,</w:t>
            </w:r>
          </w:p>
        </w:tc>
        <w:tc>
          <w:tcPr>
            <w:tcW w:w="200" w:type="dxa"/>
            <w:vAlign w:val="bottom"/>
          </w:tcPr>
          <w:p>
            <w:pPr>
              <w:spacing w:after="0"/>
              <w:rPr>
                <w:sz w:val="14"/>
                <w:szCs w:val="14"/>
                <w:color w:val="auto"/>
              </w:rPr>
            </w:pPr>
          </w:p>
        </w:tc>
        <w:tc>
          <w:tcPr>
            <w:tcW w:w="126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r>
      <w:tr>
        <w:trPr>
          <w:trHeight w:val="208"/>
        </w:trPr>
        <w:tc>
          <w:tcPr>
            <w:tcW w:w="85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color w:val="auto"/>
              </w:rPr>
              <w:t>2013</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2012(1)</w:t>
            </w:r>
          </w:p>
        </w:tc>
      </w:tr>
      <w:tr>
        <w:trPr>
          <w:trHeight w:val="231"/>
        </w:trPr>
        <w:tc>
          <w:tcPr>
            <w:tcW w:w="8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center"/>
              <w:ind w:right="101"/>
              <w:spacing w:after="0"/>
              <w:rPr>
                <w:sz w:val="20"/>
                <w:szCs w:val="20"/>
                <w:color w:val="auto"/>
              </w:rPr>
            </w:pPr>
            <w:r>
              <w:rPr>
                <w:rFonts w:ascii="Arial" w:cs="Arial" w:eastAsia="Arial" w:hAnsi="Arial"/>
                <w:sz w:val="14"/>
                <w:szCs w:val="14"/>
                <w:color w:val="auto"/>
              </w:rPr>
              <w:t>(unaudited)</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09"/>
        </w:trPr>
        <w:tc>
          <w:tcPr>
            <w:tcW w:w="8580" w:type="dxa"/>
            <w:vAlign w:val="bottom"/>
          </w:tcPr>
          <w:p>
            <w:pPr>
              <w:spacing w:after="0"/>
              <w:rPr>
                <w:sz w:val="20"/>
                <w:szCs w:val="20"/>
                <w:color w:val="auto"/>
              </w:rPr>
            </w:pPr>
            <w:r>
              <w:rPr>
                <w:rFonts w:ascii="Arial" w:cs="Arial" w:eastAsia="Arial" w:hAnsi="Arial"/>
                <w:sz w:val="16"/>
                <w:szCs w:val="16"/>
                <w:color w:val="auto"/>
              </w:rPr>
              <w:t>ASSETS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8580" w:type="dxa"/>
            <w:vAlign w:val="bottom"/>
          </w:tcPr>
          <w:p>
            <w:pPr>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5"/>
        </w:trPr>
        <w:tc>
          <w:tcPr>
            <w:tcW w:w="858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Accounts receivable – trade, net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466</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539</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Accounts receivable – other, net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94</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Due from unconsolidated affiliates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276</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Income taxes receivable</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96</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Regulatory assets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1,068</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w:t>
            </w:r>
          </w:p>
        </w:tc>
      </w:tr>
      <w:tr>
        <w:trPr>
          <w:trHeight w:val="440"/>
        </w:trPr>
        <w:tc>
          <w:tcPr>
            <w:tcW w:w="8580" w:type="dxa"/>
            <w:vAlign w:val="bottom"/>
          </w:tcPr>
          <w:p>
            <w:pPr>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Regulatory assets arising from pension and other postretirement</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6"/>
                <w:szCs w:val="16"/>
                <w:color w:val="auto"/>
              </w:rPr>
              <w:t>benefit obligations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848</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835</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Other regulatory assets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155</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Sundry</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other assets</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w:t>
            </w:r>
          </w:p>
        </w:tc>
      </w:tr>
    </w:tbl>
    <w:p>
      <w:pPr>
        <w:spacing w:after="0" w:line="200" w:lineRule="exact"/>
        <w:rPr>
          <w:sz w:val="20"/>
          <w:szCs w:val="20"/>
          <w:color w:val="auto"/>
        </w:rPr>
      </w:pPr>
    </w:p>
    <w:p>
      <w:pPr>
        <w:sectPr>
          <w:pgSz w:w="11900" w:h="16838" w:orient="portrait"/>
          <w:cols w:equalWidth="0" w:num="1">
            <w:col w:w="11420"/>
          </w:cols>
          <w:pgMar w:left="240" w:top="141" w:right="239" w:bottom="0" w:gutter="0" w:footer="0" w:header="0"/>
        </w:sectPr>
      </w:pP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Property, plant and equipment</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Less accumulated depreciation and amortization</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Property, plant and equipment, net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11,317</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11,187</w:t>
            </w:r>
          </w:p>
        </w:tc>
      </w:tr>
      <w:tr>
        <w:trPr>
          <w:trHeight w:val="216"/>
        </w:trPr>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(4,244)</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(4,170)</w:t>
            </w:r>
          </w:p>
        </w:tc>
      </w:tr>
      <w:tr>
        <w:trPr>
          <w:trHeight w:val="223"/>
        </w:trPr>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7,073</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7,017</w:t>
            </w:r>
          </w:p>
        </w:tc>
      </w:tr>
      <w:tr>
        <w:trPr>
          <w:trHeight w:val="197"/>
        </w:trPr>
        <w:tc>
          <w:tcPr>
            <w:tcW w:w="480" w:type="dxa"/>
            <w:vAlign w:val="bottom"/>
          </w:tcPr>
          <w:p>
            <w:pPr>
              <w:jc w:val="right"/>
              <w:ind w:right="32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9,223</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9,071</w:t>
            </w:r>
          </w:p>
        </w:tc>
      </w:tr>
    </w:tbl>
    <w:p>
      <w:pPr>
        <w:spacing w:after="0" w:line="37" w:lineRule="exact"/>
        <w:rPr>
          <w:sz w:val="20"/>
          <w:szCs w:val="20"/>
          <w:color w:val="auto"/>
        </w:rPr>
      </w:pPr>
    </w:p>
    <w:p>
      <w:pPr>
        <w:sectPr>
          <w:pgSz w:w="11900" w:h="16838" w:orient="portrait"/>
          <w:cols w:equalWidth="0" w:num="2">
            <w:col w:w="7860" w:space="720"/>
            <w:col w:w="2840"/>
          </w:cols>
          <w:pgMar w:left="240" w:top="141" w:right="239" w:bottom="0" w:gutter="0" w:footer="0" w:header="0"/>
          <w:type w:val="continuous"/>
        </w:sectPr>
      </w:pPr>
    </w:p>
    <w:p>
      <w:pPr>
        <w:ind w:left="500" w:hanging="330"/>
        <w:spacing w:after="0"/>
        <w:tabs>
          <w:tab w:leader="none" w:pos="50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Derived from audited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60" w:type="dxa"/>
            <w:vAlign w:val="bottom"/>
          </w:tcPr>
          <w:p>
            <w:pPr>
              <w:spacing w:after="0"/>
              <w:rPr>
                <w:sz w:val="14"/>
                <w:szCs w:val="14"/>
                <w:color w:val="auto"/>
              </w:rPr>
            </w:pPr>
          </w:p>
        </w:tc>
        <w:tc>
          <w:tcPr>
            <w:tcW w:w="3700" w:type="dxa"/>
            <w:vAlign w:val="bottom"/>
          </w:tcPr>
          <w:p>
            <w:pPr>
              <w:jc w:val="center"/>
              <w:ind w:left="2866"/>
              <w:spacing w:after="0"/>
              <w:rPr>
                <w:sz w:val="20"/>
                <w:szCs w:val="20"/>
                <w:color w:val="auto"/>
              </w:rPr>
            </w:pPr>
            <w:r>
              <w:rPr>
                <w:rFonts w:ascii="Arial" w:cs="Arial" w:eastAsia="Arial" w:hAnsi="Arial"/>
                <w:sz w:val="14"/>
                <w:szCs w:val="14"/>
                <w:color w:val="auto"/>
              </w:rPr>
              <w:t>March 31,</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181"/>
              <w:spacing w:after="0"/>
              <w:rPr>
                <w:sz w:val="20"/>
                <w:szCs w:val="20"/>
                <w:color w:val="auto"/>
              </w:rPr>
            </w:pPr>
            <w:r>
              <w:rPr>
                <w:rFonts w:ascii="Arial" w:cs="Arial" w:eastAsia="Arial" w:hAnsi="Arial"/>
                <w:sz w:val="14"/>
                <w:szCs w:val="14"/>
                <w:color w:val="auto"/>
              </w:rPr>
              <w:t>December 31,</w:t>
            </w:r>
          </w:p>
        </w:tc>
      </w:tr>
      <w:tr>
        <w:trPr>
          <w:trHeight w:val="208"/>
        </w:trPr>
        <w:tc>
          <w:tcPr>
            <w:tcW w:w="596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jc w:val="center"/>
              <w:ind w:left="2826"/>
              <w:spacing w:after="0"/>
              <w:rPr>
                <w:sz w:val="20"/>
                <w:szCs w:val="20"/>
                <w:color w:val="auto"/>
              </w:rPr>
            </w:pPr>
            <w:r>
              <w:rPr>
                <w:rFonts w:ascii="Arial" w:cs="Arial" w:eastAsia="Arial" w:hAnsi="Arial"/>
                <w:sz w:val="14"/>
                <w:szCs w:val="14"/>
                <w:color w:val="auto"/>
              </w:rPr>
              <w:t>2013</w:t>
            </w: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2012(1)</w:t>
            </w:r>
          </w:p>
        </w:tc>
      </w:tr>
      <w:tr>
        <w:trPr>
          <w:trHeight w:val="231"/>
        </w:trPr>
        <w:tc>
          <w:tcPr>
            <w:tcW w:w="5960" w:type="dxa"/>
            <w:vAlign w:val="bottom"/>
          </w:tcPr>
          <w:p>
            <w:pPr>
              <w:spacing w:after="0"/>
              <w:rPr>
                <w:sz w:val="20"/>
                <w:szCs w:val="20"/>
                <w:color w:val="auto"/>
              </w:rPr>
            </w:pPr>
          </w:p>
        </w:tc>
        <w:tc>
          <w:tcPr>
            <w:tcW w:w="3700" w:type="dxa"/>
            <w:vAlign w:val="bottom"/>
          </w:tcPr>
          <w:p>
            <w:pPr>
              <w:jc w:val="center"/>
              <w:ind w:left="2866"/>
              <w:spacing w:after="0"/>
              <w:rPr>
                <w:sz w:val="20"/>
                <w:szCs w:val="20"/>
                <w:color w:val="auto"/>
              </w:rPr>
            </w:pPr>
            <w:r>
              <w:rPr>
                <w:rFonts w:ascii="Arial" w:cs="Arial" w:eastAsia="Arial" w:hAnsi="Arial"/>
                <w:sz w:val="14"/>
                <w:szCs w:val="14"/>
                <w:color w:val="auto"/>
              </w:rPr>
              <w:t>(unaudited)</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09"/>
        </w:trPr>
        <w:tc>
          <w:tcPr>
            <w:tcW w:w="5960" w:type="dxa"/>
            <w:vAlign w:val="bottom"/>
          </w:tcPr>
          <w:p>
            <w:pPr>
              <w:spacing w:after="0"/>
              <w:rPr>
                <w:sz w:val="20"/>
                <w:szCs w:val="20"/>
                <w:color w:val="auto"/>
              </w:rPr>
            </w:pPr>
            <w:r>
              <w:rPr>
                <w:rFonts w:ascii="Arial" w:cs="Arial" w:eastAsia="Arial" w:hAnsi="Arial"/>
                <w:sz w:val="16"/>
                <w:szCs w:val="16"/>
                <w:color w:val="auto"/>
              </w:rPr>
              <w:t>LIABILITIES AND SHAREHOLDERS' EQUITY</w:t>
            </w:r>
          </w:p>
        </w:tc>
        <w:tc>
          <w:tcPr>
            <w:tcW w:w="3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5960" w:type="dxa"/>
            <w:vAlign w:val="bottom"/>
          </w:tcPr>
          <w:p>
            <w:pPr>
              <w:spacing w:after="0"/>
              <w:rPr>
                <w:sz w:val="20"/>
                <w:szCs w:val="20"/>
                <w:color w:val="auto"/>
              </w:rPr>
            </w:pPr>
            <w:r>
              <w:rPr>
                <w:rFonts w:ascii="Arial" w:cs="Arial" w:eastAsia="Arial" w:hAnsi="Arial"/>
                <w:sz w:val="16"/>
                <w:szCs w:val="16"/>
                <w:color w:val="auto"/>
              </w:rPr>
              <w:t>Current liabilities:</w:t>
            </w:r>
          </w:p>
        </w:tc>
        <w:tc>
          <w:tcPr>
            <w:tcW w:w="3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5"/>
        </w:trPr>
        <w:tc>
          <w:tcPr>
            <w:tcW w:w="5960" w:type="dxa"/>
            <w:vAlign w:val="bottom"/>
          </w:tcPr>
          <w:p>
            <w:pPr>
              <w:ind w:left="180"/>
              <w:spacing w:after="0"/>
              <w:rPr>
                <w:sz w:val="20"/>
                <w:szCs w:val="20"/>
                <w:color w:val="auto"/>
              </w:rPr>
            </w:pPr>
            <w:r>
              <w:rPr>
                <w:rFonts w:ascii="Arial" w:cs="Arial" w:eastAsia="Arial" w:hAnsi="Arial"/>
                <w:sz w:val="16"/>
                <w:szCs w:val="16"/>
                <w:color w:val="auto"/>
              </w:rPr>
              <w:t>Accounts payable – trade</w:t>
            </w:r>
          </w:p>
        </w:tc>
        <w:tc>
          <w:tcPr>
            <w:tcW w:w="3700" w:type="dxa"/>
            <w:vAlign w:val="bottom"/>
          </w:tcPr>
          <w:p>
            <w:pPr>
              <w:jc w:val="right"/>
              <w:ind w:right="926"/>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w w:val="97"/>
              </w:rPr>
              <w:t>282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383</w:t>
            </w:r>
          </w:p>
        </w:tc>
      </w:tr>
      <w:tr>
        <w:trPr>
          <w:trHeight w:val="216"/>
        </w:trPr>
        <w:tc>
          <w:tcPr>
            <w:tcW w:w="5960" w:type="dxa"/>
            <w:vAlign w:val="bottom"/>
          </w:tcPr>
          <w:p>
            <w:pPr>
              <w:ind w:left="180"/>
              <w:spacing w:after="0"/>
              <w:rPr>
                <w:sz w:val="20"/>
                <w:szCs w:val="20"/>
                <w:color w:val="auto"/>
              </w:rPr>
            </w:pPr>
            <w:r>
              <w:rPr>
                <w:rFonts w:ascii="Arial" w:cs="Arial" w:eastAsia="Arial" w:hAnsi="Arial"/>
                <w:sz w:val="16"/>
                <w:szCs w:val="16"/>
                <w:color w:val="auto"/>
              </w:rPr>
              <w:t>Accounts payable – other</w:t>
            </w:r>
          </w:p>
        </w:tc>
        <w:tc>
          <w:tcPr>
            <w:tcW w:w="37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70</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6"/>
        </w:trPr>
        <w:tc>
          <w:tcPr>
            <w:tcW w:w="5960" w:type="dxa"/>
            <w:vAlign w:val="bottom"/>
          </w:tcPr>
          <w:p>
            <w:pPr>
              <w:ind w:left="180"/>
              <w:spacing w:after="0"/>
              <w:rPr>
                <w:sz w:val="20"/>
                <w:szCs w:val="20"/>
                <w:color w:val="auto"/>
              </w:rPr>
            </w:pPr>
            <w:r>
              <w:rPr>
                <w:rFonts w:ascii="Arial" w:cs="Arial" w:eastAsia="Arial" w:hAnsi="Arial"/>
                <w:sz w:val="16"/>
                <w:szCs w:val="16"/>
                <w:color w:val="auto"/>
              </w:rPr>
              <w:t>Due to unconsolidated affiliate</w:t>
            </w:r>
          </w:p>
        </w:tc>
        <w:tc>
          <w:tcPr>
            <w:tcW w:w="37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6"/>
        </w:trPr>
        <w:tc>
          <w:tcPr>
            <w:tcW w:w="596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37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960" w:type="dxa"/>
            <w:vAlign w:val="bottom"/>
          </w:tcPr>
          <w:p>
            <w:pPr>
              <w:ind w:left="180"/>
              <w:spacing w:after="0"/>
              <w:rPr>
                <w:sz w:val="20"/>
                <w:szCs w:val="20"/>
                <w:color w:val="auto"/>
              </w:rPr>
            </w:pPr>
            <w:r>
              <w:rPr>
                <w:rFonts w:ascii="Arial" w:cs="Arial" w:eastAsia="Arial" w:hAnsi="Arial"/>
                <w:sz w:val="16"/>
                <w:szCs w:val="16"/>
                <w:color w:val="auto"/>
              </w:rPr>
              <w:t>Accrued compensation and benefits</w:t>
            </w:r>
          </w:p>
        </w:tc>
        <w:tc>
          <w:tcPr>
            <w:tcW w:w="37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94</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16"/>
        </w:trPr>
        <w:tc>
          <w:tcPr>
            <w:tcW w:w="5960" w:type="dxa"/>
            <w:vAlign w:val="bottom"/>
          </w:tcPr>
          <w:p>
            <w:pPr>
              <w:ind w:left="180"/>
              <w:spacing w:after="0"/>
              <w:rPr>
                <w:sz w:val="20"/>
                <w:szCs w:val="20"/>
                <w:color w:val="auto"/>
              </w:rPr>
            </w:pPr>
            <w:r>
              <w:rPr>
                <w:rFonts w:ascii="Arial" w:cs="Arial" w:eastAsia="Arial" w:hAnsi="Arial"/>
                <w:sz w:val="16"/>
                <w:szCs w:val="16"/>
                <w:color w:val="auto"/>
              </w:rPr>
              <w:t>Regulatory balancing accounts, net</w:t>
            </w:r>
          </w:p>
        </w:tc>
        <w:tc>
          <w:tcPr>
            <w:tcW w:w="37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97"/>
              </w:rPr>
              <w:t>294</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141</w:t>
            </w:r>
          </w:p>
        </w:tc>
      </w:tr>
    </w:tbl>
    <w:p>
      <w:pPr>
        <w:sectPr>
          <w:pgSz w:w="11900" w:h="16838" w:orient="portrait"/>
          <w:cols w:equalWidth="0" w:num="1">
            <w:col w:w="11420"/>
          </w:cols>
          <w:pgMar w:left="240" w:top="141" w:right="239" w:bottom="0" w:gutter="0" w:footer="0" w:header="0"/>
          <w:type w:val="continuous"/>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254</w:t>
            </w:r>
          </w:p>
        </w:tc>
        <w:tc>
          <w:tcPr>
            <w:tcW w:w="5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43"/>
        </w:trPr>
        <w:tc>
          <w:tcPr>
            <w:tcW w:w="8580" w:type="dxa"/>
            <w:vAlign w:val="bottom"/>
          </w:tcPr>
          <w:p>
            <w:pPr>
              <w:ind w:left="180"/>
              <w:spacing w:after="0"/>
              <w:rPr>
                <w:sz w:val="20"/>
                <w:szCs w:val="20"/>
                <w:color w:val="auto"/>
              </w:rPr>
            </w:pPr>
            <w:r>
              <w:rPr>
                <w:rFonts w:ascii="Arial" w:cs="Arial" w:eastAsia="Arial" w:hAnsi="Arial"/>
                <w:sz w:val="16"/>
                <w:szCs w:val="16"/>
                <w:color w:val="auto"/>
              </w:rPr>
              <w:t>Customer deposits</w:t>
            </w: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Temporary LIFO liquidation</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Other</w:t>
            </w: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w:t>
            </w:r>
          </w:p>
        </w:tc>
      </w:tr>
      <w:tr>
        <w:trPr>
          <w:trHeight w:val="223"/>
        </w:trPr>
        <w:tc>
          <w:tcPr>
            <w:tcW w:w="8580" w:type="dxa"/>
            <w:vAlign w:val="bottom"/>
          </w:tcPr>
          <w:p>
            <w:pPr>
              <w:spacing w:after="0"/>
              <w:rPr>
                <w:sz w:val="20"/>
                <w:szCs w:val="20"/>
                <w:color w:val="auto"/>
              </w:rPr>
            </w:pPr>
            <w:r>
              <w:rPr>
                <w:rFonts w:ascii="Arial" w:cs="Arial" w:eastAsia="Arial" w:hAnsi="Arial"/>
                <w:sz w:val="16"/>
                <w:szCs w:val="16"/>
                <w:color w:val="auto"/>
              </w:rPr>
              <w:t>Long-term debt</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1,159</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1,409</w:t>
            </w:r>
          </w:p>
        </w:tc>
      </w:tr>
      <w:tr>
        <w:trPr>
          <w:trHeight w:val="224"/>
        </w:trPr>
        <w:tc>
          <w:tcPr>
            <w:tcW w:w="8580" w:type="dxa"/>
            <w:vAlign w:val="bottom"/>
          </w:tcPr>
          <w:p>
            <w:pPr>
              <w:spacing w:after="0"/>
              <w:rPr>
                <w:sz w:val="20"/>
                <w:szCs w:val="20"/>
                <w:color w:val="auto"/>
              </w:rPr>
            </w:pPr>
            <w:r>
              <w:rPr>
                <w:rFonts w:ascii="Arial" w:cs="Arial" w:eastAsia="Arial" w:hAnsi="Arial"/>
                <w:sz w:val="16"/>
                <w:szCs w:val="16"/>
                <w:color w:val="auto"/>
              </w:rPr>
              <w:t>Deferred credits and other liabilities:</w:t>
            </w: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Customer advances for construction</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Pension and other postretirement benefit obligations, net of plan assets</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867</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855</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897</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881</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Deferred investment tax credits</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Regulatory liabilities arising from removal obligations</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1,110</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1,103</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Asset retirement obligations</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1,247</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1,238</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Deferred credits and other</w:t>
            </w: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deferred credits and other liabilities</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4,501</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4,464</w:t>
            </w:r>
          </w:p>
        </w:tc>
      </w:tr>
      <w:tr>
        <w:trPr>
          <w:trHeight w:val="440"/>
        </w:trPr>
        <w:tc>
          <w:tcPr>
            <w:tcW w:w="8580" w:type="dxa"/>
            <w:vAlign w:val="bottom"/>
          </w:tcPr>
          <w:p>
            <w:pPr>
              <w:spacing w:after="0"/>
              <w:rPr>
                <w:sz w:val="20"/>
                <w:szCs w:val="20"/>
                <w:color w:val="auto"/>
              </w:rPr>
            </w:pPr>
            <w:r>
              <w:rPr>
                <w:rFonts w:ascii="Arial" w:cs="Arial" w:eastAsia="Arial" w:hAnsi="Arial"/>
                <w:sz w:val="16"/>
                <w:szCs w:val="16"/>
                <w:color w:val="auto"/>
              </w:rPr>
              <w:t>Commitments and contingencies (Note 10)</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8580" w:type="dxa"/>
            <w:vAlign w:val="bottom"/>
          </w:tcPr>
          <w:p>
            <w:pPr>
              <w:spacing w:after="0"/>
              <w:rPr>
                <w:sz w:val="20"/>
                <w:szCs w:val="20"/>
                <w:color w:val="auto"/>
              </w:rPr>
            </w:pPr>
            <w:r>
              <w:rPr>
                <w:rFonts w:ascii="Arial" w:cs="Arial" w:eastAsia="Arial" w:hAnsi="Arial"/>
                <w:sz w:val="16"/>
                <w:szCs w:val="16"/>
                <w:color w:val="auto"/>
              </w:rPr>
              <w:t>Shareholders' equity:</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Preferred stock</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Common stock (100 million shares authorized; 91 million shares outstanding;</w:t>
            </w: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6"/>
                <w:szCs w:val="16"/>
                <w:color w:val="auto"/>
              </w:rPr>
              <w:t>no par value)</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866</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866</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1,411</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1,365</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shareholders' equity</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2,281</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2,235</w:t>
            </w:r>
          </w:p>
        </w:tc>
      </w:tr>
      <w:tr>
        <w:trPr>
          <w:trHeight w:val="189"/>
        </w:trPr>
        <w:tc>
          <w:tcPr>
            <w:tcW w:w="8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liabilities and shareholders' equity</w:t>
            </w:r>
          </w:p>
        </w:tc>
        <w:tc>
          <w:tcPr>
            <w:tcW w:w="52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9,223</w:t>
            </w: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9,071</w:t>
            </w:r>
          </w:p>
        </w:tc>
      </w:tr>
      <w:tr>
        <w:trPr>
          <w:trHeight w:val="21"/>
        </w:trPr>
        <w:tc>
          <w:tcPr>
            <w:tcW w:w="8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ind w:left="500" w:hanging="330"/>
        <w:spacing w:after="0"/>
        <w:tabs>
          <w:tab w:leader="none" w:pos="50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Derived from audited financial statements.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8" w:lineRule="exact"/>
        <w:rPr>
          <w:sz w:val="20"/>
          <w:szCs w:val="20"/>
          <w:color w:val="auto"/>
        </w:rPr>
      </w:pPr>
    </w:p>
    <w:p>
      <w:pPr>
        <w:ind w:left="9140"/>
        <w:spacing w:after="0"/>
        <w:rPr>
          <w:sz w:val="20"/>
          <w:szCs w:val="20"/>
          <w:color w:val="auto"/>
        </w:rPr>
      </w:pPr>
      <w:r>
        <w:rPr>
          <w:rFonts w:ascii="Arial" w:cs="Arial" w:eastAsia="Arial" w:hAnsi="Arial"/>
          <w:sz w:val="14"/>
          <w:szCs w:val="14"/>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-1905</wp:posOffset>
            </wp:positionV>
            <wp:extent cx="16205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20520" cy="17145"/>
                    </a:xfrm>
                    <a:prstGeom prst="rect">
                      <a:avLst/>
                    </a:prstGeom>
                    <a:noFill/>
                  </pic:spPr>
                </pic:pic>
              </a:graphicData>
            </a:graphic>
          </wp:anchor>
        </w:drawing>
      </w:r>
    </w:p>
    <w:p>
      <w:pPr>
        <w:spacing w:after="0" w:line="62" w:lineRule="exact"/>
        <w:rPr>
          <w:sz w:val="20"/>
          <w:szCs w:val="20"/>
          <w:color w:val="auto"/>
        </w:rPr>
      </w:pPr>
    </w:p>
    <w:p>
      <w:pPr>
        <w:ind w:left="9320"/>
        <w:spacing w:after="0"/>
        <w:tabs>
          <w:tab w:leader="none" w:pos="10580" w:val="left"/>
        </w:tabs>
        <w:rPr>
          <w:sz w:val="20"/>
          <w:szCs w:val="20"/>
          <w:color w:val="auto"/>
        </w:rPr>
      </w:pPr>
      <w:r>
        <w:rPr>
          <w:rFonts w:ascii="Arial" w:cs="Arial" w:eastAsia="Arial" w:hAnsi="Arial"/>
          <w:sz w:val="14"/>
          <w:szCs w:val="14"/>
          <w:color w:val="auto"/>
        </w:rPr>
        <w:t>2013</w:t>
      </w:r>
      <w:r>
        <w:rPr>
          <w:sz w:val="20"/>
          <w:szCs w:val="20"/>
          <w:color w:val="auto"/>
        </w:rPr>
        <w:tab/>
      </w:r>
      <w:r>
        <w:rPr>
          <w:rFonts w:ascii="Arial" w:cs="Arial" w:eastAsia="Arial" w:hAnsi="Arial"/>
          <w:sz w:val="14"/>
          <w:szCs w:val="14"/>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2" w:lineRule="exact"/>
        <w:rPr>
          <w:sz w:val="20"/>
          <w:szCs w:val="20"/>
          <w:color w:val="auto"/>
        </w:rPr>
      </w:pPr>
    </w:p>
    <w:p>
      <w:pPr>
        <w:ind w:left="9780"/>
        <w:spacing w:after="0"/>
        <w:rPr>
          <w:sz w:val="20"/>
          <w:szCs w:val="20"/>
          <w:color w:val="auto"/>
        </w:rPr>
      </w:pPr>
      <w:r>
        <w:rPr>
          <w:rFonts w:ascii="Arial" w:cs="Arial" w:eastAsia="Arial" w:hAnsi="Arial"/>
          <w:sz w:val="14"/>
          <w:szCs w:val="14"/>
          <w:color w:val="auto"/>
        </w:rPr>
        <w:t>(unaudited)</w:t>
      </w:r>
    </w:p>
    <w:p>
      <w:pPr>
        <w:sectPr>
          <w:pgSz w:w="11900" w:h="16838" w:orient="portrait"/>
          <w:cols w:equalWidth="0" w:num="1">
            <w:col w:w="11420"/>
          </w:cols>
          <w:pgMar w:left="240" w:top="141" w:right="239" w:bottom="482"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CASH FLOWS FROM OPERATING ACTIVITIES</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Adjustments to reconcile net income to net cash provided by</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operating activities:</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Depreciation and amortization</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Deferred income taxes and investment tax credits</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Other</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change in other working capital components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Changes in other assets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Changes in other liabilities</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provided by operating activities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CASH FLOWS FROM INVESTING ACTIVITIES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Expenditures for property, plant and equipment</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Increase in loans to affiliates, net</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used in investing activities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CASH FLOWS FROM FINANCING ACTIVITIES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Common dividends paid</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used in financing activities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tabs>
          <w:tab w:leader="none" w:pos="1040" w:val="left"/>
          <w:tab w:leader="none" w:pos="2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46 $</w:t>
      </w:r>
      <w:r>
        <w:rPr>
          <w:sz w:val="20"/>
          <w:szCs w:val="20"/>
          <w:color w:val="auto"/>
        </w:rPr>
        <w:tab/>
      </w:r>
      <w:r>
        <w:rPr>
          <w:rFonts w:ascii="Arial" w:cs="Arial" w:eastAsia="Arial" w:hAnsi="Arial"/>
          <w:sz w:val="16"/>
          <w:szCs w:val="16"/>
          <w:color w:val="auto"/>
        </w:rPr>
        <w:t>66</w:t>
      </w:r>
    </w:p>
    <w:p>
      <w:pPr>
        <w:spacing w:after="0" w:line="200" w:lineRule="exact"/>
        <w:rPr>
          <w:sz w:val="20"/>
          <w:szCs w:val="20"/>
          <w:color w:val="auto"/>
        </w:rPr>
      </w:pPr>
    </w:p>
    <w:p>
      <w:pPr>
        <w:spacing w:after="0" w:line="264" w:lineRule="exact"/>
        <w:rPr>
          <w:sz w:val="20"/>
          <w:szCs w:val="20"/>
          <w:color w:val="auto"/>
        </w:rPr>
      </w:pPr>
    </w:p>
    <w:p>
      <w:pPr>
        <w:ind w:left="960"/>
        <w:spacing w:after="0"/>
        <w:tabs>
          <w:tab w:leader="none" w:pos="2320" w:val="left"/>
        </w:tabs>
        <w:rPr>
          <w:sz w:val="20"/>
          <w:szCs w:val="20"/>
          <w:color w:val="auto"/>
        </w:rPr>
      </w:pPr>
      <w:r>
        <w:rPr>
          <w:rFonts w:ascii="Arial" w:cs="Arial" w:eastAsia="Arial" w:hAnsi="Arial"/>
          <w:sz w:val="16"/>
          <w:szCs w:val="16"/>
          <w:color w:val="auto"/>
        </w:rPr>
        <w:t>100</w:t>
      </w:r>
      <w:r>
        <w:rPr>
          <w:sz w:val="20"/>
          <w:szCs w:val="20"/>
          <w:color w:val="auto"/>
        </w:rPr>
        <w:tab/>
      </w:r>
      <w:r>
        <w:rPr>
          <w:rFonts w:ascii="Arial" w:cs="Arial" w:eastAsia="Arial" w:hAnsi="Arial"/>
          <w:sz w:val="16"/>
          <w:szCs w:val="16"/>
          <w:color w:val="auto"/>
        </w:rPr>
        <w:t>87</w:t>
      </w:r>
    </w:p>
    <w:p>
      <w:pPr>
        <w:spacing w:after="0" w:line="32" w:lineRule="exact"/>
        <w:rPr>
          <w:sz w:val="20"/>
          <w:szCs w:val="20"/>
          <w:color w:val="auto"/>
        </w:rPr>
      </w:pPr>
    </w:p>
    <w:p>
      <w:pPr>
        <w:ind w:left="2340" w:hanging="1288"/>
        <w:spacing w:after="0"/>
        <w:tabs>
          <w:tab w:leader="none" w:pos="2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14</w:t>
      </w:r>
    </w:p>
    <w:p>
      <w:pPr>
        <w:spacing w:after="0" w:line="32" w:lineRule="exact"/>
        <w:rPr>
          <w:rFonts w:ascii="Arial" w:cs="Arial" w:eastAsia="Arial" w:hAnsi="Arial"/>
          <w:sz w:val="16"/>
          <w:szCs w:val="16"/>
          <w:color w:val="auto"/>
        </w:rPr>
      </w:pPr>
    </w:p>
    <w:p>
      <w:pPr>
        <w:ind w:left="2360" w:hanging="1290"/>
        <w:spacing w:after="0"/>
        <w:tabs>
          <w:tab w:leader="none" w:pos="23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(1)</w:t>
      </w:r>
    </w:p>
    <w:p>
      <w:pPr>
        <w:spacing w:after="0" w:line="32" w:lineRule="exact"/>
        <w:rPr>
          <w:sz w:val="20"/>
          <w:szCs w:val="20"/>
          <w:color w:val="auto"/>
        </w:rPr>
      </w:pPr>
    </w:p>
    <w:tbl>
      <w:tblPr>
        <w:tblLayout w:type="fixed"/>
        <w:tblInd w:w="960" w:type="dxa"/>
        <w:tblCellMar>
          <w:top w:w="0" w:type="dxa"/>
          <w:left w:w="0" w:type="dxa"/>
          <w:bottom w:w="0" w:type="dxa"/>
          <w:right w:w="0" w:type="dxa"/>
        </w:tblCellMar>
      </w:tblPr>
      <w:tr>
        <w:trPr>
          <w:trHeight w:val="195"/>
        </w:trPr>
        <w:tc>
          <w:tcPr>
            <w:tcW w:w="780" w:type="dxa"/>
            <w:vAlign w:val="bottom"/>
          </w:tcPr>
          <w:p>
            <w:pPr>
              <w:jc w:val="right"/>
              <w:ind w:right="419"/>
              <w:spacing w:after="0"/>
              <w:rPr>
                <w:sz w:val="20"/>
                <w:szCs w:val="20"/>
                <w:color w:val="auto"/>
              </w:rPr>
            </w:pPr>
            <w:r>
              <w:rPr>
                <w:rFonts w:ascii="Arial" w:cs="Arial" w:eastAsia="Arial" w:hAnsi="Arial"/>
                <w:sz w:val="16"/>
                <w:szCs w:val="16"/>
                <w:color w:val="auto"/>
                <w:w w:val="97"/>
              </w:rPr>
              <w:t>250</w:t>
            </w:r>
          </w:p>
        </w:tc>
        <w:tc>
          <w:tcPr>
            <w:tcW w:w="78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16"/>
        </w:trPr>
        <w:tc>
          <w:tcPr>
            <w:tcW w:w="780" w:type="dxa"/>
            <w:vAlign w:val="bottom"/>
          </w:tcPr>
          <w:p>
            <w:pPr>
              <w:jc w:val="right"/>
              <w:ind w:right="419"/>
              <w:spacing w:after="0"/>
              <w:rPr>
                <w:sz w:val="20"/>
                <w:szCs w:val="20"/>
                <w:color w:val="auto"/>
              </w:rPr>
            </w:pPr>
            <w:r>
              <w:rPr>
                <w:rFonts w:ascii="Arial" w:cs="Arial" w:eastAsia="Arial" w:hAnsi="Arial"/>
                <w:sz w:val="16"/>
                <w:szCs w:val="16"/>
                <w:color w:val="auto"/>
              </w:rPr>
              <w:t>3</w:t>
            </w: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r>
    </w:tbl>
    <w:p>
      <w:pPr>
        <w:spacing w:after="0" w:line="21" w:lineRule="exact"/>
        <w:rPr>
          <w:sz w:val="20"/>
          <w:szCs w:val="20"/>
          <w:color w:val="auto"/>
        </w:rPr>
      </w:pPr>
    </w:p>
    <w:p>
      <w:pPr>
        <w:ind w:left="2360" w:hanging="1281"/>
        <w:spacing w:after="0"/>
        <w:tabs>
          <w:tab w:leader="none" w:pos="2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16205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20520" cy="17145"/>
                    </a:xfrm>
                    <a:prstGeom prst="rect">
                      <a:avLst/>
                    </a:prstGeom>
                    <a:noFill/>
                  </pic:spPr>
                </pic:pic>
              </a:graphicData>
            </a:graphic>
          </wp:anchor>
        </w:drawing>
      </w:r>
    </w:p>
    <w:p>
      <w:pPr>
        <w:spacing w:after="0" w:line="39" w:lineRule="exact"/>
        <w:rPr>
          <w:sz w:val="20"/>
          <w:szCs w:val="20"/>
          <w:color w:val="auto"/>
        </w:rPr>
      </w:pPr>
    </w:p>
    <w:p>
      <w:pPr>
        <w:ind w:left="960"/>
        <w:spacing w:after="0"/>
        <w:tabs>
          <w:tab w:leader="none" w:pos="2220" w:val="left"/>
        </w:tabs>
        <w:rPr>
          <w:sz w:val="20"/>
          <w:szCs w:val="20"/>
          <w:color w:val="auto"/>
        </w:rPr>
      </w:pPr>
      <w:r>
        <w:rPr>
          <w:rFonts w:ascii="Arial" w:cs="Arial" w:eastAsia="Arial" w:hAnsi="Arial"/>
          <w:sz w:val="16"/>
          <w:szCs w:val="16"/>
          <w:color w:val="auto"/>
        </w:rPr>
        <w:t>411</w:t>
      </w:r>
      <w:r>
        <w:rPr>
          <w:sz w:val="20"/>
          <w:szCs w:val="20"/>
          <w:color w:val="auto"/>
        </w:rPr>
        <w:tab/>
      </w:r>
      <w:r>
        <w:rPr>
          <w:rFonts w:ascii="Arial" w:cs="Arial" w:eastAsia="Arial" w:hAnsi="Arial"/>
          <w:sz w:val="16"/>
          <w:szCs w:val="16"/>
          <w:color w:val="auto"/>
        </w:rPr>
        <w:t>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16205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20520" cy="171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180" w:hanging="1281"/>
        <w:spacing w:after="0"/>
        <w:tabs>
          <w:tab w:leader="none" w:pos="2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(165)</w:t>
      </w:r>
    </w:p>
    <w:p>
      <w:pPr>
        <w:spacing w:after="0" w:line="32" w:lineRule="exact"/>
        <w:rPr>
          <w:sz w:val="20"/>
          <w:szCs w:val="20"/>
          <w:color w:val="auto"/>
        </w:rPr>
      </w:pPr>
    </w:p>
    <w:p>
      <w:pPr>
        <w:ind w:left="2180" w:hanging="1281"/>
        <w:spacing w:after="0"/>
        <w:tabs>
          <w:tab w:leader="none" w:pos="2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16205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20520" cy="17145"/>
                    </a:xfrm>
                    <a:prstGeom prst="rect">
                      <a:avLst/>
                    </a:prstGeom>
                    <a:noFill/>
                  </pic:spPr>
                </pic:pic>
              </a:graphicData>
            </a:graphic>
          </wp:anchor>
        </w:drawing>
      </w:r>
    </w:p>
    <w:p>
      <w:pPr>
        <w:spacing w:after="0" w:line="39" w:lineRule="exact"/>
        <w:rPr>
          <w:sz w:val="20"/>
          <w:szCs w:val="20"/>
          <w:color w:val="auto"/>
        </w:rPr>
      </w:pPr>
    </w:p>
    <w:p>
      <w:pPr>
        <w:ind w:left="2180" w:hanging="1281"/>
        <w:spacing w:after="0"/>
        <w:tabs>
          <w:tab w:leader="none" w:pos="2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16205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20520" cy="171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280" w:hanging="1210"/>
        <w:spacing w:after="0"/>
        <w:tabs>
          <w:tab w:leader="none" w:pos="22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(50)</w:t>
      </w:r>
    </w:p>
    <w:p>
      <w:pPr>
        <w:spacing w:after="0" w:line="70" w:lineRule="exact"/>
        <w:rPr>
          <w:rFonts w:ascii="Arial" w:cs="Arial" w:eastAsia="Arial" w:hAnsi="Arial"/>
          <w:sz w:val="15"/>
          <w:szCs w:val="15"/>
          <w:color w:val="auto"/>
        </w:rPr>
      </w:pPr>
    </w:p>
    <w:p>
      <w:pPr>
        <w:ind w:left="2280" w:hanging="1210"/>
        <w:spacing w:after="0"/>
        <w:tabs>
          <w:tab w:leader="none" w:pos="22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-144145</wp:posOffset>
            </wp:positionV>
            <wp:extent cx="16205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2052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9525</wp:posOffset>
            </wp:positionV>
            <wp:extent cx="16205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20520" cy="1714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140" w:space="720"/>
            <w:col w:w="2560"/>
          </w:cols>
          <w:pgMar w:left="240" w:top="141" w:right="239" w:bottom="482" w:gutter="0" w:footer="0" w:header="0"/>
          <w:type w:val="continuous"/>
        </w:sectPr>
      </w:pP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20" w:type="dxa"/>
            <w:vAlign w:val="bottom"/>
          </w:tcPr>
          <w:p>
            <w:pPr>
              <w:spacing w:after="0"/>
              <w:rPr>
                <w:sz w:val="20"/>
                <w:szCs w:val="20"/>
                <w:color w:val="auto"/>
              </w:rPr>
            </w:pPr>
            <w:r>
              <w:rPr>
                <w:rFonts w:ascii="Arial" w:cs="Arial" w:eastAsia="Arial" w:hAnsi="Arial"/>
                <w:sz w:val="16"/>
                <w:szCs w:val="16"/>
                <w:color w:val="auto"/>
              </w:rPr>
              <w:t>(Decrease) increase in cash and cash equivalents</w:t>
            </w:r>
          </w:p>
        </w:tc>
        <w:tc>
          <w:tcPr>
            <w:tcW w:w="1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5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6"/>
                <w:szCs w:val="16"/>
                <w:color w:val="auto"/>
              </w:rPr>
              <w:t>Cash and cash equivalents, January 1</w:t>
            </w:r>
          </w:p>
        </w:tc>
        <w:tc>
          <w:tcPr>
            <w:tcW w:w="17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89"/>
        </w:trPr>
        <w:tc>
          <w:tcPr>
            <w:tcW w:w="7120" w:type="dxa"/>
            <w:vAlign w:val="bottom"/>
          </w:tcPr>
          <w:p>
            <w:pPr>
              <w:spacing w:after="0" w:line="183" w:lineRule="exact"/>
              <w:rPr>
                <w:sz w:val="20"/>
                <w:szCs w:val="20"/>
                <w:color w:val="auto"/>
              </w:rPr>
            </w:pPr>
            <w:r>
              <w:rPr>
                <w:rFonts w:ascii="Arial" w:cs="Arial" w:eastAsia="Arial" w:hAnsi="Arial"/>
                <w:sz w:val="16"/>
                <w:szCs w:val="16"/>
                <w:color w:val="auto"/>
              </w:rPr>
              <w:t>Cash and cash equivalents, March 31</w:t>
            </w:r>
          </w:p>
        </w:tc>
        <w:tc>
          <w:tcPr>
            <w:tcW w:w="228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72</w:t>
            </w:r>
          </w:p>
        </w:tc>
        <w:tc>
          <w:tcPr>
            <w:tcW w:w="580" w:type="dxa"/>
            <w:vAlign w:val="bottom"/>
          </w:tcPr>
          <w:p>
            <w:pPr>
              <w:jc w:val="right"/>
              <w:ind w:right="42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
        </w:trPr>
        <w:tc>
          <w:tcPr>
            <w:tcW w:w="7120" w:type="dxa"/>
            <w:vAlign w:val="bottom"/>
            <w:vMerge w:val="restart"/>
          </w:tcPr>
          <w:p>
            <w:pPr>
              <w:spacing w:after="0"/>
              <w:rPr>
                <w:sz w:val="20"/>
                <w:szCs w:val="20"/>
                <w:color w:val="auto"/>
              </w:rPr>
            </w:pPr>
            <w:r>
              <w:rPr>
                <w:rFonts w:ascii="Arial" w:cs="Arial" w:eastAsia="Arial" w:hAnsi="Arial"/>
                <w:sz w:val="16"/>
                <w:szCs w:val="16"/>
                <w:color w:val="auto"/>
              </w:rPr>
              <w:t>SUPPLEMENTAL DISCLOSURE OF CASH FLOW INFORMATION</w:t>
            </w:r>
          </w:p>
        </w:tc>
        <w:tc>
          <w:tcPr>
            <w:tcW w:w="17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8"/>
        </w:trPr>
        <w:tc>
          <w:tcPr>
            <w:tcW w:w="712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120" w:type="dxa"/>
            <w:vAlign w:val="bottom"/>
          </w:tcPr>
          <w:p>
            <w:pPr>
              <w:ind w:left="180"/>
              <w:spacing w:after="0"/>
              <w:rPr>
                <w:sz w:val="20"/>
                <w:szCs w:val="20"/>
                <w:color w:val="auto"/>
              </w:rPr>
            </w:pPr>
            <w:r>
              <w:rPr>
                <w:rFonts w:ascii="Arial" w:cs="Arial" w:eastAsia="Arial" w:hAnsi="Arial"/>
                <w:sz w:val="16"/>
                <w:szCs w:val="16"/>
                <w:color w:val="auto"/>
              </w:rPr>
              <w:t>Interest payments, net of amounts capitalized</w:t>
            </w:r>
          </w:p>
        </w:tc>
        <w:tc>
          <w:tcPr>
            <w:tcW w:w="228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c>
          <w:tcPr>
            <w:tcW w:w="580" w:type="dxa"/>
            <w:vAlign w:val="bottom"/>
          </w:tcPr>
          <w:p>
            <w:pPr>
              <w:jc w:val="right"/>
              <w:ind w:right="42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7120" w:type="dxa"/>
            <w:vAlign w:val="bottom"/>
          </w:tcPr>
          <w:p>
            <w:pPr>
              <w:ind w:left="180"/>
              <w:spacing w:after="0"/>
              <w:rPr>
                <w:sz w:val="20"/>
                <w:szCs w:val="20"/>
                <w:color w:val="auto"/>
              </w:rPr>
            </w:pPr>
            <w:r>
              <w:rPr>
                <w:rFonts w:ascii="Arial" w:cs="Arial" w:eastAsia="Arial" w:hAnsi="Arial"/>
                <w:sz w:val="16"/>
                <w:szCs w:val="16"/>
                <w:color w:val="auto"/>
              </w:rPr>
              <w:t>Income tax refunds, net</w:t>
            </w:r>
          </w:p>
        </w:tc>
        <w:tc>
          <w:tcPr>
            <w:tcW w:w="1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27"/>
        </w:trPr>
        <w:tc>
          <w:tcPr>
            <w:tcW w:w="7120" w:type="dxa"/>
            <w:vAlign w:val="bottom"/>
          </w:tcPr>
          <w:p>
            <w:pPr>
              <w:spacing w:after="0"/>
              <w:rPr>
                <w:sz w:val="20"/>
                <w:szCs w:val="20"/>
                <w:color w:val="auto"/>
              </w:rPr>
            </w:pPr>
            <w:r>
              <w:rPr>
                <w:rFonts w:ascii="Arial" w:cs="Arial" w:eastAsia="Arial" w:hAnsi="Arial"/>
                <w:sz w:val="16"/>
                <w:szCs w:val="16"/>
                <w:color w:val="auto"/>
              </w:rPr>
              <w:t>SUPPLEMENTAL DISCLOSURE OF NONCASH INVESTING ACTIVITIES</w:t>
            </w:r>
          </w:p>
        </w:tc>
        <w:tc>
          <w:tcPr>
            <w:tcW w:w="1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71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Accrued capital expenditures</w:t>
            </w:r>
          </w:p>
        </w:tc>
        <w:tc>
          <w:tcPr>
            <w:tcW w:w="22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58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
        </w:trPr>
        <w:tc>
          <w:tcPr>
            <w:tcW w:w="7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1420"/>
          </w:cols>
          <w:pgMar w:left="240" w:top="141" w:right="239" w:bottom="482" w:gutter="0" w:footer="0" w:header="0"/>
          <w:type w:val="continuous"/>
        </w:sectPr>
      </w:pPr>
    </w:p>
    <w:bookmarkStart w:id="11" w:name="page12"/>
    <w:bookmarkEnd w:id="11"/>
    <w:p>
      <w:pPr>
        <w:spacing w:after="0"/>
        <w:rPr>
          <w:sz w:val="20"/>
          <w:szCs w:val="20"/>
          <w:color w:val="auto"/>
        </w:rPr>
      </w:pPr>
      <w:r>
        <w:rPr>
          <w:rFonts w:ascii="Arial" w:cs="Arial" w:eastAsia="Arial" w:hAnsi="Arial"/>
          <w:sz w:val="23"/>
          <w:szCs w:val="23"/>
          <w:color w:val="auto"/>
        </w:rPr>
        <w:t>SEMPRA ENERGY AND SUBSIDIARIES</w:t>
      </w:r>
    </w:p>
    <w:p>
      <w:pPr>
        <w:spacing w:after="0" w:line="262" w:lineRule="exact"/>
        <w:rPr>
          <w:sz w:val="20"/>
          <w:szCs w:val="20"/>
          <w:color w:val="auto"/>
        </w:rPr>
      </w:pPr>
    </w:p>
    <w:p>
      <w:pPr>
        <w:spacing w:after="0"/>
        <w:rPr>
          <w:sz w:val="20"/>
          <w:szCs w:val="20"/>
          <w:color w:val="auto"/>
        </w:rPr>
      </w:pPr>
      <w:r>
        <w:rPr>
          <w:rFonts w:ascii="Arial" w:cs="Arial" w:eastAsia="Arial" w:hAnsi="Arial"/>
          <w:sz w:val="23"/>
          <w:szCs w:val="23"/>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506730</wp:posOffset>
            </wp:positionV>
            <wp:extent cx="72637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color w:val="auto"/>
        </w:rPr>
        <w:t>NOTE 1. GENERAL</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4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Sempra Energy’s Condensed Consolidated Financial Statements include the accounts of Sempra Energy, a California-based Fortune 500 holding company, and its consolidated subsidiaries and variable interest entities (VIEs). Sempra Energy’s principal operating units are</w:t>
      </w:r>
    </w:p>
    <w:p>
      <w:pPr>
        <w:spacing w:after="0" w:line="197" w:lineRule="exact"/>
        <w:rPr>
          <w:sz w:val="20"/>
          <w:szCs w:val="20"/>
          <w:color w:val="auto"/>
        </w:rPr>
      </w:pPr>
    </w:p>
    <w:p>
      <w:pPr>
        <w:ind w:left="340" w:hanging="188"/>
        <w:spacing w:after="0"/>
        <w:tabs>
          <w:tab w:leader="none" w:pos="340" w:val="left"/>
        </w:tabs>
        <w:numPr>
          <w:ilvl w:val="0"/>
          <w:numId w:val="23"/>
        </w:numPr>
        <w:rPr>
          <w:rFonts w:ascii="Arial" w:cs="Arial" w:eastAsia="Arial" w:hAnsi="Arial"/>
          <w:sz w:val="17"/>
          <w:szCs w:val="17"/>
          <w:b w:val="1"/>
          <w:bCs w:val="1"/>
          <w:color w:val="auto"/>
        </w:rPr>
      </w:pPr>
      <w:r>
        <w:rPr>
          <w:rFonts w:ascii="Arial" w:cs="Arial" w:eastAsia="Arial" w:hAnsi="Arial"/>
          <w:sz w:val="17"/>
          <w:szCs w:val="17"/>
          <w:color w:val="auto"/>
        </w:rPr>
        <w:t>San Diego Gas &amp; Electric Company (SDG&amp;E) and Southern California Gas Company (SoCalGas), which are separate, reportable segments;</w:t>
      </w:r>
    </w:p>
    <w:p>
      <w:pPr>
        <w:spacing w:after="0" w:line="263" w:lineRule="exact"/>
        <w:rPr>
          <w:rFonts w:ascii="Arial" w:cs="Arial" w:eastAsia="Arial" w:hAnsi="Arial"/>
          <w:sz w:val="17"/>
          <w:szCs w:val="17"/>
          <w:b w:val="1"/>
          <w:bCs w:val="1"/>
          <w:color w:val="auto"/>
        </w:rPr>
      </w:pPr>
    </w:p>
    <w:p>
      <w:pPr>
        <w:ind w:left="340" w:hanging="188"/>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Sempra International, which includes our Sempra South American Utilities and Sempra Mexico reportable segments;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Sempra U.S. Gas &amp; Power, which includes our Sempra Renewables and Sempra Natural Gas reportable segments.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provide descriptions of each of our segments in Note 11.</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We refer to SDG&amp;E and SoCalGas collectively as the California Utilities, which do not include the utilities in our Sempra International and Sempra U.S. Gas</w:t>
      </w:r>
    </w:p>
    <w:p>
      <w:pPr>
        <w:spacing w:after="0" w:line="46" w:lineRule="exact"/>
        <w:rPr>
          <w:sz w:val="20"/>
          <w:szCs w:val="20"/>
          <w:color w:val="auto"/>
        </w:rPr>
      </w:pPr>
    </w:p>
    <w:p>
      <w:pPr>
        <w:ind w:right="280" w:firstLine="8"/>
        <w:spacing w:after="0" w:line="255" w:lineRule="auto"/>
        <w:tabs>
          <w:tab w:leader="none" w:pos="1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Power operating units. Sempra Global is the holding company for most of our subsidiaries that are not subject to California utility regulation. All references in these Notes to “Sempra International,” “Sempra U.S. Gas &amp; Power” and their respective reportable segments are not intended to refer to any legal entity with the same or similar name.</w:t>
      </w:r>
    </w:p>
    <w:p>
      <w:pPr>
        <w:spacing w:after="0" w:line="217"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In the first quarter of 2013, a Sempra Energy subsidiary, Infraestructura Energética Nova, S.A.B. de C.V. (IEnova), completed a private offering and concurrent public offering of common stock in Mexico. IEnova is reported within the Sempra Mexico reportable segment. We discuss the offerings and IEnova further in Note 5.</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Sempra Energy uses the equity method to account for investments in affiliated companies over which we have the ability to exercise significant influence, but not control. We discuss our investments in unconsolidated subsidiaries in Note 4 herein and in Note 4 of the Notes to Consolidated Financial Statements in our Annual Report on Form 10-K for the year ended December 31, 2012.</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4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SDG&amp;E’s Condensed Consolidated Financial Statements include its accounts and the accounts of a VIE of which SDG&amp;E is the primary beneficiary, as we discuss in Note 5 under “Variable Interest Entities.” SDG&amp;E’s common stock is wholly owned by Enova Corporation, which is a wholly owned subsidiary of Sempra Energy.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4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SoCalGas’ Condensed Consolidated Financial Statements include its subsidiaries, which comprise less than one percent of its consolidated financial position and results of operations. SoCalGas’ common stock is wholly owned by Pacific Enterprises (PE), which is a wholly owned subsidiary of Sempra Energy.</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4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This is a combined report of Sempra Energy, SDG&amp;E and SoCalGas. We provide separate information for SDG&amp;E and SoCalGas as required. References in this report to “we,” “our” and “Sempra Energy Consolidated” are to Sempra Energy and its consolidated entities, unless otherwise indicated by the context. We have eliminated intercompany accounts and transactions within the consolidated financial statements of each reporting entity.</w:t>
      </w:r>
    </w:p>
    <w:p>
      <w:pPr>
        <w:spacing w:after="0" w:line="17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prepared the Condensed Consolidated Financial Statements in conformity with accounting principles generally accepted in the United States (U.S. GAAP) and in accordance with the interim-period-reporting requirements of Form 10-Q. Results of operations for interim periods are not necessarily indicative of results for the entire year. We evaluated events and transactions that occurred after March 31, 2013 through the date the financial statements were issued and, in the opinion of management, the accompanying statements reflect all adjustments necessary for a fair presentation. These adjustments are only of a normal, recurring nature.</w:t>
      </w:r>
    </w:p>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All December 31, 2012 balance sheet information in the Condensed Consolidated Financial Statements has been derived from our audited 2012 consolidated financial statements. Certain information and note disclosures normally included in annual financial statements prepared in accordance with U.S. GAAP have been condensed or omitted pursuant to the interim-period-reporting provisions of U.S. GAAP and the Securities and Exchange Commission.</w:t>
      </w:r>
    </w:p>
    <w:p>
      <w:pPr>
        <w:sectPr>
          <w:pgSz w:w="11900" w:h="16838" w:orient="portrait"/>
          <w:cols w:equalWidth="0" w:num="1">
            <w:col w:w="11380"/>
          </w:cols>
          <w:pgMar w:left="240" w:top="711" w:right="279" w:bottom="0" w:gutter="0" w:footer="0" w:header="0"/>
        </w:sectPr>
      </w:pPr>
    </w:p>
    <w:bookmarkStart w:id="12" w:name="page13"/>
    <w:bookmarkEnd w:id="12"/>
    <w:p>
      <w:pPr>
        <w:spacing w:after="0" w:line="12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You should read the information in this Quarterly Report in conjunction with our Annual Report on Form 10-K for the year ended December 31, 2012 (the Annual Report) which is a combined report for Sempra Energy, SDG&amp;E and SoCalGas.</w:t>
      </w:r>
    </w:p>
    <w:p>
      <w:pPr>
        <w:spacing w:after="0" w:line="19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Sempra South American Utilities has controlling interests in two electric distribution utilities in South America. Sempra Natural Gas owns Mobile Gas Service Corporation (Mobile Gas) in southwest Alabama and Willmut Gas Company (Willmut Gas) in Mississippi, and Sempra Mexico owns Ecogas Mexico, S. de R.L. de C.V. (Ecogas) in Northern Mexico, all natural gas distribution utilities. The California Utilities, Sempra Natural Gas’ Mobile Gas and Willmut Gas, and Sempra Mexico’s Ecogas prepare their financial statements in accordance with U.S. GAAP provisions governing regulated operations, as we discuss in Note 1 of the Notes to Consolidated Financial Statements in the Annual Report.</w:t>
      </w:r>
    </w:p>
    <w:p>
      <w:pPr>
        <w:spacing w:after="0" w:line="200"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We describe our significant accounting policies in Note 1 of the Notes to Consolidated Financial Statements in the Annual Report. We follow the same accounting policies for interim reporting purposes, except for the adoption of new accounting standards as we discuss in 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2637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NOTE 2. NEW ACCOUNTING STANDARDS</w:t>
      </w:r>
    </w:p>
    <w:p>
      <w:pPr>
        <w:spacing w:after="0" w:line="200" w:lineRule="exact"/>
        <w:rPr>
          <w:sz w:val="20"/>
          <w:szCs w:val="20"/>
          <w:color w:val="auto"/>
        </w:rPr>
      </w:pPr>
    </w:p>
    <w:p>
      <w:pPr>
        <w:spacing w:after="0" w:line="262"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We describe below recent pronouncements that have had or may have a significant effect on our financial statements. We do not discuss recent pronouncements that are not anticipated to have an impact on or are unrelated to our financial condition, results of operations, cash flows or disclosures.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SDG&amp;E AND SOCALGAS</w:t>
      </w:r>
    </w:p>
    <w:p>
      <w:pPr>
        <w:spacing w:after="0" w:line="247"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 xml:space="preserve">Accounting Standards Update (ASU) 2011-11, “Disclosures about Offsetting Assets and Liabilities” (ASU 2011-11) and ASU 2013-01, “Clarifying the Scope of Disclosures about Offsetting Assets and Liabilities” (ASU 2013-01): </w:t>
      </w:r>
      <w:r>
        <w:rPr>
          <w:rFonts w:ascii="Arial" w:cs="Arial" w:eastAsia="Arial" w:hAnsi="Arial"/>
          <w:sz w:val="17"/>
          <w:szCs w:val="17"/>
          <w:color w:val="auto"/>
        </w:rPr>
        <w:t>In order to allow for balance sheet comparison between U.S. GAAP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International Financial Reporting Standards (IFRSs), ASU 2011-11 requires enhanced disclosures related to financial assets and liabilities eligible for offsetting in the statement of financial position. An entity must disclose both gross and net information about financial instruments and transactions subject to a master netting arrangement and eligible for offset, including cash collateral received and posted.</w:t>
      </w:r>
    </w:p>
    <w:p>
      <w:pPr>
        <w:spacing w:after="0" w:line="20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ASU 2013-01 clarifies that the scope of ASU 2011-11 applies to derivatives, including bifurcated embedded derivatives, repurchase agreements and reverse repurchase agreements, and securities borrowing and securities lending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We adopted ASU 2011-11 and ASU 2013-01 on January 1, 2013 as required and it did not affect our financial condition, results of operations or cash flows.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provide the additional disclosure in Note 7.</w:t>
      </w:r>
    </w:p>
    <w:p>
      <w:pPr>
        <w:spacing w:after="0" w:line="23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b w:val="1"/>
          <w:bCs w:val="1"/>
          <w:i w:val="1"/>
          <w:iCs w:val="1"/>
          <w:color w:val="auto"/>
        </w:rPr>
        <w:t xml:space="preserve">ASU 2013-02, “Reporting of Amounts Reclassified Out of Accumulated Other Comprehensive Income” (ASU 2013-02): </w:t>
      </w:r>
      <w:r>
        <w:rPr>
          <w:rFonts w:ascii="Arial" w:cs="Arial" w:eastAsia="Arial" w:hAnsi="Arial"/>
          <w:sz w:val="16"/>
          <w:szCs w:val="16"/>
          <w:color w:val="auto"/>
        </w:rPr>
        <w:t>ASU 2013-02 requires an entity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present, either on the face of the statement of operations or in the notes to financial statements, significant amounts reclassified out of accumulated other comprehensive income by the respective line items of net income, but only if the amount reclassified is required under U.S. GAAP to be reclassified to net income in its entirety in the same reporting period. For other amounts that are not required under U.S. GAAP to be reclassified in their entirety to net income, an entity is required to cross-reference to other disclosures required under U.S. GAAP that provide additional detail about those amounts.</w:t>
      </w:r>
    </w:p>
    <w:p>
      <w:pPr>
        <w:spacing w:after="0" w:line="18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adopted ASU 2013-02 on January 1, 2013 as required and it did not affect our financial condition, results of operations or cash flows. We provide the additional disclosure in Note 5.</w:t>
      </w:r>
    </w:p>
    <w:p>
      <w:pPr>
        <w:spacing w:after="0" w:line="22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b w:val="1"/>
          <w:bCs w:val="1"/>
          <w:i w:val="1"/>
          <w:iCs w:val="1"/>
          <w:color w:val="auto"/>
        </w:rPr>
        <w:t xml:space="preserve">ASU 2013-04,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Obligations Resulting from Joint and Several Liability Arrangements for Which the Total Amount of the Obligation Is Fixed at the Reporting Date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(ASU 2013-04): </w:t>
      </w:r>
      <w:r>
        <w:rPr>
          <w:rFonts w:ascii="Arial" w:cs="Arial" w:eastAsia="Arial" w:hAnsi="Arial"/>
          <w:sz w:val="16"/>
          <w:szCs w:val="16"/>
          <w:color w:val="auto"/>
        </w:rPr>
        <w:t>The standard provides guidance for the recognition, measurement, and disclosure of obligations resulting from joint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several liability arrangements for which the total amount of the obligation within the scope of the ASU is fixed at the reporting date, except for obligations addressed within existing guidance in U.S. GAAP. The guidance requires an entity to measure those obligations as the sum of the amount the reporting entity agreed to pay on the basis of its arrangement among its co-obligors and any additional amount the reporting entity expects to pay on behalf of its co-obligors. The guidance in the ASU also requires an entity to disclose the nature and amount of the obligation as well as other information about those obligations.</w:t>
      </w:r>
    </w:p>
    <w:p>
      <w:pPr>
        <w:spacing w:after="0" w:line="18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will adopt ASU 2013-04 on January 1, 2014 as required and do not expect it to affect our financial condition, results of operations or cash flows. We will provide the additional disclosure in our 2014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2637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NOTE 3. ACQUISITION AND INVESTMENT ACTIVITY</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We discuss our investments in unconsolidated entities in Note 4.</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NATURAL GAS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Mesquite Power Sale</w:t>
      </w:r>
    </w:p>
    <w:p>
      <w:pPr>
        <w:spacing w:after="0" w:line="24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In February 2013, Sempra Natural Gas sold one 625-megawatt (MW) block of its 1,250-MW Mesquite Power natural gas-fired power plant in Arizona, including a portion related to common plant, for approximately $371 million in cash to the Salt River Project Agricultural Improvement and Power District (SRP). The asset was classified as held for sale at December 31, 2012 and we recognized a gain on the sale of $74 million in 2013. In connection with the</w:t>
      </w:r>
    </w:p>
    <w:p>
      <w:pPr>
        <w:sectPr>
          <w:pgSz w:w="11900" w:h="16966" w:orient="portrait"/>
          <w:cols w:equalWidth="0" w:num="1">
            <w:col w:w="11400"/>
          </w:cols>
          <w:pgMar w:left="240" w:top="368" w:right="259" w:bottom="0" w:gutter="0" w:footer="0" w:header="0"/>
        </w:sectPr>
      </w:pPr>
    </w:p>
    <w:bookmarkStart w:id="13" w:name="page14"/>
    <w:bookmarkEnd w:id="13"/>
    <w:p>
      <w:pPr>
        <w:jc w:val="both"/>
        <w:ind w:right="760"/>
        <w:spacing w:after="0" w:line="264" w:lineRule="auto"/>
        <w:rPr>
          <w:sz w:val="20"/>
          <w:szCs w:val="20"/>
          <w:color w:val="auto"/>
        </w:rPr>
      </w:pPr>
      <w:r>
        <w:rPr>
          <w:rFonts w:ascii="Arial" w:cs="Arial" w:eastAsia="Arial" w:hAnsi="Arial"/>
          <w:sz w:val="18"/>
          <w:szCs w:val="18"/>
          <w:color w:val="auto"/>
        </w:rPr>
        <w:t>sale, we entered into a 20-year operations and maintenance agreement with SRP on February 28, 2013, whereby SRP assumes plant operations and maintenance of the facility, including our remaining 625-MW block. We provide additional information concerning the operations and maintenance agreement in Note 10.</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Willmut Gas Company</w:t>
      </w:r>
    </w:p>
    <w:p>
      <w:pPr>
        <w:spacing w:after="0" w:line="24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May 2012, Sempra Natural Gas acquired 100 percent of the outstanding common stock of Willmut Gas, a regulated natural gas distribution utility serving approximately 20,000 customers in Hattiesburg, Mississippi, for $19 million in cash and the assumption of $10 million of liabilities. Pro forma impacts on revenues and earnings for Sempra Energy had the acquisition occurred on January 1, 2011 were additional revenues of $6 million and negligible earnings for the three months ended March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522605</wp:posOffset>
            </wp:positionV>
            <wp:extent cx="72637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NOTE 4. INVESTMENTS IN UNCONSOLIDATED ENTITIES</w:t>
      </w:r>
    </w:p>
    <w:p>
      <w:pPr>
        <w:spacing w:after="0" w:line="200" w:lineRule="exact"/>
        <w:rPr>
          <w:sz w:val="20"/>
          <w:szCs w:val="20"/>
          <w:color w:val="auto"/>
        </w:rPr>
      </w:pPr>
    </w:p>
    <w:p>
      <w:pPr>
        <w:spacing w:after="0" w:line="26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provide additional information concerning all of our equity method investments in Note 4 of the Notes to Consolidated Financial Statements in the Annual Report.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SOUTH AMERICAN UTILITIES</w:t>
      </w:r>
    </w:p>
    <w:p>
      <w:pPr>
        <w:spacing w:after="0" w:line="24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Sempra South American Utilities owns 43 percent of two Argentine natural gas utility holding companies, Sodigas Pampeana and Sodigas Sur. As a result of the devaluation of the Argentine peso at the end of 2001 and subsequent changes in the value of the peso, Sempra South American Utilities reduced the carrying value of its investment by a cumulative total of $270 million as of March 31, 2013. These noncash adjustments, based on fluctuations in the value of the Argentine peso, did not affect earnings, but were recorded in Comprehensive Income and Accumulated Other Comprehensive Income (Loss).</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December 2006, we decided to sell our Argentine investments, and we continue to actively pursue their sale. We continue to evaluate the fair value of our investment based on several factors and as a result, recorded a noncash impairment charge of $10 million ($7 million after-tax) in the first quarter of 2013. The net charge is reported in Equity Earnings, Net of Income Tax on the Condensed Consolidated Statement of Operations for the three months ended March 31, 2013. The remaining carrying value of our investment is $20 million, excluding an $80 million deferred tax asset associated with the investment. We provide additional information concerning our investments in Sodigas Pampeana and Sodigas Sur in Note 4 of the Notes to Consolidated Financial Statements in the Annual Report.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RENEWABLES</w:t>
      </w:r>
    </w:p>
    <w:p>
      <w:pPr>
        <w:spacing w:after="0" w:line="2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Sempra Renewables invested $5 million and $50 million in its renewable wind generation joint ventures in the three months ended March 31, 2013 and 2012, respectively.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RBS SEMPRA COMMODITIES</w:t>
      </w:r>
    </w:p>
    <w:p>
      <w:pPr>
        <w:spacing w:after="0" w:line="247"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RBS Sempra Commodities LLP (RBS Sempra Commodities) is a United Kingdom limited liability partnership that owned and operated commodities-marketing businesses previously owned by us. We and our partner in the joint venture, The Royal Bank of Scotland plc (RBS), sold substantially all of the partnership’s businesses and assets in four separate transactions completed in 2010 and early 2011. We account for our investment in RBS Sempra Commodities under the equity method, and report our share of partnership earnings and other associated costs in Parent and Other.</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April 2011, we and RBS entered into a letter agreement (Letter Agreement) which amended certain provisions of the agreements that formed RBS Sempra Commodities. The Letter Agreement addresses the wind-down of the partnership and the distribution of the partnership’s remaining assets. The investment balance of $126 million at March 31, 2013 reflects remaining distributions expected to be received from the partnership in accordance with the Letter Agreement. The timing and amount of distributions may be impacted by the matters we discuss related to RBS Sempra Commodities in Note 10 under “Other Litigation.” In addition, amounts may be retained by the partnership for an extended period of time to help offset unanticipated future general and administrative costs necessary to complete the dissolution of the partnership.</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Letter Agreement described above, we also released RBS from its indemnification obligations with respect to the items for which J.P.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Morgan Chase &amp; Co. (JP Morgan), one of the buyers of the partnership’s businesses, has agreed to indemnify us.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recorded no equity earnings or losses related to the partnership for the three months ended March 31, 2013 and 2012.</w:t>
      </w:r>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discuss the RBS Sempra Commodities sales transactions, the Letter Agreement and other matters concerning the partnership in Note 4 of the Notes to Consolidated Financial Statements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666115</wp:posOffset>
            </wp:positionV>
            <wp:extent cx="72637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NOTE 5. OTHER FINANCIAL DATA</w:t>
      </w:r>
    </w:p>
    <w:p>
      <w:pPr>
        <w:sectPr>
          <w:pgSz w:w="11900" w:h="16838" w:orient="portrait"/>
          <w:cols w:equalWidth="0" w:num="1">
            <w:col w:w="11400"/>
          </w:cols>
          <w:pgMar w:left="240" w:top="125" w:right="259" w:bottom="295"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U.S. TREASURY GRANTS RECEIVABLE</w:t>
      </w:r>
    </w:p>
    <w:p>
      <w:pPr>
        <w:spacing w:after="0" w:line="24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As of March 31, 2013, Sempra Renewables has recorded grants receivable totaling $236 million. Based on eligible costs at its Mesquite Solar 1 and Copper Mountain Solar 2 generating facilities, the grants are recognized as receivables when the projects, or portions of projects, are placed into service. The grants are expected to be received in 2013. During the first quarter of 2013, the federal government imposed automatic federal budget cuts, known as “sequestration,” as required by The Budget Control Act of 2011. As a result, cash grant payments to eligible taxpayers for renewable energy projects were reduced, and Sempra Renewables recorded a reduction to its grants receivable of $23 million and a reversal of income tax benefit of $5 million during the first quarter of 2013.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LIFO LIQUIDATION</w:t>
      </w:r>
    </w:p>
    <w:p>
      <w:pPr>
        <w:spacing w:after="0" w:line="247"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SoCalGas values natural gas inventory by the last-in first-out (LIFO) method. As inventories are sold, differences between the LIFO valuation and the estimated replacement cost are reflected in customer rates. Temporary LIFO liquidation represents the difference between the carrying value of natural gas inventory withdrawn during the period for delivery to customers and the projected cost of the replacement of that inventory during summer months.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by segment are as follows: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left="142"/>
              <w:spacing w:after="0"/>
              <w:rPr>
                <w:sz w:val="20"/>
                <w:szCs w:val="20"/>
                <w:color w:val="auto"/>
              </w:rPr>
            </w:pPr>
            <w:r>
              <w:rPr>
                <w:rFonts w:ascii="Arial" w:cs="Arial" w:eastAsia="Arial" w:hAnsi="Arial"/>
                <w:sz w:val="14"/>
                <w:szCs w:val="14"/>
                <w:color w:val="auto"/>
              </w:rPr>
              <w:t>Natural Gas</w:t>
            </w:r>
          </w:p>
        </w:tc>
        <w:tc>
          <w:tcPr>
            <w:tcW w:w="40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jc w:val="center"/>
              <w:ind w:left="82"/>
              <w:spacing w:after="0"/>
              <w:rPr>
                <w:sz w:val="20"/>
                <w:szCs w:val="20"/>
                <w:color w:val="auto"/>
              </w:rPr>
            </w:pPr>
            <w:r>
              <w:rPr>
                <w:rFonts w:ascii="Arial" w:cs="Arial" w:eastAsia="Arial" w:hAnsi="Arial"/>
                <w:sz w:val="14"/>
                <w:szCs w:val="14"/>
                <w:color w:val="auto"/>
              </w:rPr>
              <w:t>Liquefied Natural Gas</w:t>
            </w:r>
          </w:p>
        </w:tc>
        <w:tc>
          <w:tcPr>
            <w:tcW w:w="34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center"/>
              <w:ind w:left="102"/>
              <w:spacing w:after="0"/>
              <w:rPr>
                <w:sz w:val="20"/>
                <w:szCs w:val="20"/>
                <w:color w:val="auto"/>
              </w:rPr>
            </w:pPr>
            <w:r>
              <w:rPr>
                <w:rFonts w:ascii="Arial" w:cs="Arial" w:eastAsia="Arial" w:hAnsi="Arial"/>
                <w:sz w:val="14"/>
                <w:szCs w:val="14"/>
                <w:color w:val="auto"/>
              </w:rPr>
              <w:t>Materials and Supplies</w:t>
            </w:r>
          </w:p>
        </w:tc>
        <w:tc>
          <w:tcPr>
            <w:tcW w:w="34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861"/>
              <w:spacing w:after="0"/>
              <w:rPr>
                <w:sz w:val="20"/>
                <w:szCs w:val="20"/>
                <w:color w:val="auto"/>
              </w:rPr>
            </w:pPr>
            <w:r>
              <w:rPr>
                <w:rFonts w:ascii="Arial" w:cs="Arial" w:eastAsia="Arial" w:hAnsi="Arial"/>
                <w:sz w:val="14"/>
                <w:szCs w:val="14"/>
                <w:color w:val="auto"/>
                <w:w w:val="96"/>
              </w:rPr>
              <w:t>Total</w:t>
            </w:r>
          </w:p>
        </w:tc>
      </w:tr>
      <w:tr>
        <w:trPr>
          <w:trHeight w:val="167"/>
        </w:trPr>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82"/>
              <w:spacing w:after="0"/>
              <w:rPr>
                <w:sz w:val="20"/>
                <w:szCs w:val="20"/>
                <w:color w:val="auto"/>
              </w:rPr>
            </w:pPr>
            <w:r>
              <w:rPr>
                <w:rFonts w:ascii="Arial" w:cs="Arial" w:eastAsia="Arial" w:hAnsi="Arial"/>
                <w:sz w:val="14"/>
                <w:szCs w:val="14"/>
                <w:color w:val="auto"/>
                <w:w w:val="99"/>
              </w:rPr>
              <w:t>March 31,</w:t>
            </w:r>
          </w:p>
        </w:tc>
        <w:tc>
          <w:tcPr>
            <w:tcW w:w="122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December 31,</w:t>
            </w:r>
          </w:p>
        </w:tc>
        <w:tc>
          <w:tcPr>
            <w:tcW w:w="140" w:type="dxa"/>
            <w:vAlign w:val="bottom"/>
          </w:tcPr>
          <w:p>
            <w:pPr>
              <w:spacing w:after="0"/>
              <w:rPr>
                <w:sz w:val="14"/>
                <w:szCs w:val="14"/>
                <w:color w:val="auto"/>
              </w:rPr>
            </w:pPr>
          </w:p>
        </w:tc>
        <w:tc>
          <w:tcPr>
            <w:tcW w:w="800" w:type="dxa"/>
            <w:vAlign w:val="bottom"/>
          </w:tcPr>
          <w:p>
            <w:pPr>
              <w:jc w:val="right"/>
              <w:ind w:right="82"/>
              <w:spacing w:after="0"/>
              <w:rPr>
                <w:sz w:val="20"/>
                <w:szCs w:val="20"/>
                <w:color w:val="auto"/>
              </w:rPr>
            </w:pPr>
            <w:r>
              <w:rPr>
                <w:rFonts w:ascii="Arial" w:cs="Arial" w:eastAsia="Arial" w:hAnsi="Arial"/>
                <w:sz w:val="14"/>
                <w:szCs w:val="14"/>
                <w:color w:val="auto"/>
                <w:w w:val="99"/>
              </w:rPr>
              <w:t>March 31,</w:t>
            </w:r>
          </w:p>
        </w:tc>
        <w:tc>
          <w:tcPr>
            <w:tcW w:w="124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December 31,</w:t>
            </w:r>
          </w:p>
        </w:tc>
        <w:tc>
          <w:tcPr>
            <w:tcW w:w="140" w:type="dxa"/>
            <w:vAlign w:val="bottom"/>
          </w:tcPr>
          <w:p>
            <w:pPr>
              <w:spacing w:after="0"/>
              <w:rPr>
                <w:sz w:val="14"/>
                <w:szCs w:val="14"/>
                <w:color w:val="auto"/>
              </w:rPr>
            </w:pPr>
          </w:p>
        </w:tc>
        <w:tc>
          <w:tcPr>
            <w:tcW w:w="800" w:type="dxa"/>
            <w:vAlign w:val="bottom"/>
          </w:tcPr>
          <w:p>
            <w:pPr>
              <w:jc w:val="right"/>
              <w:ind w:right="82"/>
              <w:spacing w:after="0"/>
              <w:rPr>
                <w:sz w:val="20"/>
                <w:szCs w:val="20"/>
                <w:color w:val="auto"/>
              </w:rPr>
            </w:pPr>
            <w:r>
              <w:rPr>
                <w:rFonts w:ascii="Arial" w:cs="Arial" w:eastAsia="Arial" w:hAnsi="Arial"/>
                <w:sz w:val="14"/>
                <w:szCs w:val="14"/>
                <w:color w:val="auto"/>
                <w:w w:val="99"/>
              </w:rPr>
              <w:t>March 31,</w:t>
            </w:r>
          </w:p>
        </w:tc>
        <w:tc>
          <w:tcPr>
            <w:tcW w:w="122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December 31,</w:t>
            </w:r>
          </w:p>
        </w:tc>
        <w:tc>
          <w:tcPr>
            <w:tcW w:w="160" w:type="dxa"/>
            <w:vAlign w:val="bottom"/>
          </w:tcPr>
          <w:p>
            <w:pPr>
              <w:spacing w:after="0"/>
              <w:rPr>
                <w:sz w:val="14"/>
                <w:szCs w:val="14"/>
                <w:color w:val="auto"/>
              </w:rPr>
            </w:pPr>
          </w:p>
        </w:tc>
        <w:tc>
          <w:tcPr>
            <w:tcW w:w="780" w:type="dxa"/>
            <w:vAlign w:val="bottom"/>
          </w:tcPr>
          <w:p>
            <w:pPr>
              <w:jc w:val="right"/>
              <w:ind w:right="61"/>
              <w:spacing w:after="0"/>
              <w:rPr>
                <w:sz w:val="20"/>
                <w:szCs w:val="20"/>
                <w:color w:val="auto"/>
              </w:rPr>
            </w:pPr>
            <w:r>
              <w:rPr>
                <w:rFonts w:ascii="Arial" w:cs="Arial" w:eastAsia="Arial" w:hAnsi="Arial"/>
                <w:sz w:val="14"/>
                <w:szCs w:val="14"/>
                <w:color w:val="auto"/>
                <w:w w:val="99"/>
              </w:rPr>
              <w:t>March 31,</w:t>
            </w:r>
          </w:p>
        </w:tc>
        <w:tc>
          <w:tcPr>
            <w:tcW w:w="180" w:type="dxa"/>
            <w:vAlign w:val="bottom"/>
          </w:tcPr>
          <w:p>
            <w:pPr>
              <w:spacing w:after="0"/>
              <w:rPr>
                <w:sz w:val="14"/>
                <w:szCs w:val="14"/>
                <w:color w:val="auto"/>
              </w:rPr>
            </w:pPr>
          </w:p>
        </w:tc>
        <w:tc>
          <w:tcPr>
            <w:tcW w:w="1080" w:type="dxa"/>
            <w:vAlign w:val="bottom"/>
          </w:tcPr>
          <w:p>
            <w:pPr>
              <w:jc w:val="right"/>
              <w:ind w:right="81"/>
              <w:spacing w:after="0"/>
              <w:rPr>
                <w:sz w:val="20"/>
                <w:szCs w:val="20"/>
                <w:color w:val="auto"/>
              </w:rPr>
            </w:pPr>
            <w:r>
              <w:rPr>
                <w:rFonts w:ascii="Arial" w:cs="Arial" w:eastAsia="Arial" w:hAnsi="Arial"/>
                <w:sz w:val="14"/>
                <w:szCs w:val="14"/>
                <w:color w:val="auto"/>
              </w:rPr>
              <w:t>December 31,</w:t>
            </w:r>
          </w:p>
        </w:tc>
      </w:tr>
      <w:tr>
        <w:trPr>
          <w:trHeight w:val="164"/>
        </w:trPr>
        <w:tc>
          <w:tcPr>
            <w:tcW w:w="2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2"/>
              <w:spacing w:after="0" w:line="157" w:lineRule="exact"/>
              <w:rPr>
                <w:sz w:val="20"/>
                <w:szCs w:val="20"/>
                <w:color w:val="auto"/>
              </w:rPr>
            </w:pPr>
            <w:r>
              <w:rPr>
                <w:rFonts w:ascii="Arial" w:cs="Arial" w:eastAsia="Arial" w:hAnsi="Arial"/>
                <w:sz w:val="14"/>
                <w:szCs w:val="14"/>
                <w:color w:val="auto"/>
              </w:rPr>
              <w:t>2013</w:t>
            </w:r>
          </w:p>
        </w:tc>
        <w:tc>
          <w:tcPr>
            <w:tcW w:w="8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2012</w:t>
            </w:r>
          </w:p>
        </w:tc>
        <w:tc>
          <w:tcPr>
            <w:tcW w:w="400" w:type="dxa"/>
            <w:vAlign w:val="bottom"/>
            <w:tcBorders>
              <w:bottom w:val="single" w:sz="8" w:color="auto"/>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2"/>
              <w:spacing w:after="0" w:line="157" w:lineRule="exact"/>
              <w:rPr>
                <w:sz w:val="20"/>
                <w:szCs w:val="20"/>
                <w:color w:val="auto"/>
              </w:rPr>
            </w:pPr>
            <w:r>
              <w:rPr>
                <w:rFonts w:ascii="Arial" w:cs="Arial" w:eastAsia="Arial" w:hAnsi="Arial"/>
                <w:sz w:val="14"/>
                <w:szCs w:val="14"/>
                <w:color w:val="auto"/>
              </w:rPr>
              <w:t>2013</w:t>
            </w:r>
          </w:p>
        </w:tc>
        <w:tc>
          <w:tcPr>
            <w:tcW w:w="900" w:type="dxa"/>
            <w:vAlign w:val="bottom"/>
            <w:tcBorders>
              <w:bottom w:val="single" w:sz="8" w:color="auto"/>
            </w:tcBorders>
          </w:tcPr>
          <w:p>
            <w:pPr>
              <w:jc w:val="right"/>
              <w:ind w:right="63"/>
              <w:spacing w:after="0" w:line="157" w:lineRule="exact"/>
              <w:rPr>
                <w:sz w:val="20"/>
                <w:szCs w:val="20"/>
                <w:color w:val="auto"/>
              </w:rPr>
            </w:pPr>
            <w:r>
              <w:rPr>
                <w:rFonts w:ascii="Arial" w:cs="Arial" w:eastAsia="Arial" w:hAnsi="Arial"/>
                <w:sz w:val="14"/>
                <w:szCs w:val="14"/>
                <w:color w:val="auto"/>
              </w:rPr>
              <w:t>2012</w:t>
            </w:r>
          </w:p>
        </w:tc>
        <w:tc>
          <w:tcPr>
            <w:tcW w:w="340" w:type="dxa"/>
            <w:vAlign w:val="bottom"/>
            <w:tcBorders>
              <w:bottom w:val="single" w:sz="8" w:color="auto"/>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2"/>
              <w:spacing w:after="0" w:line="157" w:lineRule="exact"/>
              <w:rPr>
                <w:sz w:val="20"/>
                <w:szCs w:val="20"/>
                <w:color w:val="auto"/>
              </w:rPr>
            </w:pPr>
            <w:r>
              <w:rPr>
                <w:rFonts w:ascii="Arial" w:cs="Arial" w:eastAsia="Arial" w:hAnsi="Arial"/>
                <w:sz w:val="14"/>
                <w:szCs w:val="14"/>
                <w:color w:val="auto"/>
              </w:rPr>
              <w:t>2013</w:t>
            </w:r>
          </w:p>
        </w:tc>
        <w:tc>
          <w:tcPr>
            <w:tcW w:w="880" w:type="dxa"/>
            <w:vAlign w:val="bottom"/>
            <w:tcBorders>
              <w:bottom w:val="single" w:sz="8" w:color="auto"/>
            </w:tcBorders>
          </w:tcPr>
          <w:p>
            <w:pPr>
              <w:jc w:val="right"/>
              <w:ind w:right="43"/>
              <w:spacing w:after="0" w:line="157" w:lineRule="exact"/>
              <w:rPr>
                <w:sz w:val="20"/>
                <w:szCs w:val="20"/>
                <w:color w:val="auto"/>
              </w:rPr>
            </w:pPr>
            <w:r>
              <w:rPr>
                <w:rFonts w:ascii="Arial" w:cs="Arial" w:eastAsia="Arial" w:hAnsi="Arial"/>
                <w:sz w:val="14"/>
                <w:szCs w:val="14"/>
                <w:color w:val="auto"/>
              </w:rPr>
              <w:t>2012</w:t>
            </w:r>
          </w:p>
        </w:tc>
        <w:tc>
          <w:tcPr>
            <w:tcW w:w="34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21"/>
              <w:spacing w:after="0" w:line="157" w:lineRule="exact"/>
              <w:rPr>
                <w:sz w:val="20"/>
                <w:szCs w:val="20"/>
                <w:color w:val="auto"/>
              </w:rPr>
            </w:pPr>
            <w:r>
              <w:rPr>
                <w:rFonts w:ascii="Arial" w:cs="Arial" w:eastAsia="Arial" w:hAnsi="Arial"/>
                <w:sz w:val="14"/>
                <w:szCs w:val="14"/>
                <w:color w:val="auto"/>
              </w:rPr>
              <w:t>2013</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81"/>
              <w:spacing w:after="0" w:line="157" w:lineRule="exact"/>
              <w:rPr>
                <w:sz w:val="20"/>
                <w:szCs w:val="20"/>
                <w:color w:val="auto"/>
              </w:rPr>
            </w:pPr>
            <w:r>
              <w:rPr>
                <w:rFonts w:ascii="Arial" w:cs="Arial" w:eastAsia="Arial" w:hAnsi="Arial"/>
                <w:sz w:val="14"/>
                <w:szCs w:val="14"/>
                <w:color w:val="auto"/>
              </w:rPr>
              <w:t>2012</w:t>
            </w:r>
          </w:p>
        </w:tc>
      </w:tr>
      <w:tr>
        <w:trPr>
          <w:trHeight w:val="197"/>
        </w:trPr>
        <w:tc>
          <w:tcPr>
            <w:tcW w:w="2700" w:type="dxa"/>
            <w:vAlign w:val="bottom"/>
          </w:tcPr>
          <w:p>
            <w:pPr>
              <w:spacing w:after="0"/>
              <w:rPr>
                <w:sz w:val="20"/>
                <w:szCs w:val="20"/>
                <w:color w:val="auto"/>
              </w:rPr>
            </w:pPr>
            <w:r>
              <w:rPr>
                <w:rFonts w:ascii="Arial" w:cs="Arial" w:eastAsia="Arial" w:hAnsi="Arial"/>
                <w:sz w:val="16"/>
                <w:szCs w:val="16"/>
                <w:color w:val="auto"/>
              </w:rPr>
              <w:t>SDG&amp;E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820" w:type="dxa"/>
            <w:vAlign w:val="bottom"/>
          </w:tcPr>
          <w:p>
            <w:pPr>
              <w:jc w:val="center"/>
              <w:ind w:right="523"/>
              <w:spacing w:after="0"/>
              <w:rPr>
                <w:sz w:val="20"/>
                <w:szCs w:val="20"/>
                <w:color w:val="auto"/>
              </w:rPr>
            </w:pPr>
            <w:r>
              <w:rPr>
                <w:rFonts w:ascii="Arial" w:cs="Arial" w:eastAsia="Arial" w:hAnsi="Arial"/>
                <w:sz w:val="16"/>
                <w:szCs w:val="16"/>
                <w:color w:val="auto"/>
              </w:rPr>
              <w:t>$</w:t>
            </w:r>
          </w:p>
        </w:tc>
        <w:tc>
          <w:tcPr>
            <w:tcW w:w="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center"/>
              <w:ind w:right="603"/>
              <w:spacing w:after="0"/>
              <w:rPr>
                <w:sz w:val="20"/>
                <w:szCs w:val="20"/>
                <w:color w:val="auto"/>
              </w:rPr>
            </w:pPr>
            <w:r>
              <w:rPr>
                <w:rFonts w:ascii="Arial" w:cs="Arial" w:eastAsia="Arial" w:hAnsi="Arial"/>
                <w:sz w:val="16"/>
                <w:szCs w:val="16"/>
                <w:color w:val="auto"/>
              </w:rPr>
              <w:t>$</w:t>
            </w: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80</w:t>
            </w:r>
          </w:p>
        </w:tc>
        <w:tc>
          <w:tcPr>
            <w:tcW w:w="880" w:type="dxa"/>
            <w:vAlign w:val="bottom"/>
          </w:tcPr>
          <w:p>
            <w:pPr>
              <w:jc w:val="center"/>
              <w:ind w:right="603"/>
              <w:spacing w:after="0"/>
              <w:rPr>
                <w:sz w:val="20"/>
                <w:szCs w:val="20"/>
                <w:color w:val="auto"/>
              </w:rPr>
            </w:pPr>
            <w:r>
              <w:rPr>
                <w:rFonts w:ascii="Arial" w:cs="Arial" w:eastAsia="Arial" w:hAnsi="Arial"/>
                <w:sz w:val="16"/>
                <w:szCs w:val="16"/>
                <w:color w:val="auto"/>
                <w:w w:val="89"/>
              </w:rPr>
              <w:t>$</w:t>
            </w: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6"/>
        </w:trPr>
        <w:tc>
          <w:tcPr>
            <w:tcW w:w="2700" w:type="dxa"/>
            <w:vAlign w:val="bottom"/>
          </w:tcPr>
          <w:p>
            <w:pPr>
              <w:spacing w:after="0"/>
              <w:rPr>
                <w:sz w:val="20"/>
                <w:szCs w:val="20"/>
                <w:color w:val="auto"/>
              </w:rPr>
            </w:pPr>
            <w:r>
              <w:rPr>
                <w:rFonts w:ascii="Arial" w:cs="Arial" w:eastAsia="Arial" w:hAnsi="Arial"/>
                <w:sz w:val="16"/>
                <w:szCs w:val="16"/>
                <w:color w:val="auto"/>
              </w:rPr>
              <w:t>SoCalGas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w:t>
            </w:r>
          </w:p>
        </w:tc>
        <w:tc>
          <w:tcPr>
            <w:tcW w:w="820" w:type="dxa"/>
            <w:vAlign w:val="bottom"/>
          </w:tcPr>
          <w:p>
            <w:pPr>
              <w:spacing w:after="0"/>
              <w:rPr>
                <w:sz w:val="18"/>
                <w:szCs w:val="18"/>
                <w:color w:val="auto"/>
              </w:rPr>
            </w:pPr>
          </w:p>
        </w:tc>
        <w:tc>
          <w:tcPr>
            <w:tcW w:w="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w:t>
            </w:r>
          </w:p>
        </w:tc>
        <w:tc>
          <w:tcPr>
            <w:tcW w:w="88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216"/>
        </w:trPr>
        <w:tc>
          <w:tcPr>
            <w:tcW w:w="2700" w:type="dxa"/>
            <w:vAlign w:val="bottom"/>
          </w:tcPr>
          <w:p>
            <w:pPr>
              <w:spacing w:after="0"/>
              <w:rPr>
                <w:sz w:val="20"/>
                <w:szCs w:val="20"/>
                <w:color w:val="auto"/>
              </w:rPr>
            </w:pPr>
            <w:r>
              <w:rPr>
                <w:rFonts w:ascii="Arial" w:cs="Arial" w:eastAsia="Arial" w:hAnsi="Arial"/>
                <w:sz w:val="16"/>
                <w:szCs w:val="16"/>
                <w:color w:val="auto"/>
              </w:rPr>
              <w:t>Sempra South American</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700" w:type="dxa"/>
            <w:vAlign w:val="bottom"/>
          </w:tcPr>
          <w:p>
            <w:pPr>
              <w:ind w:left="240"/>
              <w:spacing w:after="0"/>
              <w:rPr>
                <w:sz w:val="20"/>
                <w:szCs w:val="20"/>
                <w:color w:val="auto"/>
              </w:rPr>
            </w:pPr>
            <w:r>
              <w:rPr>
                <w:rFonts w:ascii="Arial" w:cs="Arial" w:eastAsia="Arial" w:hAnsi="Arial"/>
                <w:sz w:val="16"/>
                <w:szCs w:val="16"/>
                <w:color w:val="auto"/>
              </w:rPr>
              <w:t>Utilities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w:t>
            </w:r>
          </w:p>
        </w:tc>
        <w:tc>
          <w:tcPr>
            <w:tcW w:w="88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6"/>
        </w:trPr>
        <w:tc>
          <w:tcPr>
            <w:tcW w:w="2700" w:type="dxa"/>
            <w:vAlign w:val="bottom"/>
          </w:tcPr>
          <w:p>
            <w:pPr>
              <w:spacing w:after="0"/>
              <w:rPr>
                <w:sz w:val="20"/>
                <w:szCs w:val="20"/>
                <w:color w:val="auto"/>
              </w:rPr>
            </w:pPr>
            <w:r>
              <w:rPr>
                <w:rFonts w:ascii="Arial" w:cs="Arial" w:eastAsia="Arial" w:hAnsi="Arial"/>
                <w:sz w:val="16"/>
                <w:szCs w:val="16"/>
                <w:color w:val="auto"/>
              </w:rPr>
              <w:t>Sempra Mexico</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w:t>
            </w:r>
          </w:p>
        </w:tc>
        <w:tc>
          <w:tcPr>
            <w:tcW w:w="9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c>
          <w:tcPr>
            <w:tcW w:w="88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6"/>
        </w:trPr>
        <w:tc>
          <w:tcPr>
            <w:tcW w:w="2700" w:type="dxa"/>
            <w:vAlign w:val="bottom"/>
          </w:tcPr>
          <w:p>
            <w:pPr>
              <w:spacing w:after="0"/>
              <w:rPr>
                <w:sz w:val="20"/>
                <w:szCs w:val="20"/>
                <w:color w:val="auto"/>
              </w:rPr>
            </w:pPr>
            <w:r>
              <w:rPr>
                <w:rFonts w:ascii="Arial" w:cs="Arial" w:eastAsia="Arial" w:hAnsi="Arial"/>
                <w:sz w:val="16"/>
                <w:szCs w:val="16"/>
                <w:color w:val="auto"/>
              </w:rPr>
              <w:t>Sempra Renewables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88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2700" w:type="dxa"/>
            <w:vAlign w:val="bottom"/>
          </w:tcPr>
          <w:p>
            <w:pPr>
              <w:spacing w:after="0"/>
              <w:rPr>
                <w:sz w:val="20"/>
                <w:szCs w:val="20"/>
                <w:color w:val="auto"/>
              </w:rPr>
            </w:pPr>
            <w:r>
              <w:rPr>
                <w:rFonts w:ascii="Arial" w:cs="Arial" w:eastAsia="Arial" w:hAnsi="Arial"/>
                <w:sz w:val="16"/>
                <w:szCs w:val="16"/>
                <w:color w:val="auto"/>
              </w:rPr>
              <w:t>Sempra Natural Gas</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8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9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8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r>
      <w:tr>
        <w:trPr>
          <w:trHeight w:val="189"/>
        </w:trPr>
        <w:tc>
          <w:tcPr>
            <w:tcW w:w="2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Sempra Energy Consolidated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820" w:type="dxa"/>
            <w:vAlign w:val="bottom"/>
            <w:tcBorders>
              <w:bottom w:val="single" w:sz="8" w:color="auto"/>
            </w:tcBorders>
          </w:tcPr>
          <w:p>
            <w:pPr>
              <w:jc w:val="center"/>
              <w:ind w:right="523"/>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900" w:type="dxa"/>
            <w:vAlign w:val="bottom"/>
            <w:tcBorders>
              <w:bottom w:val="single" w:sz="8" w:color="auto"/>
            </w:tcBorders>
          </w:tcPr>
          <w:p>
            <w:pPr>
              <w:jc w:val="center"/>
              <w:ind w:right="603"/>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880" w:type="dxa"/>
            <w:vAlign w:val="bottom"/>
            <w:tcBorders>
              <w:bottom w:val="single" w:sz="8" w:color="auto"/>
            </w:tcBorders>
          </w:tcPr>
          <w:p>
            <w:pPr>
              <w:jc w:val="center"/>
              <w:ind w:right="603"/>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w w:val="97"/>
              </w:rPr>
              <w:t>152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w:t>
            </w:r>
          </w:p>
        </w:tc>
      </w:tr>
      <w:tr>
        <w:trPr>
          <w:trHeight w:val="21"/>
        </w:trPr>
        <w:tc>
          <w:tcPr>
            <w:tcW w:w="2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4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Goodwill is the excess of the purchase price over the fair value of the identifiable net assets of acquired companies measured at the time of acquisition. Goodwill is not amortized but is tested annually on October 1 for impairment or whenever events or changes in circumstances necessitate an evaluation. Impairment of goodwill occurs when the carrying amount (book value) of goodwill exceeds its implied fair value. If the carrying value of the reporting unit, including goodwill, exceeds its fair value, and the book value of goodwill is greater than its fair value on the test date, we record a goodwill impairment loss.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Goodwill included on the Sempra Energy Condensed Consolidated Balance Sheets is recorded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2832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2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480" w:type="dxa"/>
            <w:vAlign w:val="bottom"/>
            <w:shd w:val="clear" w:color="auto" w:fill="C0C0C0"/>
          </w:tcPr>
          <w:p>
            <w:pPr>
              <w:spacing w:after="0"/>
              <w:rPr>
                <w:sz w:val="17"/>
                <w:szCs w:val="17"/>
                <w:color w:val="auto"/>
              </w:rPr>
            </w:pPr>
          </w:p>
        </w:tc>
        <w:tc>
          <w:tcPr>
            <w:tcW w:w="1660" w:type="dxa"/>
            <w:vAlign w:val="bottom"/>
            <w:shd w:val="clear" w:color="auto" w:fill="C0C0C0"/>
          </w:tcPr>
          <w:p>
            <w:pPr>
              <w:spacing w:after="0"/>
              <w:rPr>
                <w:sz w:val="17"/>
                <w:szCs w:val="17"/>
                <w:color w:val="auto"/>
              </w:rPr>
            </w:pPr>
          </w:p>
        </w:tc>
        <w:tc>
          <w:tcPr>
            <w:tcW w:w="440" w:type="dxa"/>
            <w:vAlign w:val="bottom"/>
            <w:shd w:val="clear" w:color="auto" w:fill="C0C0C0"/>
          </w:tcPr>
          <w:p>
            <w:pPr>
              <w:spacing w:after="0"/>
              <w:rPr>
                <w:sz w:val="17"/>
                <w:szCs w:val="17"/>
                <w:color w:val="auto"/>
              </w:rPr>
            </w:pPr>
          </w:p>
        </w:tc>
        <w:tc>
          <w:tcPr>
            <w:tcW w:w="122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1300" w:type="dxa"/>
            <w:vAlign w:val="bottom"/>
            <w:shd w:val="clear" w:color="auto" w:fill="C0C0C0"/>
          </w:tcPr>
          <w:p>
            <w:pPr>
              <w:spacing w:after="0"/>
              <w:rPr>
                <w:sz w:val="17"/>
                <w:szCs w:val="17"/>
                <w:color w:val="auto"/>
              </w:rPr>
            </w:pPr>
          </w:p>
        </w:tc>
        <w:tc>
          <w:tcPr>
            <w:tcW w:w="500" w:type="dxa"/>
            <w:vAlign w:val="bottom"/>
            <w:shd w:val="clear" w:color="auto" w:fill="C0C0C0"/>
          </w:tcPr>
          <w:p>
            <w:pPr>
              <w:spacing w:after="0"/>
              <w:rPr>
                <w:sz w:val="17"/>
                <w:szCs w:val="17"/>
                <w:color w:val="auto"/>
              </w:rPr>
            </w:pPr>
          </w:p>
        </w:tc>
        <w:tc>
          <w:tcPr>
            <w:tcW w:w="1120" w:type="dxa"/>
            <w:vAlign w:val="bottom"/>
            <w:shd w:val="clear" w:color="auto" w:fill="C0C0C0"/>
          </w:tcPr>
          <w:p>
            <w:pPr>
              <w:spacing w:after="0"/>
              <w:rPr>
                <w:sz w:val="17"/>
                <w:szCs w:val="17"/>
                <w:color w:val="auto"/>
              </w:rPr>
            </w:pPr>
          </w:p>
        </w:tc>
      </w:tr>
      <w:tr>
        <w:trPr>
          <w:trHeight w:val="231"/>
        </w:trPr>
        <w:tc>
          <w:tcPr>
            <w:tcW w:w="4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60" w:type="dxa"/>
            <w:vAlign w:val="bottom"/>
          </w:tcPr>
          <w:p>
            <w:pPr>
              <w:jc w:val="center"/>
              <w:ind w:right="63"/>
              <w:spacing w:after="0"/>
              <w:rPr>
                <w:sz w:val="20"/>
                <w:szCs w:val="20"/>
                <w:color w:val="auto"/>
              </w:rPr>
            </w:pPr>
            <w:r>
              <w:rPr>
                <w:rFonts w:ascii="Arial" w:cs="Arial" w:eastAsia="Arial" w:hAnsi="Arial"/>
                <w:sz w:val="14"/>
                <w:szCs w:val="14"/>
                <w:color w:val="auto"/>
              </w:rPr>
              <w:t>Sempra</w:t>
            </w:r>
          </w:p>
        </w:tc>
        <w:tc>
          <w:tcPr>
            <w:tcW w:w="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4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tcPr>
          <w:p>
            <w:pPr>
              <w:jc w:val="center"/>
              <w:ind w:right="63"/>
              <w:spacing w:after="0"/>
              <w:rPr>
                <w:sz w:val="20"/>
                <w:szCs w:val="20"/>
                <w:color w:val="auto"/>
              </w:rPr>
            </w:pPr>
            <w:r>
              <w:rPr>
                <w:rFonts w:ascii="Arial" w:cs="Arial" w:eastAsia="Arial" w:hAnsi="Arial"/>
                <w:sz w:val="14"/>
                <w:szCs w:val="14"/>
                <w:color w:val="auto"/>
              </w:rPr>
              <w:t>South American</w:t>
            </w:r>
          </w:p>
        </w:tc>
        <w:tc>
          <w:tcPr>
            <w:tcW w:w="440" w:type="dxa"/>
            <w:vAlign w:val="bottom"/>
          </w:tcPr>
          <w:p>
            <w:pPr>
              <w:spacing w:after="0"/>
              <w:rPr>
                <w:sz w:val="18"/>
                <w:szCs w:val="18"/>
                <w:color w:val="auto"/>
              </w:rPr>
            </w:pPr>
          </w:p>
        </w:tc>
        <w:tc>
          <w:tcPr>
            <w:tcW w:w="1220" w:type="dxa"/>
            <w:vAlign w:val="bottom"/>
          </w:tcPr>
          <w:p>
            <w:pPr>
              <w:jc w:val="right"/>
              <w:ind w:right="363"/>
              <w:spacing w:after="0"/>
              <w:rPr>
                <w:sz w:val="20"/>
                <w:szCs w:val="20"/>
                <w:color w:val="auto"/>
              </w:rPr>
            </w:pPr>
            <w:r>
              <w:rPr>
                <w:rFonts w:ascii="Arial" w:cs="Arial" w:eastAsia="Arial" w:hAnsi="Arial"/>
                <w:sz w:val="14"/>
                <w:szCs w:val="14"/>
                <w:color w:val="auto"/>
              </w:rPr>
              <w:t>Sempra</w:t>
            </w:r>
          </w:p>
        </w:tc>
        <w:tc>
          <w:tcPr>
            <w:tcW w:w="380" w:type="dxa"/>
            <w:vAlign w:val="bottom"/>
          </w:tcPr>
          <w:p>
            <w:pPr>
              <w:spacing w:after="0"/>
              <w:rPr>
                <w:sz w:val="18"/>
                <w:szCs w:val="18"/>
                <w:color w:val="auto"/>
              </w:rPr>
            </w:pPr>
          </w:p>
        </w:tc>
        <w:tc>
          <w:tcPr>
            <w:tcW w:w="1300" w:type="dxa"/>
            <w:vAlign w:val="bottom"/>
          </w:tcPr>
          <w:p>
            <w:pPr>
              <w:jc w:val="right"/>
              <w:ind w:right="383"/>
              <w:spacing w:after="0"/>
              <w:rPr>
                <w:sz w:val="20"/>
                <w:szCs w:val="20"/>
                <w:color w:val="auto"/>
              </w:rPr>
            </w:pPr>
            <w:r>
              <w:rPr>
                <w:rFonts w:ascii="Arial" w:cs="Arial" w:eastAsia="Arial" w:hAnsi="Arial"/>
                <w:sz w:val="14"/>
                <w:szCs w:val="14"/>
                <w:color w:val="auto"/>
              </w:rPr>
              <w:t>Sempra</w:t>
            </w: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8"/>
        </w:trPr>
        <w:tc>
          <w:tcPr>
            <w:tcW w:w="4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color w:val="auto"/>
              </w:rPr>
              <w:t>Utilities</w:t>
            </w: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color w:val="auto"/>
              </w:rPr>
              <w:t>Mexico</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color w:val="auto"/>
              </w:rPr>
              <w:t>Natural Gas</w:t>
            </w: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Total</w:t>
            </w:r>
          </w:p>
        </w:tc>
      </w:tr>
      <w:tr>
        <w:trPr>
          <w:trHeight w:val="204"/>
        </w:trPr>
        <w:tc>
          <w:tcPr>
            <w:tcW w:w="4320" w:type="dxa"/>
            <w:vAlign w:val="bottom"/>
          </w:tcPr>
          <w:p>
            <w:pPr>
              <w:spacing w:after="0"/>
              <w:rPr>
                <w:sz w:val="20"/>
                <w:szCs w:val="20"/>
                <w:color w:val="auto"/>
              </w:rPr>
            </w:pPr>
            <w:r>
              <w:rPr>
                <w:rFonts w:ascii="Arial" w:cs="Arial" w:eastAsia="Arial" w:hAnsi="Arial"/>
                <w:sz w:val="16"/>
                <w:szCs w:val="16"/>
                <w:color w:val="auto"/>
              </w:rPr>
              <w:t>Balance at December 31, 2012</w:t>
            </w:r>
          </w:p>
        </w:tc>
        <w:tc>
          <w:tcPr>
            <w:tcW w:w="4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23"/>
              <w:spacing w:after="0"/>
              <w:rPr>
                <w:sz w:val="20"/>
                <w:szCs w:val="20"/>
                <w:color w:val="auto"/>
              </w:rPr>
            </w:pPr>
            <w:r>
              <w:rPr>
                <w:rFonts w:ascii="Arial" w:cs="Arial" w:eastAsia="Arial" w:hAnsi="Arial"/>
                <w:sz w:val="16"/>
                <w:szCs w:val="16"/>
                <w:color w:val="auto"/>
              </w:rPr>
              <w:t>1,014</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3"/>
              <w:spacing w:after="0"/>
              <w:rPr>
                <w:sz w:val="20"/>
                <w:szCs w:val="20"/>
                <w:color w:val="auto"/>
              </w:rPr>
            </w:pPr>
            <w:r>
              <w:rPr>
                <w:rFonts w:ascii="Arial" w:cs="Arial" w:eastAsia="Arial" w:hAnsi="Arial"/>
                <w:sz w:val="16"/>
                <w:szCs w:val="16"/>
                <w:color w:val="auto"/>
              </w:rPr>
              <w:t>25</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72</w:t>
            </w:r>
          </w:p>
        </w:tc>
        <w:tc>
          <w:tcPr>
            <w:tcW w:w="5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1,111</w:t>
            </w:r>
          </w:p>
        </w:tc>
      </w:tr>
      <w:tr>
        <w:trPr>
          <w:trHeight w:val="208"/>
        </w:trPr>
        <w:tc>
          <w:tcPr>
            <w:tcW w:w="4320" w:type="dxa"/>
            <w:vAlign w:val="bottom"/>
          </w:tcPr>
          <w:p>
            <w:pPr>
              <w:spacing w:after="0"/>
              <w:rPr>
                <w:sz w:val="20"/>
                <w:szCs w:val="20"/>
                <w:color w:val="auto"/>
              </w:rPr>
            </w:pPr>
            <w:r>
              <w:rPr>
                <w:rFonts w:ascii="Arial" w:cs="Arial" w:eastAsia="Arial" w:hAnsi="Arial"/>
                <w:sz w:val="16"/>
                <w:szCs w:val="16"/>
                <w:color w:val="auto"/>
              </w:rPr>
              <w:t>Foreign currency translation(1)</w:t>
            </w:r>
          </w:p>
        </w:tc>
        <w:tc>
          <w:tcPr>
            <w:tcW w:w="4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w:t>
            </w: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89"/>
        </w:trPr>
        <w:tc>
          <w:tcPr>
            <w:tcW w:w="4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at March 31, 2013</w:t>
            </w:r>
          </w:p>
        </w:tc>
        <w:tc>
          <w:tcPr>
            <w:tcW w:w="4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1,016</w:t>
            </w:r>
          </w:p>
        </w:tc>
        <w:tc>
          <w:tcPr>
            <w:tcW w:w="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25</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72</w:t>
            </w:r>
          </w:p>
        </w:tc>
        <w:tc>
          <w:tcPr>
            <w:tcW w:w="5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w:t>
            </w:r>
          </w:p>
        </w:tc>
      </w:tr>
      <w:tr>
        <w:trPr>
          <w:trHeight w:val="21"/>
        </w:trPr>
        <w:tc>
          <w:tcPr>
            <w:tcW w:w="4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ind w:left="540" w:hanging="350"/>
        <w:spacing w:after="0"/>
        <w:tabs>
          <w:tab w:leader="none" w:pos="54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We record the offset of this fluctuation to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We provide additional information concerning goodwill in Notes 1 and 3 of the Notes to Consolidated Financial Statements in the Annual Report.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 (VIE)</w:t>
      </w:r>
    </w:p>
    <w:p>
      <w:pPr>
        <w:spacing w:after="0" w:line="2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consolidate a VIE if we are the primary beneficiary of the VIE. Our determination of whether we are the primary beneficiary is based upon qualitative and quantitative analyses, which assess</w:t>
      </w:r>
    </w:p>
    <w:p>
      <w:pPr>
        <w:spacing w:after="0" w:line="197" w:lineRule="exact"/>
        <w:rPr>
          <w:sz w:val="20"/>
          <w:szCs w:val="20"/>
          <w:color w:val="auto"/>
        </w:rPr>
      </w:pPr>
    </w:p>
    <w:p>
      <w:pPr>
        <w:ind w:left="340" w:hanging="188"/>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purpose and design of the VIE;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nature of the VIE’s risks and the risks we absorb;</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power to direct activities that most significantly impact the economic performance of the VIE; and</w:t>
      </w:r>
    </w:p>
    <w:p>
      <w:pPr>
        <w:sectPr>
          <w:pgSz w:w="11900" w:h="16838" w:orient="portrait"/>
          <w:cols w:equalWidth="0" w:num="1">
            <w:col w:w="11420"/>
          </w:cols>
          <w:pgMar w:left="240" w:top="118" w:right="239" w:bottom="0" w:gutter="0" w:footer="0" w:header="0"/>
        </w:sectPr>
      </w:pPr>
    </w:p>
    <w:bookmarkStart w:id="15" w:name="page16"/>
    <w:bookmarkEnd w:id="15"/>
    <w:p>
      <w:pPr>
        <w:ind w:left="160"/>
        <w:spacing w:after="0"/>
        <w:rPr>
          <w:sz w:val="20"/>
          <w:szCs w:val="20"/>
          <w:color w:val="auto"/>
        </w:rPr>
      </w:pPr>
      <w:r>
        <w:rPr>
          <w:rFonts w:ascii="Arial" w:cs="Arial" w:eastAsia="Arial" w:hAnsi="Arial"/>
          <w:sz w:val="18"/>
          <w:szCs w:val="18"/>
          <w:color w:val="auto"/>
        </w:rPr>
        <w:t>§ the obligation to absorb losses or right to receive benefits that could be significant to the VIE.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Tolling Agreements</w:t>
      </w:r>
    </w:p>
    <w:p>
      <w:pPr>
        <w:spacing w:after="0" w:line="24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SDG&amp;E has agreements under which it purchases power generated by facilities for which it supplies all of the natural gas to fuel the power plant (i.e., tolling agreements). SDG&amp;E’s obligation to absorb natural gas costs may be a significant variable interest. In addition, SDG&amp;E has the power to direct the dispatch of electricity generated by these facilities. Based upon our analysis, the ability to direct the dispatch of electricity may have the most significant impact on the economic performance of the entity owning the generating facility because of the associated exposure to the cost of natural gas, which fuels the plants, and the value of electricity produced. To the extent that SDG&amp;E (1) is obligated to purchase and provide fuel to operate the facility, (2) has the power to direct the dispatch, and (3) purchases all of the output from the facility for a substantial portion of the facility’s useful life, SDG&amp;E may be the primary beneficiary of the entity owning the generating facility. SDG&amp;E determines if it is the primary beneficiary in these cases based on the operational characteristics of the facility, including its expected power generation output relative to its capacity to generate and the financial structure of the entity, among other factors. If we determine that SDG&amp;E is the primary beneficiary, SDG&amp;E and Sempra Energy consolidate the entity that owns the facility as a VIE, as we discuss below.</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Otay Mesa VIE</w:t>
      </w:r>
    </w:p>
    <w:p>
      <w:pPr>
        <w:spacing w:after="0" w:line="24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SDG&amp;E has an agreement to purchase power generated at the Otay Mesa Energy Center (OMEC), a 605-MW generating facility. In addition to tolling, the agreement provides SDG&amp;E with the option to purchase the power plant at the end of the contract term in 2019, or upon earlier termination of the purchased-power agreement, at a predetermined price subject to adjustments based on performance of the facility. If SDG&amp;E does not exercise its option, under certain circumstances, it may be required to purchase the power plant at a predetermined price, which we refer to as the put option.</w:t>
      </w:r>
    </w:p>
    <w:p>
      <w:pPr>
        <w:spacing w:after="0" w:line="19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facility owner, Otay Mesa Energy Center LLC (OMEC LLC), is a VIE (Otay Mesa VIE), of which SDG&amp;E is the primary beneficiary. SDG&amp;E has no OMEC LLC voting rights and does not operate OMEC. In addition to the risks absorbed under the tolling agreement, SDG&amp;E absorbs separately through the put option a significant portion of the risk that the value of Otay Mesa VIE could decline. SDG&amp;E and Sempra Energy have consolidated Otay Mesa VIE since the second quarter of 2007. Otay Mesa VIE’s equity of $72 million at March 31, 2013 and $76 million at December 31, 2012 is included on the Condensed Consolidated Balance Sheets in Other Noncontrolling Interests for Sempra Energy and in Noncontrolling Interest for SDG&amp;E.</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OMEC LLC has a loan outstanding of $342 million at March 31, 2013, the proceeds of which were used for the construction of OMEC. The loan is with third party lenders and is secured by OMEC’s property, plant and equipment. SDG&amp;E is not a party to the loan agreement and does not have any additional implicit or explicit financial responsibility to OMEC LLC. The loan fully matures in April 2019 and bears interest at rates varying with market rates. In addition, OMEC LLC has entered into interest rate swap agreements to moderate its exposure to interest rate changes. We provide additional information concerning the interest rate swaps in Note 7.</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Variable Interest Entities</w:t>
      </w:r>
    </w:p>
    <w:p>
      <w:pPr>
        <w:spacing w:after="0" w:line="24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SDG&amp;E’s power procurement is subject to reliability requirements that may require SDG&amp;E to enter into various power purchase arrangements which include variable interests. SDG&amp;E evaluates the respective entities to determine if variable interests exist and, based on the qualitative and quantitative analyses described above, if SDG&amp;E, and thereby Sempra Energy, is the primary beneficiary. SDG&amp;E has determined that no contracts, other than the one relating to Otay Mesa VIE mentioned above, result in SDG&amp;E being the primary beneficiary as of March 31, 2013. In addition to the tolling agreements described above, other variable interests involve various elements of fuel and power costs, including certain construction costs, tax credits, and other components of cash flow expected to be paid to or received by our counterparties. In most of these cases, the expectation of variability is not substantial, and SDG&amp;E generally does not have the power to direct activities that most significantly impact the economic performance of the other VIEs. If our ongoing evaluation of these VIEs were to conclude that SDG&amp;E becomes the primary beneficiary and consolidation by SDG&amp;E becomes necessary, the effects are not expected to significantly affect the financial position, results of operations, or liquidity of SDG&amp;E. In addition, SDG&amp;E is not exposed to losses or gains as a result of these other VIEs, because all such variability would be recovered in rates.</w:t>
      </w:r>
    </w:p>
    <w:p>
      <w:pPr>
        <w:spacing w:after="0" w:line="2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Sempra Energy’s other operating units also enter into arrangements which could include variable interests. We evaluate these arrangements and applicable entities based upon the qualitative and quantitative analyses described above. Certain of these entities are service companies that are VIEs. As the primary beneficiary of these service companies, we consolidate them. In all other cases, we have determined that these contracts are not variable interests in a VIE and therefore are not subject to the U.S. GAAP requirements concerning the consolidation of VIEs.</w:t>
      </w:r>
    </w:p>
    <w:p>
      <w:pPr>
        <w:spacing w:after="0" w:line="21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Condensed Consolidated Statements of Operations of Sempra Energy and SDG&amp;E include the following amounts associated with Otay Mesa VIE. The amounts are net of eliminations of transactions between SDG&amp;E and Otay Mesa VIE. The financial statements of other consolidated VIEs are not material to the financial statements of Sempra Energy. The captions on the table below generally correspond to SDG&amp;E’s Condensed Consolidated Statements of Operations.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ASSOCIATED WITH OTAY MESA 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080" w:type="dxa"/>
            <w:vAlign w:val="bottom"/>
          </w:tcPr>
          <w:p>
            <w:pPr>
              <w:spacing w:after="0"/>
              <w:rPr>
                <w:sz w:val="14"/>
                <w:szCs w:val="14"/>
                <w:color w:val="auto"/>
              </w:rPr>
            </w:pPr>
          </w:p>
        </w:tc>
        <w:tc>
          <w:tcPr>
            <w:tcW w:w="3720" w:type="dxa"/>
            <w:vAlign w:val="bottom"/>
            <w:tcBorders>
              <w:bottom w:val="single" w:sz="8" w:color="auto"/>
            </w:tcBorders>
            <w:gridSpan w:val="3"/>
          </w:tcPr>
          <w:p>
            <w:pPr>
              <w:jc w:val="right"/>
              <w:ind w:right="483"/>
              <w:spacing w:after="0"/>
              <w:rPr>
                <w:sz w:val="20"/>
                <w:szCs w:val="20"/>
                <w:color w:val="auto"/>
              </w:rPr>
            </w:pPr>
            <w:r>
              <w:rPr>
                <w:rFonts w:ascii="Arial" w:cs="Arial" w:eastAsia="Arial" w:hAnsi="Arial"/>
                <w:sz w:val="14"/>
                <w:szCs w:val="14"/>
                <w:color w:val="auto"/>
              </w:rPr>
              <w:t>Three months ended March 31,</w:t>
            </w:r>
          </w:p>
        </w:tc>
        <w:tc>
          <w:tcPr>
            <w:tcW w:w="620" w:type="dxa"/>
            <w:vAlign w:val="bottom"/>
            <w:tcBorders>
              <w:bottom w:val="single" w:sz="8" w:color="auto"/>
            </w:tcBorders>
          </w:tcPr>
          <w:p>
            <w:pPr>
              <w:spacing w:after="0"/>
              <w:rPr>
                <w:sz w:val="14"/>
                <w:szCs w:val="14"/>
                <w:color w:val="auto"/>
              </w:rPr>
            </w:pPr>
          </w:p>
        </w:tc>
      </w:tr>
      <w:tr>
        <w:trPr>
          <w:trHeight w:val="223"/>
        </w:trPr>
        <w:tc>
          <w:tcPr>
            <w:tcW w:w="70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color w:val="auto"/>
              </w:rPr>
              <w:t>2013</w:t>
            </w:r>
          </w:p>
        </w:tc>
        <w:tc>
          <w:tcPr>
            <w:tcW w:w="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color w:val="auto"/>
              </w:rPr>
              <w:t>2012</w:t>
            </w:r>
          </w:p>
        </w:tc>
        <w:tc>
          <w:tcPr>
            <w:tcW w:w="620" w:type="dxa"/>
            <w:vAlign w:val="bottom"/>
            <w:tcBorders>
              <w:bottom w:val="single" w:sz="8" w:color="auto"/>
            </w:tcBorders>
          </w:tcPr>
          <w:p>
            <w:pPr>
              <w:spacing w:after="0"/>
              <w:rPr>
                <w:sz w:val="19"/>
                <w:szCs w:val="19"/>
                <w:color w:val="auto"/>
              </w:rPr>
            </w:pPr>
          </w:p>
        </w:tc>
      </w:tr>
      <w:tr>
        <w:trPr>
          <w:trHeight w:val="434"/>
        </w:trPr>
        <w:tc>
          <w:tcPr>
            <w:tcW w:w="7080" w:type="dxa"/>
            <w:vAlign w:val="bottom"/>
          </w:tcPr>
          <w:p>
            <w:pPr>
              <w:spacing w:after="0"/>
              <w:rPr>
                <w:sz w:val="20"/>
                <w:szCs w:val="20"/>
                <w:color w:val="auto"/>
              </w:rPr>
            </w:pPr>
            <w:r>
              <w:rPr>
                <w:rFonts w:ascii="Arial" w:cs="Arial" w:eastAsia="Arial" w:hAnsi="Arial"/>
                <w:sz w:val="16"/>
                <w:szCs w:val="16"/>
                <w:color w:val="auto"/>
              </w:rPr>
              <w:t>Operating revenues</w:t>
            </w:r>
          </w:p>
        </w:tc>
        <w:tc>
          <w:tcPr>
            <w:tcW w:w="1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5"/>
        </w:trPr>
        <w:tc>
          <w:tcPr>
            <w:tcW w:w="7080" w:type="dxa"/>
            <w:vAlign w:val="bottom"/>
          </w:tcPr>
          <w:p>
            <w:pPr>
              <w:ind w:left="180"/>
              <w:spacing w:after="0"/>
              <w:rPr>
                <w:sz w:val="20"/>
                <w:szCs w:val="20"/>
                <w:color w:val="auto"/>
              </w:rPr>
            </w:pPr>
            <w:r>
              <w:rPr>
                <w:rFonts w:ascii="Arial" w:cs="Arial" w:eastAsia="Arial" w:hAnsi="Arial"/>
                <w:sz w:val="16"/>
                <w:szCs w:val="16"/>
                <w:color w:val="auto"/>
              </w:rPr>
              <w:t>Electric</w:t>
            </w:r>
          </w:p>
        </w:tc>
        <w:tc>
          <w:tcPr>
            <w:tcW w:w="1540" w:type="dxa"/>
            <w:vAlign w:val="bottom"/>
          </w:tcPr>
          <w:p>
            <w:pPr>
              <w:jc w:val="right"/>
              <w:ind w:right="925"/>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59"/>
              <w:spacing w:after="0"/>
              <w:rPr>
                <w:sz w:val="20"/>
                <w:szCs w:val="20"/>
                <w:color w:val="auto"/>
              </w:rPr>
            </w:pPr>
            <w:r>
              <w:rPr>
                <w:rFonts w:ascii="Arial" w:cs="Arial" w:eastAsia="Arial" w:hAnsi="Arial"/>
                <w:sz w:val="16"/>
                <w:szCs w:val="16"/>
                <w:color w:val="auto"/>
              </w:rPr>
              <w:t>(1)</w:t>
            </w:r>
          </w:p>
        </w:tc>
        <w:tc>
          <w:tcPr>
            <w:tcW w:w="1320" w:type="dxa"/>
            <w:vAlign w:val="bottom"/>
          </w:tcPr>
          <w:p>
            <w:pPr>
              <w:jc w:val="right"/>
              <w:ind w:right="943"/>
              <w:spacing w:after="0"/>
              <w:rPr>
                <w:sz w:val="20"/>
                <w:szCs w:val="20"/>
                <w:color w:val="auto"/>
              </w:rPr>
            </w:pPr>
            <w:r>
              <w:rPr>
                <w:rFonts w:ascii="Arial" w:cs="Arial" w:eastAsia="Arial" w:hAnsi="Arial"/>
                <w:sz w:val="16"/>
                <w:szCs w:val="16"/>
                <w:color w:val="auto"/>
              </w:rPr>
              <w:t>$</w:t>
            </w:r>
          </w:p>
        </w:tc>
        <w:tc>
          <w:tcPr>
            <w:tcW w:w="620" w:type="dxa"/>
            <w:vAlign w:val="bottom"/>
          </w:tcPr>
          <w:p>
            <w:pPr>
              <w:jc w:val="center"/>
              <w:ind w:left="299"/>
              <w:spacing w:after="0"/>
              <w:rPr>
                <w:sz w:val="20"/>
                <w:szCs w:val="20"/>
                <w:color w:val="auto"/>
              </w:rPr>
            </w:pPr>
            <w:r>
              <w:rPr>
                <w:rFonts w:ascii="Arial" w:cs="Arial" w:eastAsia="Arial" w:hAnsi="Arial"/>
                <w:sz w:val="16"/>
                <w:szCs w:val="16"/>
                <w:color w:val="auto"/>
                <w:w w:val="99"/>
              </w:rPr>
              <w:t>―</w:t>
            </w:r>
          </w:p>
        </w:tc>
      </w:tr>
      <w:tr>
        <w:trPr>
          <w:trHeight w:val="216"/>
        </w:trPr>
        <w:tc>
          <w:tcPr>
            <w:tcW w:w="7080" w:type="dxa"/>
            <w:vAlign w:val="bottom"/>
          </w:tcPr>
          <w:p>
            <w:pPr>
              <w:ind w:left="180"/>
              <w:spacing w:after="0"/>
              <w:rPr>
                <w:sz w:val="20"/>
                <w:szCs w:val="20"/>
                <w:color w:val="auto"/>
              </w:rPr>
            </w:pPr>
            <w:r>
              <w:rPr>
                <w:rFonts w:ascii="Arial" w:cs="Arial" w:eastAsia="Arial" w:hAnsi="Arial"/>
                <w:sz w:val="16"/>
                <w:szCs w:val="16"/>
                <w:color w:val="auto"/>
              </w:rPr>
              <w:t>Natural gas</w:t>
            </w:r>
          </w:p>
        </w:tc>
        <w:tc>
          <w:tcPr>
            <w:tcW w:w="1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color w:val="auto"/>
                <w:w w:val="99"/>
              </w:rPr>
              <w:t>―</w:t>
            </w:r>
          </w:p>
        </w:tc>
      </w:tr>
      <w:tr>
        <w:trPr>
          <w:trHeight w:val="223"/>
        </w:trPr>
        <w:tc>
          <w:tcPr>
            <w:tcW w:w="7080" w:type="dxa"/>
            <w:vAlign w:val="bottom"/>
          </w:tcPr>
          <w:p>
            <w:pPr>
              <w:ind w:left="360"/>
              <w:spacing w:after="0"/>
              <w:rPr>
                <w:sz w:val="20"/>
                <w:szCs w:val="20"/>
                <w:color w:val="auto"/>
              </w:rPr>
            </w:pPr>
            <w:r>
              <w:rPr>
                <w:rFonts w:ascii="Arial" w:cs="Arial" w:eastAsia="Arial" w:hAnsi="Arial"/>
                <w:sz w:val="16"/>
                <w:szCs w:val="16"/>
                <w:color w:val="auto"/>
              </w:rPr>
              <w:t>Total operating revenues</w:t>
            </w:r>
          </w:p>
        </w:tc>
        <w:tc>
          <w:tcPr>
            <w:tcW w:w="1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w:t>
            </w:r>
          </w:p>
        </w:tc>
        <w:tc>
          <w:tcPr>
            <w:tcW w:w="1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color w:val="auto"/>
                <w:w w:val="99"/>
              </w:rPr>
              <w:t>―</w:t>
            </w:r>
          </w:p>
        </w:tc>
      </w:tr>
      <w:tr>
        <w:trPr>
          <w:trHeight w:val="224"/>
        </w:trPr>
        <w:tc>
          <w:tcPr>
            <w:tcW w:w="7080" w:type="dxa"/>
            <w:vAlign w:val="bottom"/>
          </w:tcPr>
          <w:p>
            <w:pPr>
              <w:spacing w:after="0"/>
              <w:rPr>
                <w:sz w:val="20"/>
                <w:szCs w:val="20"/>
                <w:color w:val="auto"/>
              </w:rPr>
            </w:pPr>
            <w:r>
              <w:rPr>
                <w:rFonts w:ascii="Arial" w:cs="Arial" w:eastAsia="Arial" w:hAnsi="Arial"/>
                <w:sz w:val="16"/>
                <w:szCs w:val="16"/>
                <w:color w:val="auto"/>
              </w:rPr>
              <w:t>Operating expenses</w:t>
            </w:r>
          </w:p>
        </w:tc>
        <w:tc>
          <w:tcPr>
            <w:tcW w:w="1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16"/>
        </w:trPr>
        <w:tc>
          <w:tcPr>
            <w:tcW w:w="7080" w:type="dxa"/>
            <w:vAlign w:val="bottom"/>
          </w:tcPr>
          <w:p>
            <w:pPr>
              <w:ind w:left="180"/>
              <w:spacing w:after="0"/>
              <w:rPr>
                <w:sz w:val="20"/>
                <w:szCs w:val="20"/>
                <w:color w:val="auto"/>
              </w:rPr>
            </w:pPr>
            <w:r>
              <w:rPr>
                <w:rFonts w:ascii="Arial" w:cs="Arial" w:eastAsia="Arial" w:hAnsi="Arial"/>
                <w:sz w:val="16"/>
                <w:szCs w:val="16"/>
                <w:color w:val="auto"/>
              </w:rPr>
              <w:t>Cost of electric fuel and purchased power</w:t>
            </w:r>
          </w:p>
        </w:tc>
        <w:tc>
          <w:tcPr>
            <w:tcW w:w="1540" w:type="dxa"/>
            <w:vAlign w:val="bottom"/>
          </w:tcPr>
          <w:p>
            <w:pPr>
              <w:spacing w:after="0"/>
              <w:rPr>
                <w:sz w:val="18"/>
                <w:szCs w:val="18"/>
                <w:color w:val="auto"/>
              </w:rPr>
            </w:pPr>
          </w:p>
        </w:tc>
        <w:tc>
          <w:tcPr>
            <w:tcW w:w="860" w:type="dxa"/>
            <w:vAlign w:val="bottom"/>
          </w:tcPr>
          <w:p>
            <w:pPr>
              <w:jc w:val="right"/>
              <w:ind w:right="159"/>
              <w:spacing w:after="0"/>
              <w:rPr>
                <w:sz w:val="20"/>
                <w:szCs w:val="20"/>
                <w:color w:val="auto"/>
              </w:rPr>
            </w:pPr>
            <w:r>
              <w:rPr>
                <w:rFonts w:ascii="Arial" w:cs="Arial" w:eastAsia="Arial" w:hAnsi="Arial"/>
                <w:sz w:val="16"/>
                <w:szCs w:val="16"/>
                <w:color w:val="auto"/>
              </w:rPr>
              <w:t>(17)</w:t>
            </w:r>
          </w:p>
        </w:tc>
        <w:tc>
          <w:tcPr>
            <w:tcW w:w="1320" w:type="dxa"/>
            <w:vAlign w:val="bottom"/>
          </w:tcPr>
          <w:p>
            <w:pPr>
              <w:spacing w:after="0"/>
              <w:rPr>
                <w:sz w:val="18"/>
                <w:szCs w:val="18"/>
                <w:color w:val="auto"/>
              </w:rPr>
            </w:pPr>
          </w:p>
        </w:tc>
        <w:tc>
          <w:tcPr>
            <w:tcW w:w="620" w:type="dxa"/>
            <w:vAlign w:val="bottom"/>
          </w:tcPr>
          <w:p>
            <w:pPr>
              <w:jc w:val="center"/>
              <w:ind w:left="259"/>
              <w:spacing w:after="0"/>
              <w:rPr>
                <w:sz w:val="20"/>
                <w:szCs w:val="20"/>
                <w:color w:val="auto"/>
              </w:rPr>
            </w:pPr>
            <w:r>
              <w:rPr>
                <w:rFonts w:ascii="Arial" w:cs="Arial" w:eastAsia="Arial" w:hAnsi="Arial"/>
                <w:sz w:val="16"/>
                <w:szCs w:val="16"/>
                <w:color w:val="auto"/>
                <w:w w:val="98"/>
              </w:rPr>
              <w:t>(19)</w:t>
            </w:r>
          </w:p>
        </w:tc>
      </w:tr>
    </w:tbl>
    <w:p>
      <w:pPr>
        <w:sectPr>
          <w:pgSz w:w="11900" w:h="16838" w:orient="portrait"/>
          <w:cols w:equalWidth="0" w:num="1">
            <w:col w:w="11420"/>
          </w:cols>
          <w:pgMar w:left="240" w:top="368" w:right="23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ind w:left="180"/>
              <w:spacing w:after="0"/>
              <w:rPr>
                <w:sz w:val="20"/>
                <w:szCs w:val="20"/>
                <w:color w:val="auto"/>
              </w:rPr>
            </w:pPr>
            <w:r>
              <w:rPr>
                <w:rFonts w:ascii="Arial" w:cs="Arial" w:eastAsia="Arial" w:hAnsi="Arial"/>
                <w:sz w:val="16"/>
                <w:szCs w:val="16"/>
                <w:color w:val="auto"/>
              </w:rPr>
              <w:t>Operation and maintenance</w:t>
            </w:r>
          </w:p>
        </w:tc>
        <w:tc>
          <w:tcPr>
            <w:tcW w:w="1200" w:type="dxa"/>
            <w:vAlign w:val="bottom"/>
          </w:tcPr>
          <w:p>
            <w:pPr>
              <w:spacing w:after="0"/>
              <w:rPr>
                <w:sz w:val="16"/>
                <w:szCs w:val="16"/>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17</w:t>
            </w:r>
          </w:p>
        </w:tc>
        <w:tc>
          <w:tcPr>
            <w:tcW w:w="10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43"/>
        </w:trPr>
        <w:tc>
          <w:tcPr>
            <w:tcW w:w="708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w:t>
            </w:r>
          </w:p>
        </w:tc>
        <w:tc>
          <w:tcPr>
            <w:tcW w:w="10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23"/>
        </w:trPr>
        <w:tc>
          <w:tcPr>
            <w:tcW w:w="7080" w:type="dxa"/>
            <w:vAlign w:val="bottom"/>
          </w:tcPr>
          <w:p>
            <w:pPr>
              <w:ind w:left="360"/>
              <w:spacing w:after="0"/>
              <w:rPr>
                <w:sz w:val="20"/>
                <w:szCs w:val="20"/>
                <w:color w:val="auto"/>
              </w:rPr>
            </w:pPr>
            <w:r>
              <w:rPr>
                <w:rFonts w:ascii="Arial" w:cs="Arial" w:eastAsia="Arial" w:hAnsi="Arial"/>
                <w:sz w:val="16"/>
                <w:szCs w:val="16"/>
                <w:color w:val="auto"/>
              </w:rPr>
              <w:t>Total operating expenses</w:t>
            </w:r>
          </w:p>
        </w:tc>
        <w:tc>
          <w:tcPr>
            <w:tcW w:w="1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w:t>
            </w:r>
          </w:p>
        </w:tc>
        <w:tc>
          <w:tcPr>
            <w:tcW w:w="10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24"/>
        </w:trPr>
        <w:tc>
          <w:tcPr>
            <w:tcW w:w="7080" w:type="dxa"/>
            <w:vAlign w:val="bottom"/>
          </w:tcPr>
          <w:p>
            <w:pPr>
              <w:spacing w:after="0"/>
              <w:rPr>
                <w:sz w:val="20"/>
                <w:szCs w:val="20"/>
                <w:color w:val="auto"/>
              </w:rPr>
            </w:pPr>
            <w:r>
              <w:rPr>
                <w:rFonts w:ascii="Arial" w:cs="Arial" w:eastAsia="Arial" w:hAnsi="Arial"/>
                <w:sz w:val="16"/>
                <w:szCs w:val="16"/>
                <w:color w:val="auto"/>
              </w:rPr>
              <w:t>Operating (loss) income</w:t>
            </w:r>
          </w:p>
        </w:tc>
        <w:tc>
          <w:tcPr>
            <w:tcW w:w="1200" w:type="dxa"/>
            <w:vAlign w:val="bottom"/>
          </w:tcPr>
          <w:p>
            <w:pPr>
              <w:spacing w:after="0"/>
              <w:rPr>
                <w:sz w:val="19"/>
                <w:szCs w:val="19"/>
                <w:color w:val="auto"/>
              </w:rPr>
            </w:pP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(8)</w:t>
            </w:r>
          </w:p>
        </w:tc>
        <w:tc>
          <w:tcPr>
            <w:tcW w:w="10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7080" w:type="dxa"/>
            <w:vAlign w:val="bottom"/>
          </w:tcPr>
          <w:p>
            <w:pPr>
              <w:spacing w:after="0"/>
              <w:rPr>
                <w:sz w:val="20"/>
                <w:szCs w:val="20"/>
                <w:color w:val="auto"/>
              </w:rPr>
            </w:pPr>
            <w:r>
              <w:rPr>
                <w:rFonts w:ascii="Arial" w:cs="Arial" w:eastAsia="Arial" w:hAnsi="Arial"/>
                <w:sz w:val="16"/>
                <w:szCs w:val="16"/>
                <w:color w:val="auto"/>
              </w:rPr>
              <w:t>Interest expense</w:t>
            </w:r>
          </w:p>
        </w:tc>
        <w:tc>
          <w:tcPr>
            <w:tcW w:w="1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w:t>
            </w:r>
          </w:p>
        </w:tc>
        <w:tc>
          <w:tcPr>
            <w:tcW w:w="10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24"/>
        </w:trPr>
        <w:tc>
          <w:tcPr>
            <w:tcW w:w="7080" w:type="dxa"/>
            <w:vAlign w:val="bottom"/>
          </w:tcPr>
          <w:p>
            <w:pPr>
              <w:spacing w:after="0"/>
              <w:rPr>
                <w:sz w:val="20"/>
                <w:szCs w:val="20"/>
                <w:color w:val="auto"/>
              </w:rPr>
            </w:pPr>
            <w:r>
              <w:rPr>
                <w:rFonts w:ascii="Arial" w:cs="Arial" w:eastAsia="Arial" w:hAnsi="Arial"/>
                <w:sz w:val="16"/>
                <w:szCs w:val="16"/>
                <w:color w:val="auto"/>
              </w:rPr>
              <w:t>(Loss) income before income taxes/Net (loss) income</w:t>
            </w:r>
          </w:p>
        </w:tc>
        <w:tc>
          <w:tcPr>
            <w:tcW w:w="1200" w:type="dxa"/>
            <w:vAlign w:val="bottom"/>
          </w:tcPr>
          <w:p>
            <w:pPr>
              <w:spacing w:after="0"/>
              <w:rPr>
                <w:sz w:val="19"/>
                <w:szCs w:val="19"/>
                <w:color w:val="auto"/>
              </w:rPr>
            </w:pP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(11)</w:t>
            </w:r>
          </w:p>
        </w:tc>
        <w:tc>
          <w:tcPr>
            <w:tcW w:w="10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7080" w:type="dxa"/>
            <w:vAlign w:val="bottom"/>
          </w:tcPr>
          <w:p>
            <w:pPr>
              <w:spacing w:after="0"/>
              <w:rPr>
                <w:sz w:val="20"/>
                <w:szCs w:val="20"/>
                <w:color w:val="auto"/>
              </w:rPr>
            </w:pPr>
            <w:r>
              <w:rPr>
                <w:rFonts w:ascii="Arial" w:cs="Arial" w:eastAsia="Arial" w:hAnsi="Arial"/>
                <w:sz w:val="16"/>
                <w:szCs w:val="16"/>
                <w:color w:val="auto"/>
              </w:rPr>
              <w:t>Losses (earnings) attributable to noncontrolling interest</w:t>
            </w:r>
          </w:p>
        </w:tc>
        <w:tc>
          <w:tcPr>
            <w:tcW w:w="1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11</w:t>
            </w:r>
          </w:p>
        </w:tc>
        <w:tc>
          <w:tcPr>
            <w:tcW w:w="10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189"/>
        </w:trPr>
        <w:tc>
          <w:tcPr>
            <w:tcW w:w="70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Earnings</w:t>
            </w: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
        </w:trPr>
        <w:tc>
          <w:tcPr>
            <w:tcW w:w="70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regarding Otay Mesa VIE in Note 1 of the Notes to Consolidated Financial Statements in the Annual Report.</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OTHER POSTRETIREMENT BENEFITS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Periodic Benefit Cost</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three tables provide the components of net periodic benefit cost:</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PERIODIC BENEFIT COST – SEMPRA ENERGY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center"/>
              <w:ind w:right="502"/>
              <w:spacing w:after="0"/>
              <w:rPr>
                <w:sz w:val="20"/>
                <w:szCs w:val="20"/>
                <w:color w:val="auto"/>
              </w:rPr>
            </w:pPr>
            <w:r>
              <w:rPr>
                <w:rFonts w:ascii="Arial" w:cs="Arial" w:eastAsia="Arial" w:hAnsi="Arial"/>
                <w:sz w:val="14"/>
                <w:szCs w:val="14"/>
                <w:color w:val="auto"/>
              </w:rPr>
              <w:t>Pension Benefits</w:t>
            </w:r>
          </w:p>
        </w:tc>
        <w:tc>
          <w:tcPr>
            <w:tcW w:w="6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color w:val="auto"/>
              </w:rPr>
              <w:t>Other Postretirement Benefits</w:t>
            </w:r>
          </w:p>
        </w:tc>
        <w:tc>
          <w:tcPr>
            <w:tcW w:w="460" w:type="dxa"/>
            <w:vAlign w:val="bottom"/>
            <w:tcBorders>
              <w:bottom w:val="single" w:sz="8" w:color="auto"/>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jc w:val="center"/>
              <w:ind w:left="408"/>
              <w:spacing w:after="0"/>
              <w:rPr>
                <w:sz w:val="20"/>
                <w:szCs w:val="20"/>
                <w:color w:val="auto"/>
              </w:rPr>
            </w:pPr>
            <w:r>
              <w:rPr>
                <w:rFonts w:ascii="Arial" w:cs="Arial" w:eastAsia="Arial" w:hAnsi="Arial"/>
                <w:sz w:val="14"/>
                <w:szCs w:val="14"/>
                <w:color w:val="auto"/>
              </w:rPr>
              <w:t>Three months ended March 31,</w:t>
            </w:r>
          </w:p>
        </w:tc>
        <w:tc>
          <w:tcPr>
            <w:tcW w:w="6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3"/>
          </w:tcPr>
          <w:p>
            <w:pPr>
              <w:jc w:val="right"/>
              <w:ind w:right="102"/>
              <w:spacing w:after="0"/>
              <w:rPr>
                <w:sz w:val="20"/>
                <w:szCs w:val="20"/>
                <w:color w:val="auto"/>
              </w:rPr>
            </w:pPr>
            <w:r>
              <w:rPr>
                <w:rFonts w:ascii="Arial" w:cs="Arial" w:eastAsia="Arial" w:hAnsi="Arial"/>
                <w:sz w:val="14"/>
                <w:szCs w:val="14"/>
                <w:color w:val="auto"/>
              </w:rPr>
              <w:t>Three months ended March 31,</w:t>
            </w:r>
          </w:p>
        </w:tc>
        <w:tc>
          <w:tcPr>
            <w:tcW w:w="460" w:type="dxa"/>
            <w:vAlign w:val="bottom"/>
            <w:tcBorders>
              <w:bottom w:val="single" w:sz="8" w:color="auto"/>
            </w:tcBorders>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2013</w:t>
            </w: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color w:val="auto"/>
              </w:rPr>
              <w:t>2012</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2013</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color w:val="auto"/>
              </w:rPr>
              <w:t>2012</w:t>
            </w:r>
          </w:p>
        </w:tc>
        <w:tc>
          <w:tcPr>
            <w:tcW w:w="460" w:type="dxa"/>
            <w:vAlign w:val="bottom"/>
            <w:tcBorders>
              <w:bottom w:val="single" w:sz="8" w:color="auto"/>
            </w:tcBorders>
          </w:tcPr>
          <w:p>
            <w:pPr>
              <w:spacing w:after="0"/>
              <w:rPr>
                <w:sz w:val="19"/>
                <w:szCs w:val="19"/>
                <w:color w:val="auto"/>
              </w:rPr>
            </w:pPr>
          </w:p>
        </w:tc>
      </w:tr>
      <w:tr>
        <w:trPr>
          <w:trHeight w:val="197"/>
        </w:trPr>
        <w:tc>
          <w:tcPr>
            <w:tcW w:w="4700" w:type="dxa"/>
            <w:vAlign w:val="bottom"/>
            <w:gridSpan w:val="2"/>
          </w:tcPr>
          <w:p>
            <w:pPr>
              <w:spacing w:after="0"/>
              <w:rPr>
                <w:sz w:val="20"/>
                <w:szCs w:val="20"/>
                <w:color w:val="auto"/>
              </w:rPr>
            </w:pPr>
            <w:r>
              <w:rPr>
                <w:rFonts w:ascii="Arial" w:cs="Arial" w:eastAsia="Arial" w:hAnsi="Arial"/>
                <w:sz w:val="16"/>
                <w:szCs w:val="16"/>
                <w:color w:val="auto"/>
              </w:rPr>
              <w:t>Service cost</w:t>
            </w:r>
          </w:p>
        </w:tc>
        <w:tc>
          <w:tcPr>
            <w:tcW w:w="1080" w:type="dxa"/>
            <w:vAlign w:val="bottom"/>
            <w:gridSpan w:val="2"/>
          </w:tcPr>
          <w:p>
            <w:pPr>
              <w:jc w:val="right"/>
              <w:ind w:right="748"/>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27</w:t>
            </w:r>
          </w:p>
        </w:tc>
        <w:tc>
          <w:tcPr>
            <w:tcW w:w="1140" w:type="dxa"/>
            <w:vAlign w:val="bottom"/>
          </w:tcPr>
          <w:p>
            <w:pPr>
              <w:jc w:val="right"/>
              <w:ind w:right="842"/>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23</w:t>
            </w:r>
          </w:p>
        </w:tc>
        <w:tc>
          <w:tcPr>
            <w:tcW w:w="1100" w:type="dxa"/>
            <w:vAlign w:val="bottom"/>
          </w:tcPr>
          <w:p>
            <w:pPr>
              <w:jc w:val="right"/>
              <w:ind w:right="844"/>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60" w:type="dxa"/>
            <w:vAlign w:val="bottom"/>
          </w:tcPr>
          <w:p>
            <w:pPr>
              <w:jc w:val="right"/>
              <w:ind w:right="782"/>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4700" w:type="dxa"/>
            <w:vAlign w:val="bottom"/>
            <w:gridSpan w:val="2"/>
          </w:tcPr>
          <w:p>
            <w:pPr>
              <w:spacing w:after="0"/>
              <w:rPr>
                <w:sz w:val="20"/>
                <w:szCs w:val="20"/>
                <w:color w:val="auto"/>
              </w:rPr>
            </w:pPr>
            <w:r>
              <w:rPr>
                <w:rFonts w:ascii="Arial" w:cs="Arial" w:eastAsia="Arial" w:hAnsi="Arial"/>
                <w:sz w:val="16"/>
                <w:szCs w:val="16"/>
                <w:color w:val="auto"/>
              </w:rPr>
              <w:t>Interest cost</w:t>
            </w: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1140" w:type="dxa"/>
            <w:vAlign w:val="bottom"/>
          </w:tcPr>
          <w:p>
            <w:pPr>
              <w:spacing w:after="0"/>
              <w:rPr>
                <w:sz w:val="18"/>
                <w:szCs w:val="18"/>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41</w:t>
            </w:r>
          </w:p>
        </w:tc>
        <w:tc>
          <w:tcPr>
            <w:tcW w:w="110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4700" w:type="dxa"/>
            <w:vAlign w:val="bottom"/>
            <w:gridSpan w:val="2"/>
          </w:tcPr>
          <w:p>
            <w:pPr>
              <w:spacing w:after="0"/>
              <w:rPr>
                <w:sz w:val="20"/>
                <w:szCs w:val="20"/>
                <w:color w:val="auto"/>
              </w:rPr>
            </w:pPr>
            <w:r>
              <w:rPr>
                <w:rFonts w:ascii="Arial" w:cs="Arial" w:eastAsia="Arial" w:hAnsi="Arial"/>
                <w:sz w:val="16"/>
                <w:szCs w:val="16"/>
                <w:color w:val="auto"/>
              </w:rPr>
              <w:t>Expected return on assets</w:t>
            </w: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w:t>
            </w:r>
          </w:p>
        </w:tc>
        <w:tc>
          <w:tcPr>
            <w:tcW w:w="1140" w:type="dxa"/>
            <w:vAlign w:val="bottom"/>
          </w:tcPr>
          <w:p>
            <w:pPr>
              <w:spacing w:after="0"/>
              <w:rPr>
                <w:sz w:val="18"/>
                <w:szCs w:val="18"/>
                <w:color w:val="auto"/>
              </w:rPr>
            </w:pPr>
          </w:p>
        </w:tc>
        <w:tc>
          <w:tcPr>
            <w:tcW w:w="620" w:type="dxa"/>
            <w:vAlign w:val="bottom"/>
          </w:tcPr>
          <w:p>
            <w:pPr>
              <w:ind w:left="240"/>
              <w:spacing w:after="0"/>
              <w:rPr>
                <w:sz w:val="20"/>
                <w:szCs w:val="20"/>
                <w:color w:val="auto"/>
              </w:rPr>
            </w:pPr>
            <w:r>
              <w:rPr>
                <w:rFonts w:ascii="Arial" w:cs="Arial" w:eastAsia="Arial" w:hAnsi="Arial"/>
                <w:sz w:val="16"/>
                <w:szCs w:val="16"/>
                <w:color w:val="auto"/>
              </w:rPr>
              <w:t>(39)</w:t>
            </w: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4700" w:type="dxa"/>
            <w:vAlign w:val="bottom"/>
            <w:gridSpan w:val="2"/>
          </w:tcPr>
          <w:p>
            <w:pPr>
              <w:spacing w:after="0"/>
              <w:rPr>
                <w:sz w:val="20"/>
                <w:szCs w:val="20"/>
                <w:color w:val="auto"/>
              </w:rPr>
            </w:pPr>
            <w:r>
              <w:rPr>
                <w:rFonts w:ascii="Arial" w:cs="Arial" w:eastAsia="Arial" w:hAnsi="Arial"/>
                <w:sz w:val="16"/>
                <w:szCs w:val="16"/>
                <w:color w:val="auto"/>
              </w:rPr>
              <w:t>Amortization of:</w:t>
            </w: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6"/>
                <w:szCs w:val="16"/>
                <w:color w:val="auto"/>
              </w:rPr>
              <w:t>Prior service cost (credit)</w:t>
            </w: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140" w:type="dxa"/>
            <w:vAlign w:val="bottom"/>
          </w:tcPr>
          <w:p>
            <w:pPr>
              <w:spacing w:after="0"/>
              <w:rPr>
                <w:sz w:val="18"/>
                <w:szCs w:val="18"/>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6"/>
                <w:szCs w:val="16"/>
                <w:color w:val="auto"/>
              </w:rPr>
              <w:t>Actuarial loss</w:t>
            </w: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1140" w:type="dxa"/>
            <w:vAlign w:val="bottom"/>
          </w:tcPr>
          <w:p>
            <w:pPr>
              <w:spacing w:after="0"/>
              <w:rPr>
                <w:sz w:val="18"/>
                <w:szCs w:val="18"/>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12</w:t>
            </w:r>
          </w:p>
        </w:tc>
        <w:tc>
          <w:tcPr>
            <w:tcW w:w="110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470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(30)</w:t>
            </w:r>
          </w:p>
        </w:tc>
        <w:tc>
          <w:tcPr>
            <w:tcW w:w="1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189"/>
        </w:trPr>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Total net periodic benefit cost</w:t>
            </w:r>
          </w:p>
        </w:tc>
        <w:tc>
          <w:tcPr>
            <w:tcW w:w="1080" w:type="dxa"/>
            <w:vAlign w:val="bottom"/>
            <w:tcBorders>
              <w:bottom w:val="single" w:sz="8" w:color="auto"/>
            </w:tcBorders>
            <w:gridSpan w:val="2"/>
          </w:tcPr>
          <w:p>
            <w:pPr>
              <w:jc w:val="right"/>
              <w:ind w:right="748"/>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w:t>
            </w:r>
          </w:p>
        </w:tc>
        <w:tc>
          <w:tcPr>
            <w:tcW w:w="1140" w:type="dxa"/>
            <w:vAlign w:val="bottom"/>
            <w:tcBorders>
              <w:bottom w:val="single" w:sz="8" w:color="auto"/>
            </w:tcBorders>
          </w:tcPr>
          <w:p>
            <w:pPr>
              <w:jc w:val="right"/>
              <w:ind w:right="84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w:t>
            </w:r>
          </w:p>
        </w:tc>
        <w:tc>
          <w:tcPr>
            <w:tcW w:w="1100" w:type="dxa"/>
            <w:vAlign w:val="bottom"/>
            <w:tcBorders>
              <w:bottom w:val="single" w:sz="8" w:color="auto"/>
            </w:tcBorders>
          </w:tcPr>
          <w:p>
            <w:pPr>
              <w:jc w:val="right"/>
              <w:ind w:right="844"/>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1060" w:type="dxa"/>
            <w:vAlign w:val="bottom"/>
            <w:tcBorders>
              <w:bottom w:val="single" w:sz="8" w:color="auto"/>
            </w:tcBorders>
          </w:tcPr>
          <w:p>
            <w:pPr>
              <w:jc w:val="right"/>
              <w:ind w:right="78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1"/>
        </w:trPr>
        <w:tc>
          <w:tcPr>
            <w:tcW w:w="4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46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4680" w:type="dxa"/>
            <w:vAlign w:val="bottom"/>
            <w:shd w:val="clear" w:color="auto" w:fill="C0C0C0"/>
          </w:tcPr>
          <w:p>
            <w:pPr>
              <w:spacing w:after="0" w:line="174" w:lineRule="exact"/>
              <w:rPr>
                <w:sz w:val="20"/>
                <w:szCs w:val="20"/>
                <w:color w:val="auto"/>
              </w:rPr>
            </w:pPr>
            <w:r>
              <w:rPr>
                <w:rFonts w:ascii="Arial" w:cs="Arial" w:eastAsia="Arial" w:hAnsi="Arial"/>
                <w:sz w:val="16"/>
                <w:szCs w:val="16"/>
                <w:b w:val="1"/>
                <w:bCs w:val="1"/>
                <w:color w:val="auto"/>
              </w:rPr>
              <w:t>NET PERIODIC BENEFIT COST – SDG&amp;E</w:t>
            </w:r>
          </w:p>
        </w:tc>
        <w:tc>
          <w:tcPr>
            <w:tcW w:w="40" w:type="dxa"/>
            <w:vAlign w:val="bottom"/>
            <w:shd w:val="clear" w:color="auto" w:fill="C0C0C0"/>
          </w:tcPr>
          <w:p>
            <w:pPr>
              <w:spacing w:after="0"/>
              <w:rPr>
                <w:sz w:val="15"/>
                <w:szCs w:val="15"/>
                <w:color w:val="auto"/>
              </w:rPr>
            </w:pPr>
          </w:p>
        </w:tc>
        <w:tc>
          <w:tcPr>
            <w:tcW w:w="1040" w:type="dxa"/>
            <w:vAlign w:val="bottom"/>
            <w:shd w:val="clear" w:color="auto" w:fill="C0C0C0"/>
          </w:tcPr>
          <w:p>
            <w:pPr>
              <w:spacing w:after="0"/>
              <w:rPr>
                <w:sz w:val="15"/>
                <w:szCs w:val="15"/>
                <w:color w:val="auto"/>
              </w:rPr>
            </w:pPr>
          </w:p>
        </w:tc>
        <w:tc>
          <w:tcPr>
            <w:tcW w:w="680" w:type="dxa"/>
            <w:vAlign w:val="bottom"/>
            <w:shd w:val="clear" w:color="auto" w:fill="C0C0C0"/>
          </w:tcPr>
          <w:p>
            <w:pPr>
              <w:spacing w:after="0"/>
              <w:rPr>
                <w:sz w:val="15"/>
                <w:szCs w:val="15"/>
                <w:color w:val="auto"/>
              </w:rPr>
            </w:pPr>
          </w:p>
        </w:tc>
        <w:tc>
          <w:tcPr>
            <w:tcW w:w="1140" w:type="dxa"/>
            <w:vAlign w:val="bottom"/>
            <w:shd w:val="clear" w:color="auto" w:fill="C0C0C0"/>
          </w:tcPr>
          <w:p>
            <w:pPr>
              <w:spacing w:after="0"/>
              <w:rPr>
                <w:sz w:val="15"/>
                <w:szCs w:val="15"/>
                <w:color w:val="auto"/>
              </w:rPr>
            </w:pPr>
          </w:p>
        </w:tc>
        <w:tc>
          <w:tcPr>
            <w:tcW w:w="620" w:type="dxa"/>
            <w:vAlign w:val="bottom"/>
            <w:shd w:val="clear" w:color="auto" w:fill="C0C0C0"/>
          </w:tcPr>
          <w:p>
            <w:pPr>
              <w:spacing w:after="0"/>
              <w:rPr>
                <w:sz w:val="15"/>
                <w:szCs w:val="15"/>
                <w:color w:val="auto"/>
              </w:rPr>
            </w:pPr>
          </w:p>
        </w:tc>
        <w:tc>
          <w:tcPr>
            <w:tcW w:w="1100" w:type="dxa"/>
            <w:vAlign w:val="bottom"/>
            <w:shd w:val="clear" w:color="auto" w:fill="C0C0C0"/>
          </w:tcPr>
          <w:p>
            <w:pPr>
              <w:spacing w:after="0"/>
              <w:rPr>
                <w:sz w:val="15"/>
                <w:szCs w:val="15"/>
                <w:color w:val="auto"/>
              </w:rPr>
            </w:pPr>
          </w:p>
        </w:tc>
        <w:tc>
          <w:tcPr>
            <w:tcW w:w="580" w:type="dxa"/>
            <w:vAlign w:val="bottom"/>
            <w:shd w:val="clear" w:color="auto" w:fill="C0C0C0"/>
          </w:tcPr>
          <w:p>
            <w:pPr>
              <w:spacing w:after="0"/>
              <w:rPr>
                <w:sz w:val="15"/>
                <w:szCs w:val="15"/>
                <w:color w:val="auto"/>
              </w:rPr>
            </w:pPr>
          </w:p>
        </w:tc>
        <w:tc>
          <w:tcPr>
            <w:tcW w:w="1060" w:type="dxa"/>
            <w:vAlign w:val="bottom"/>
            <w:shd w:val="clear" w:color="auto" w:fill="C0C0C0"/>
          </w:tcPr>
          <w:p>
            <w:pPr>
              <w:spacing w:after="0"/>
              <w:rPr>
                <w:sz w:val="15"/>
                <w:szCs w:val="15"/>
                <w:color w:val="auto"/>
              </w:rPr>
            </w:pPr>
          </w:p>
        </w:tc>
        <w:tc>
          <w:tcPr>
            <w:tcW w:w="460" w:type="dxa"/>
            <w:vAlign w:val="bottom"/>
            <w:shd w:val="clear" w:color="auto" w:fill="C0C0C0"/>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468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40" w:type="dxa"/>
            <w:vAlign w:val="bottom"/>
            <w:shd w:val="clear" w:color="auto" w:fill="C0C0C0"/>
          </w:tcPr>
          <w:p>
            <w:pPr>
              <w:spacing w:after="0"/>
              <w:rPr>
                <w:sz w:val="14"/>
                <w:szCs w:val="14"/>
                <w:color w:val="auto"/>
              </w:rPr>
            </w:pPr>
          </w:p>
        </w:tc>
        <w:tc>
          <w:tcPr>
            <w:tcW w:w="1040" w:type="dxa"/>
            <w:vAlign w:val="bottom"/>
            <w:shd w:val="clear" w:color="auto" w:fill="C0C0C0"/>
          </w:tcPr>
          <w:p>
            <w:pPr>
              <w:spacing w:after="0"/>
              <w:rPr>
                <w:sz w:val="14"/>
                <w:szCs w:val="14"/>
                <w:color w:val="auto"/>
              </w:rPr>
            </w:pPr>
          </w:p>
        </w:tc>
        <w:tc>
          <w:tcPr>
            <w:tcW w:w="680" w:type="dxa"/>
            <w:vAlign w:val="bottom"/>
            <w:shd w:val="clear" w:color="auto" w:fill="C0C0C0"/>
          </w:tcPr>
          <w:p>
            <w:pPr>
              <w:spacing w:after="0"/>
              <w:rPr>
                <w:sz w:val="14"/>
                <w:szCs w:val="14"/>
                <w:color w:val="auto"/>
              </w:rPr>
            </w:pPr>
          </w:p>
        </w:tc>
        <w:tc>
          <w:tcPr>
            <w:tcW w:w="1140" w:type="dxa"/>
            <w:vAlign w:val="bottom"/>
            <w:shd w:val="clear" w:color="auto" w:fill="C0C0C0"/>
          </w:tcPr>
          <w:p>
            <w:pPr>
              <w:spacing w:after="0"/>
              <w:rPr>
                <w:sz w:val="14"/>
                <w:szCs w:val="14"/>
                <w:color w:val="auto"/>
              </w:rPr>
            </w:pPr>
          </w:p>
        </w:tc>
        <w:tc>
          <w:tcPr>
            <w:tcW w:w="620" w:type="dxa"/>
            <w:vAlign w:val="bottom"/>
            <w:shd w:val="clear" w:color="auto" w:fill="C0C0C0"/>
          </w:tcPr>
          <w:p>
            <w:pPr>
              <w:spacing w:after="0"/>
              <w:rPr>
                <w:sz w:val="14"/>
                <w:szCs w:val="14"/>
                <w:color w:val="auto"/>
              </w:rPr>
            </w:pPr>
          </w:p>
        </w:tc>
        <w:tc>
          <w:tcPr>
            <w:tcW w:w="1100" w:type="dxa"/>
            <w:vAlign w:val="bottom"/>
            <w:shd w:val="clear" w:color="auto" w:fill="C0C0C0"/>
          </w:tcPr>
          <w:p>
            <w:pPr>
              <w:spacing w:after="0"/>
              <w:rPr>
                <w:sz w:val="14"/>
                <w:szCs w:val="14"/>
                <w:color w:val="auto"/>
              </w:rPr>
            </w:pPr>
          </w:p>
        </w:tc>
        <w:tc>
          <w:tcPr>
            <w:tcW w:w="580" w:type="dxa"/>
            <w:vAlign w:val="bottom"/>
            <w:shd w:val="clear" w:color="auto" w:fill="C0C0C0"/>
          </w:tcPr>
          <w:p>
            <w:pPr>
              <w:spacing w:after="0"/>
              <w:rPr>
                <w:sz w:val="14"/>
                <w:szCs w:val="14"/>
                <w:color w:val="auto"/>
              </w:rPr>
            </w:pPr>
          </w:p>
        </w:tc>
        <w:tc>
          <w:tcPr>
            <w:tcW w:w="1060" w:type="dxa"/>
            <w:vAlign w:val="bottom"/>
            <w:shd w:val="clear" w:color="auto" w:fill="C0C0C0"/>
          </w:tcPr>
          <w:p>
            <w:pPr>
              <w:spacing w:after="0"/>
              <w:rPr>
                <w:sz w:val="14"/>
                <w:szCs w:val="14"/>
                <w:color w:val="auto"/>
              </w:rPr>
            </w:pPr>
          </w:p>
        </w:tc>
        <w:tc>
          <w:tcPr>
            <w:tcW w:w="460" w:type="dxa"/>
            <w:vAlign w:val="bottom"/>
            <w:shd w:val="clear" w:color="auto" w:fill="C0C0C0"/>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center"/>
              <w:ind w:right="502"/>
              <w:spacing w:after="0"/>
              <w:rPr>
                <w:sz w:val="20"/>
                <w:szCs w:val="20"/>
                <w:color w:val="auto"/>
              </w:rPr>
            </w:pPr>
            <w:r>
              <w:rPr>
                <w:rFonts w:ascii="Arial" w:cs="Arial" w:eastAsia="Arial" w:hAnsi="Arial"/>
                <w:sz w:val="14"/>
                <w:szCs w:val="14"/>
                <w:color w:val="auto"/>
              </w:rPr>
              <w:t>Pension Benefits</w:t>
            </w:r>
          </w:p>
        </w:tc>
        <w:tc>
          <w:tcPr>
            <w:tcW w:w="6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color w:val="auto"/>
              </w:rPr>
              <w:t>Other Postretirement Benefits</w:t>
            </w:r>
          </w:p>
        </w:tc>
        <w:tc>
          <w:tcPr>
            <w:tcW w:w="46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jc w:val="center"/>
              <w:ind w:left="408"/>
              <w:spacing w:after="0"/>
              <w:rPr>
                <w:sz w:val="20"/>
                <w:szCs w:val="20"/>
                <w:color w:val="auto"/>
              </w:rPr>
            </w:pPr>
            <w:r>
              <w:rPr>
                <w:rFonts w:ascii="Arial" w:cs="Arial" w:eastAsia="Arial" w:hAnsi="Arial"/>
                <w:sz w:val="14"/>
                <w:szCs w:val="14"/>
                <w:color w:val="auto"/>
              </w:rPr>
              <w:t>Three months ended March 31,</w:t>
            </w:r>
          </w:p>
        </w:tc>
        <w:tc>
          <w:tcPr>
            <w:tcW w:w="6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3"/>
          </w:tcPr>
          <w:p>
            <w:pPr>
              <w:jc w:val="right"/>
              <w:ind w:right="102"/>
              <w:spacing w:after="0"/>
              <w:rPr>
                <w:sz w:val="20"/>
                <w:szCs w:val="20"/>
                <w:color w:val="auto"/>
              </w:rPr>
            </w:pPr>
            <w:r>
              <w:rPr>
                <w:rFonts w:ascii="Arial" w:cs="Arial" w:eastAsia="Arial" w:hAnsi="Arial"/>
                <w:sz w:val="14"/>
                <w:szCs w:val="14"/>
                <w:color w:val="auto"/>
              </w:rPr>
              <w:t>Three months ended March 31,</w:t>
            </w:r>
          </w:p>
        </w:tc>
        <w:tc>
          <w:tcPr>
            <w:tcW w:w="460" w:type="dxa"/>
            <w:vAlign w:val="bottom"/>
            <w:tcBorders>
              <w:bottom w:val="single" w:sz="8" w:color="auto"/>
            </w:tcBorders>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2013</w:t>
            </w: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color w:val="auto"/>
              </w:rPr>
              <w:t>2012</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2013</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color w:val="auto"/>
              </w:rPr>
              <w:t>2012</w:t>
            </w:r>
          </w:p>
        </w:tc>
        <w:tc>
          <w:tcPr>
            <w:tcW w:w="460" w:type="dxa"/>
            <w:vAlign w:val="bottom"/>
            <w:tcBorders>
              <w:bottom w:val="single" w:sz="8" w:color="auto"/>
            </w:tcBorders>
          </w:tcPr>
          <w:p>
            <w:pPr>
              <w:spacing w:after="0"/>
              <w:rPr>
                <w:sz w:val="19"/>
                <w:szCs w:val="19"/>
                <w:color w:val="auto"/>
              </w:rPr>
            </w:pPr>
          </w:p>
        </w:tc>
      </w:tr>
      <w:tr>
        <w:trPr>
          <w:trHeight w:val="197"/>
        </w:trPr>
        <w:tc>
          <w:tcPr>
            <w:tcW w:w="4700" w:type="dxa"/>
            <w:vAlign w:val="bottom"/>
            <w:gridSpan w:val="2"/>
          </w:tcPr>
          <w:p>
            <w:pPr>
              <w:spacing w:after="0"/>
              <w:rPr>
                <w:sz w:val="20"/>
                <w:szCs w:val="20"/>
                <w:color w:val="auto"/>
              </w:rPr>
            </w:pPr>
            <w:r>
              <w:rPr>
                <w:rFonts w:ascii="Arial" w:cs="Arial" w:eastAsia="Arial" w:hAnsi="Arial"/>
                <w:sz w:val="16"/>
                <w:szCs w:val="16"/>
                <w:color w:val="auto"/>
              </w:rPr>
              <w:t>Service cost</w:t>
            </w:r>
          </w:p>
        </w:tc>
        <w:tc>
          <w:tcPr>
            <w:tcW w:w="1080" w:type="dxa"/>
            <w:vAlign w:val="bottom"/>
            <w:gridSpan w:val="2"/>
          </w:tcPr>
          <w:p>
            <w:pPr>
              <w:jc w:val="right"/>
              <w:ind w:right="748"/>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1140" w:type="dxa"/>
            <w:vAlign w:val="bottom"/>
          </w:tcPr>
          <w:p>
            <w:pPr>
              <w:jc w:val="right"/>
              <w:ind w:right="842"/>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7</w:t>
            </w:r>
          </w:p>
        </w:tc>
        <w:tc>
          <w:tcPr>
            <w:tcW w:w="1100" w:type="dxa"/>
            <w:vAlign w:val="bottom"/>
          </w:tcPr>
          <w:p>
            <w:pPr>
              <w:jc w:val="right"/>
              <w:ind w:right="784"/>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60" w:type="dxa"/>
            <w:vAlign w:val="bottom"/>
          </w:tcPr>
          <w:p>
            <w:pPr>
              <w:jc w:val="right"/>
              <w:ind w:right="782"/>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4700" w:type="dxa"/>
            <w:vAlign w:val="bottom"/>
            <w:gridSpan w:val="2"/>
          </w:tcPr>
          <w:p>
            <w:pPr>
              <w:spacing w:after="0"/>
              <w:rPr>
                <w:sz w:val="20"/>
                <w:szCs w:val="20"/>
                <w:color w:val="auto"/>
              </w:rPr>
            </w:pPr>
            <w:r>
              <w:rPr>
                <w:rFonts w:ascii="Arial" w:cs="Arial" w:eastAsia="Arial" w:hAnsi="Arial"/>
                <w:sz w:val="16"/>
                <w:szCs w:val="16"/>
                <w:color w:val="auto"/>
              </w:rPr>
              <w:t>Interest cost</w:t>
            </w: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140" w:type="dxa"/>
            <w:vAlign w:val="bottom"/>
          </w:tcPr>
          <w:p>
            <w:pPr>
              <w:spacing w:after="0"/>
              <w:rPr>
                <w:sz w:val="18"/>
                <w:szCs w:val="18"/>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12</w:t>
            </w:r>
          </w:p>
        </w:tc>
        <w:tc>
          <w:tcPr>
            <w:tcW w:w="110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4700" w:type="dxa"/>
            <w:vAlign w:val="bottom"/>
            <w:gridSpan w:val="2"/>
          </w:tcPr>
          <w:p>
            <w:pPr>
              <w:spacing w:after="0"/>
              <w:rPr>
                <w:sz w:val="20"/>
                <w:szCs w:val="20"/>
                <w:color w:val="auto"/>
              </w:rPr>
            </w:pPr>
            <w:r>
              <w:rPr>
                <w:rFonts w:ascii="Arial" w:cs="Arial" w:eastAsia="Arial" w:hAnsi="Arial"/>
                <w:sz w:val="16"/>
                <w:szCs w:val="16"/>
                <w:color w:val="auto"/>
              </w:rPr>
              <w:t>Expected return on assets</w:t>
            </w: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w:t>
            </w:r>
          </w:p>
        </w:tc>
        <w:tc>
          <w:tcPr>
            <w:tcW w:w="1140" w:type="dxa"/>
            <w:vAlign w:val="bottom"/>
          </w:tcPr>
          <w:p>
            <w:pPr>
              <w:spacing w:after="0"/>
              <w:rPr>
                <w:sz w:val="18"/>
                <w:szCs w:val="18"/>
                <w:color w:val="auto"/>
              </w:rPr>
            </w:pPr>
          </w:p>
        </w:tc>
        <w:tc>
          <w:tcPr>
            <w:tcW w:w="620" w:type="dxa"/>
            <w:vAlign w:val="bottom"/>
          </w:tcPr>
          <w:p>
            <w:pPr>
              <w:ind w:left="240"/>
              <w:spacing w:after="0"/>
              <w:rPr>
                <w:sz w:val="20"/>
                <w:szCs w:val="20"/>
                <w:color w:val="auto"/>
              </w:rPr>
            </w:pPr>
            <w:r>
              <w:rPr>
                <w:rFonts w:ascii="Arial" w:cs="Arial" w:eastAsia="Arial" w:hAnsi="Arial"/>
                <w:sz w:val="16"/>
                <w:szCs w:val="16"/>
                <w:color w:val="auto"/>
              </w:rPr>
              <w:t>(12)</w:t>
            </w: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4700" w:type="dxa"/>
            <w:vAlign w:val="bottom"/>
            <w:gridSpan w:val="2"/>
          </w:tcPr>
          <w:p>
            <w:pPr>
              <w:spacing w:after="0"/>
              <w:rPr>
                <w:sz w:val="20"/>
                <w:szCs w:val="20"/>
                <w:color w:val="auto"/>
              </w:rPr>
            </w:pPr>
            <w:r>
              <w:rPr>
                <w:rFonts w:ascii="Arial" w:cs="Arial" w:eastAsia="Arial" w:hAnsi="Arial"/>
                <w:sz w:val="16"/>
                <w:szCs w:val="16"/>
                <w:color w:val="auto"/>
              </w:rPr>
              <w:t>Amortization of:</w:t>
            </w: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6"/>
                <w:szCs w:val="16"/>
                <w:color w:val="auto"/>
              </w:rPr>
              <w:t>Prior service cost</w:t>
            </w: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8"/>
                <w:szCs w:val="18"/>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6"/>
                <w:szCs w:val="16"/>
                <w:color w:val="auto"/>
              </w:rPr>
              <w:t>Actuarial loss</w:t>
            </w: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1140" w:type="dxa"/>
            <w:vAlign w:val="bottom"/>
          </w:tcPr>
          <w:p>
            <w:pPr>
              <w:spacing w:after="0"/>
              <w:rPr>
                <w:sz w:val="18"/>
                <w:szCs w:val="18"/>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110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70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(10)</w:t>
            </w:r>
          </w:p>
        </w:tc>
        <w:tc>
          <w:tcPr>
            <w:tcW w:w="1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Total net periodic benefit cost</w:t>
            </w:r>
          </w:p>
        </w:tc>
        <w:tc>
          <w:tcPr>
            <w:tcW w:w="1080" w:type="dxa"/>
            <w:vAlign w:val="bottom"/>
            <w:tcBorders>
              <w:bottom w:val="single" w:sz="8" w:color="auto"/>
            </w:tcBorders>
            <w:gridSpan w:val="2"/>
          </w:tcPr>
          <w:p>
            <w:pPr>
              <w:jc w:val="right"/>
              <w:ind w:right="748"/>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w:t>
            </w:r>
          </w:p>
        </w:tc>
        <w:tc>
          <w:tcPr>
            <w:tcW w:w="1140" w:type="dxa"/>
            <w:vAlign w:val="bottom"/>
            <w:tcBorders>
              <w:bottom w:val="single" w:sz="8" w:color="auto"/>
            </w:tcBorders>
          </w:tcPr>
          <w:p>
            <w:pPr>
              <w:jc w:val="right"/>
              <w:ind w:right="84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c>
          <w:tcPr>
            <w:tcW w:w="1100" w:type="dxa"/>
            <w:vAlign w:val="bottom"/>
            <w:tcBorders>
              <w:bottom w:val="single" w:sz="8" w:color="auto"/>
            </w:tcBorders>
          </w:tcPr>
          <w:p>
            <w:pPr>
              <w:jc w:val="right"/>
              <w:ind w:right="784"/>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060" w:type="dxa"/>
            <w:vAlign w:val="bottom"/>
            <w:tcBorders>
              <w:bottom w:val="single" w:sz="8" w:color="auto"/>
            </w:tcBorders>
          </w:tcPr>
          <w:p>
            <w:pPr>
              <w:jc w:val="right"/>
              <w:ind w:right="78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1"/>
        </w:trPr>
        <w:tc>
          <w:tcPr>
            <w:tcW w:w="4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r>
      <w:tr>
        <w:trPr>
          <w:trHeight w:val="173"/>
        </w:trPr>
        <w:tc>
          <w:tcPr>
            <w:tcW w:w="20" w:type="dxa"/>
            <w:vAlign w:val="bottom"/>
          </w:tcPr>
          <w:p>
            <w:pPr>
              <w:spacing w:after="0"/>
              <w:rPr>
                <w:sz w:val="15"/>
                <w:szCs w:val="15"/>
                <w:color w:val="auto"/>
              </w:rPr>
            </w:pPr>
          </w:p>
        </w:tc>
        <w:tc>
          <w:tcPr>
            <w:tcW w:w="4680" w:type="dxa"/>
            <w:vAlign w:val="bottom"/>
            <w:shd w:val="clear" w:color="auto" w:fill="C0C0C0"/>
          </w:tcPr>
          <w:p>
            <w:pPr>
              <w:spacing w:after="0" w:line="174" w:lineRule="exact"/>
              <w:rPr>
                <w:sz w:val="20"/>
                <w:szCs w:val="20"/>
                <w:color w:val="auto"/>
              </w:rPr>
            </w:pPr>
            <w:r>
              <w:rPr>
                <w:rFonts w:ascii="Arial" w:cs="Arial" w:eastAsia="Arial" w:hAnsi="Arial"/>
                <w:sz w:val="16"/>
                <w:szCs w:val="16"/>
                <w:b w:val="1"/>
                <w:bCs w:val="1"/>
                <w:color w:val="auto"/>
              </w:rPr>
              <w:t>NET PERIODIC BENEFIT COST – SOCALGAS</w:t>
            </w:r>
          </w:p>
        </w:tc>
        <w:tc>
          <w:tcPr>
            <w:tcW w:w="40" w:type="dxa"/>
            <w:vAlign w:val="bottom"/>
            <w:shd w:val="clear" w:color="auto" w:fill="C0C0C0"/>
          </w:tcPr>
          <w:p>
            <w:pPr>
              <w:spacing w:after="0"/>
              <w:rPr>
                <w:sz w:val="15"/>
                <w:szCs w:val="15"/>
                <w:color w:val="auto"/>
              </w:rPr>
            </w:pPr>
          </w:p>
        </w:tc>
        <w:tc>
          <w:tcPr>
            <w:tcW w:w="1040" w:type="dxa"/>
            <w:vAlign w:val="bottom"/>
            <w:shd w:val="clear" w:color="auto" w:fill="C0C0C0"/>
          </w:tcPr>
          <w:p>
            <w:pPr>
              <w:spacing w:after="0"/>
              <w:rPr>
                <w:sz w:val="15"/>
                <w:szCs w:val="15"/>
                <w:color w:val="auto"/>
              </w:rPr>
            </w:pPr>
          </w:p>
        </w:tc>
        <w:tc>
          <w:tcPr>
            <w:tcW w:w="680" w:type="dxa"/>
            <w:vAlign w:val="bottom"/>
            <w:shd w:val="clear" w:color="auto" w:fill="C0C0C0"/>
          </w:tcPr>
          <w:p>
            <w:pPr>
              <w:spacing w:after="0"/>
              <w:rPr>
                <w:sz w:val="15"/>
                <w:szCs w:val="15"/>
                <w:color w:val="auto"/>
              </w:rPr>
            </w:pPr>
          </w:p>
        </w:tc>
        <w:tc>
          <w:tcPr>
            <w:tcW w:w="1140" w:type="dxa"/>
            <w:vAlign w:val="bottom"/>
            <w:shd w:val="clear" w:color="auto" w:fill="C0C0C0"/>
          </w:tcPr>
          <w:p>
            <w:pPr>
              <w:spacing w:after="0"/>
              <w:rPr>
                <w:sz w:val="15"/>
                <w:szCs w:val="15"/>
                <w:color w:val="auto"/>
              </w:rPr>
            </w:pPr>
          </w:p>
        </w:tc>
        <w:tc>
          <w:tcPr>
            <w:tcW w:w="620" w:type="dxa"/>
            <w:vAlign w:val="bottom"/>
            <w:shd w:val="clear" w:color="auto" w:fill="C0C0C0"/>
          </w:tcPr>
          <w:p>
            <w:pPr>
              <w:spacing w:after="0"/>
              <w:rPr>
                <w:sz w:val="15"/>
                <w:szCs w:val="15"/>
                <w:color w:val="auto"/>
              </w:rPr>
            </w:pPr>
          </w:p>
        </w:tc>
        <w:tc>
          <w:tcPr>
            <w:tcW w:w="1100" w:type="dxa"/>
            <w:vAlign w:val="bottom"/>
            <w:shd w:val="clear" w:color="auto" w:fill="C0C0C0"/>
          </w:tcPr>
          <w:p>
            <w:pPr>
              <w:spacing w:after="0"/>
              <w:rPr>
                <w:sz w:val="15"/>
                <w:szCs w:val="15"/>
                <w:color w:val="auto"/>
              </w:rPr>
            </w:pPr>
          </w:p>
        </w:tc>
        <w:tc>
          <w:tcPr>
            <w:tcW w:w="580" w:type="dxa"/>
            <w:vAlign w:val="bottom"/>
            <w:shd w:val="clear" w:color="auto" w:fill="C0C0C0"/>
          </w:tcPr>
          <w:p>
            <w:pPr>
              <w:spacing w:after="0"/>
              <w:rPr>
                <w:sz w:val="15"/>
                <w:szCs w:val="15"/>
                <w:color w:val="auto"/>
              </w:rPr>
            </w:pPr>
          </w:p>
        </w:tc>
        <w:tc>
          <w:tcPr>
            <w:tcW w:w="1060" w:type="dxa"/>
            <w:vAlign w:val="bottom"/>
            <w:shd w:val="clear" w:color="auto" w:fill="C0C0C0"/>
          </w:tcPr>
          <w:p>
            <w:pPr>
              <w:spacing w:after="0"/>
              <w:rPr>
                <w:sz w:val="15"/>
                <w:szCs w:val="15"/>
                <w:color w:val="auto"/>
              </w:rPr>
            </w:pPr>
          </w:p>
        </w:tc>
        <w:tc>
          <w:tcPr>
            <w:tcW w:w="460" w:type="dxa"/>
            <w:vAlign w:val="bottom"/>
            <w:shd w:val="clear" w:color="auto" w:fill="C0C0C0"/>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468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40" w:type="dxa"/>
            <w:vAlign w:val="bottom"/>
            <w:shd w:val="clear" w:color="auto" w:fill="C0C0C0"/>
          </w:tcPr>
          <w:p>
            <w:pPr>
              <w:spacing w:after="0"/>
              <w:rPr>
                <w:sz w:val="14"/>
                <w:szCs w:val="14"/>
                <w:color w:val="auto"/>
              </w:rPr>
            </w:pPr>
          </w:p>
        </w:tc>
        <w:tc>
          <w:tcPr>
            <w:tcW w:w="1040" w:type="dxa"/>
            <w:vAlign w:val="bottom"/>
            <w:shd w:val="clear" w:color="auto" w:fill="C0C0C0"/>
          </w:tcPr>
          <w:p>
            <w:pPr>
              <w:spacing w:after="0"/>
              <w:rPr>
                <w:sz w:val="14"/>
                <w:szCs w:val="14"/>
                <w:color w:val="auto"/>
              </w:rPr>
            </w:pPr>
          </w:p>
        </w:tc>
        <w:tc>
          <w:tcPr>
            <w:tcW w:w="680" w:type="dxa"/>
            <w:vAlign w:val="bottom"/>
            <w:shd w:val="clear" w:color="auto" w:fill="C0C0C0"/>
          </w:tcPr>
          <w:p>
            <w:pPr>
              <w:spacing w:after="0"/>
              <w:rPr>
                <w:sz w:val="14"/>
                <w:szCs w:val="14"/>
                <w:color w:val="auto"/>
              </w:rPr>
            </w:pPr>
          </w:p>
        </w:tc>
        <w:tc>
          <w:tcPr>
            <w:tcW w:w="1140" w:type="dxa"/>
            <w:vAlign w:val="bottom"/>
            <w:shd w:val="clear" w:color="auto" w:fill="C0C0C0"/>
          </w:tcPr>
          <w:p>
            <w:pPr>
              <w:spacing w:after="0"/>
              <w:rPr>
                <w:sz w:val="14"/>
                <w:szCs w:val="14"/>
                <w:color w:val="auto"/>
              </w:rPr>
            </w:pPr>
          </w:p>
        </w:tc>
        <w:tc>
          <w:tcPr>
            <w:tcW w:w="620" w:type="dxa"/>
            <w:vAlign w:val="bottom"/>
            <w:shd w:val="clear" w:color="auto" w:fill="C0C0C0"/>
          </w:tcPr>
          <w:p>
            <w:pPr>
              <w:spacing w:after="0"/>
              <w:rPr>
                <w:sz w:val="14"/>
                <w:szCs w:val="14"/>
                <w:color w:val="auto"/>
              </w:rPr>
            </w:pPr>
          </w:p>
        </w:tc>
        <w:tc>
          <w:tcPr>
            <w:tcW w:w="1100" w:type="dxa"/>
            <w:vAlign w:val="bottom"/>
            <w:shd w:val="clear" w:color="auto" w:fill="C0C0C0"/>
          </w:tcPr>
          <w:p>
            <w:pPr>
              <w:spacing w:after="0"/>
              <w:rPr>
                <w:sz w:val="14"/>
                <w:szCs w:val="14"/>
                <w:color w:val="auto"/>
              </w:rPr>
            </w:pPr>
          </w:p>
        </w:tc>
        <w:tc>
          <w:tcPr>
            <w:tcW w:w="580" w:type="dxa"/>
            <w:vAlign w:val="bottom"/>
            <w:shd w:val="clear" w:color="auto" w:fill="C0C0C0"/>
          </w:tcPr>
          <w:p>
            <w:pPr>
              <w:spacing w:after="0"/>
              <w:rPr>
                <w:sz w:val="14"/>
                <w:szCs w:val="14"/>
                <w:color w:val="auto"/>
              </w:rPr>
            </w:pPr>
          </w:p>
        </w:tc>
        <w:tc>
          <w:tcPr>
            <w:tcW w:w="1060" w:type="dxa"/>
            <w:vAlign w:val="bottom"/>
            <w:shd w:val="clear" w:color="auto" w:fill="C0C0C0"/>
          </w:tcPr>
          <w:p>
            <w:pPr>
              <w:spacing w:after="0"/>
              <w:rPr>
                <w:sz w:val="14"/>
                <w:szCs w:val="14"/>
                <w:color w:val="auto"/>
              </w:rPr>
            </w:pPr>
          </w:p>
        </w:tc>
        <w:tc>
          <w:tcPr>
            <w:tcW w:w="460" w:type="dxa"/>
            <w:vAlign w:val="bottom"/>
            <w:shd w:val="clear" w:color="auto" w:fill="C0C0C0"/>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center"/>
              <w:ind w:right="502"/>
              <w:spacing w:after="0"/>
              <w:rPr>
                <w:sz w:val="20"/>
                <w:szCs w:val="20"/>
                <w:color w:val="auto"/>
              </w:rPr>
            </w:pPr>
            <w:r>
              <w:rPr>
                <w:rFonts w:ascii="Arial" w:cs="Arial" w:eastAsia="Arial" w:hAnsi="Arial"/>
                <w:sz w:val="14"/>
                <w:szCs w:val="14"/>
                <w:color w:val="auto"/>
              </w:rPr>
              <w:t>Pension Benefits</w:t>
            </w:r>
          </w:p>
        </w:tc>
        <w:tc>
          <w:tcPr>
            <w:tcW w:w="6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3"/>
          </w:tcPr>
          <w:p>
            <w:pPr>
              <w:jc w:val="right"/>
              <w:ind w:right="202"/>
              <w:spacing w:after="0"/>
              <w:rPr>
                <w:sz w:val="20"/>
                <w:szCs w:val="20"/>
                <w:color w:val="auto"/>
              </w:rPr>
            </w:pPr>
            <w:r>
              <w:rPr>
                <w:rFonts w:ascii="Arial" w:cs="Arial" w:eastAsia="Arial" w:hAnsi="Arial"/>
                <w:sz w:val="14"/>
                <w:szCs w:val="14"/>
                <w:color w:val="auto"/>
              </w:rPr>
              <w:t>Other Postretirement Benefits</w:t>
            </w:r>
          </w:p>
        </w:tc>
        <w:tc>
          <w:tcPr>
            <w:tcW w:w="46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60" w:type="dxa"/>
            <w:vAlign w:val="bottom"/>
            <w:tcBorders>
              <w:bottom w:val="single" w:sz="8" w:color="auto"/>
            </w:tcBorders>
            <w:gridSpan w:val="3"/>
          </w:tcPr>
          <w:p>
            <w:pPr>
              <w:jc w:val="center"/>
              <w:ind w:left="388"/>
              <w:spacing w:after="0"/>
              <w:rPr>
                <w:sz w:val="20"/>
                <w:szCs w:val="20"/>
                <w:color w:val="auto"/>
              </w:rPr>
            </w:pPr>
            <w:r>
              <w:rPr>
                <w:rFonts w:ascii="Arial" w:cs="Arial" w:eastAsia="Arial" w:hAnsi="Arial"/>
                <w:sz w:val="14"/>
                <w:szCs w:val="14"/>
                <w:color w:val="auto"/>
              </w:rPr>
              <w:t>Three months ended March 31,</w:t>
            </w:r>
          </w:p>
        </w:tc>
        <w:tc>
          <w:tcPr>
            <w:tcW w:w="6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3"/>
          </w:tcPr>
          <w:p>
            <w:pPr>
              <w:jc w:val="right"/>
              <w:ind w:right="142"/>
              <w:spacing w:after="0"/>
              <w:rPr>
                <w:sz w:val="20"/>
                <w:szCs w:val="20"/>
                <w:color w:val="auto"/>
              </w:rPr>
            </w:pPr>
            <w:r>
              <w:rPr>
                <w:rFonts w:ascii="Arial" w:cs="Arial" w:eastAsia="Arial" w:hAnsi="Arial"/>
                <w:sz w:val="14"/>
                <w:szCs w:val="14"/>
                <w:color w:val="auto"/>
              </w:rPr>
              <w:t>Three months ended March 31,</w:t>
            </w:r>
          </w:p>
        </w:tc>
        <w:tc>
          <w:tcPr>
            <w:tcW w:w="460" w:type="dxa"/>
            <w:vAlign w:val="bottom"/>
            <w:tcBorders>
              <w:bottom w:val="single" w:sz="8" w:color="auto"/>
            </w:tcBorders>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2013</w:t>
            </w: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color w:val="auto"/>
              </w:rPr>
              <w:t>2012</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color w:val="auto"/>
              </w:rPr>
              <w:t>2013</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2012</w:t>
            </w:r>
          </w:p>
        </w:tc>
        <w:tc>
          <w:tcPr>
            <w:tcW w:w="460" w:type="dxa"/>
            <w:vAlign w:val="bottom"/>
            <w:tcBorders>
              <w:bottom w:val="single" w:sz="8" w:color="auto"/>
            </w:tcBorders>
          </w:tcPr>
          <w:p>
            <w:pPr>
              <w:spacing w:after="0"/>
              <w:rPr>
                <w:sz w:val="19"/>
                <w:szCs w:val="19"/>
                <w:color w:val="auto"/>
              </w:rPr>
            </w:pPr>
          </w:p>
        </w:tc>
      </w:tr>
      <w:tr>
        <w:trPr>
          <w:trHeight w:val="197"/>
        </w:trPr>
        <w:tc>
          <w:tcPr>
            <w:tcW w:w="4700" w:type="dxa"/>
            <w:vAlign w:val="bottom"/>
            <w:gridSpan w:val="2"/>
          </w:tcPr>
          <w:p>
            <w:pPr>
              <w:spacing w:after="0"/>
              <w:rPr>
                <w:sz w:val="20"/>
                <w:szCs w:val="20"/>
                <w:color w:val="auto"/>
              </w:rPr>
            </w:pPr>
            <w:r>
              <w:rPr>
                <w:rFonts w:ascii="Arial" w:cs="Arial" w:eastAsia="Arial" w:hAnsi="Arial"/>
                <w:sz w:val="16"/>
                <w:szCs w:val="16"/>
                <w:color w:val="auto"/>
              </w:rPr>
              <w:t>Service cost</w:t>
            </w:r>
          </w:p>
        </w:tc>
        <w:tc>
          <w:tcPr>
            <w:tcW w:w="1080" w:type="dxa"/>
            <w:vAlign w:val="bottom"/>
            <w:gridSpan w:val="2"/>
          </w:tcPr>
          <w:p>
            <w:pPr>
              <w:jc w:val="right"/>
              <w:ind w:right="688"/>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80"/>
              <w:spacing w:after="0"/>
              <w:rPr>
                <w:sz w:val="20"/>
                <w:szCs w:val="20"/>
                <w:color w:val="auto"/>
              </w:rPr>
            </w:pPr>
            <w:r>
              <w:rPr>
                <w:rFonts w:ascii="Arial" w:cs="Arial" w:eastAsia="Arial" w:hAnsi="Arial"/>
                <w:sz w:val="16"/>
                <w:szCs w:val="16"/>
                <w:color w:val="auto"/>
              </w:rPr>
              <w:t>16</w:t>
            </w:r>
          </w:p>
        </w:tc>
        <w:tc>
          <w:tcPr>
            <w:tcW w:w="1140" w:type="dxa"/>
            <w:vAlign w:val="bottom"/>
          </w:tcPr>
          <w:p>
            <w:pPr>
              <w:jc w:val="right"/>
              <w:ind w:right="922"/>
              <w:spacing w:after="0"/>
              <w:rPr>
                <w:sz w:val="20"/>
                <w:szCs w:val="20"/>
                <w:color w:val="auto"/>
              </w:rPr>
            </w:pPr>
            <w:r>
              <w:rPr>
                <w:rFonts w:ascii="Arial" w:cs="Arial" w:eastAsia="Arial" w:hAnsi="Arial"/>
                <w:sz w:val="16"/>
                <w:szCs w:val="16"/>
                <w:color w:val="auto"/>
              </w:rPr>
              <w:t>$</w:t>
            </w:r>
          </w:p>
        </w:tc>
        <w:tc>
          <w:tcPr>
            <w:tcW w:w="620" w:type="dxa"/>
            <w:vAlign w:val="bottom"/>
          </w:tcPr>
          <w:p>
            <w:pPr>
              <w:ind w:left="240"/>
              <w:spacing w:after="0"/>
              <w:rPr>
                <w:sz w:val="20"/>
                <w:szCs w:val="20"/>
                <w:color w:val="auto"/>
              </w:rPr>
            </w:pPr>
            <w:r>
              <w:rPr>
                <w:rFonts w:ascii="Arial" w:cs="Arial" w:eastAsia="Arial" w:hAnsi="Arial"/>
                <w:sz w:val="16"/>
                <w:szCs w:val="16"/>
                <w:color w:val="auto"/>
              </w:rPr>
              <w:t>13</w:t>
            </w:r>
          </w:p>
        </w:tc>
        <w:tc>
          <w:tcPr>
            <w:tcW w:w="1100" w:type="dxa"/>
            <w:vAlign w:val="bottom"/>
          </w:tcPr>
          <w:p>
            <w:pPr>
              <w:jc w:val="right"/>
              <w:ind w:right="844"/>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1060" w:type="dxa"/>
            <w:vAlign w:val="bottom"/>
          </w:tcPr>
          <w:p>
            <w:pPr>
              <w:jc w:val="right"/>
              <w:ind w:right="822"/>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4700" w:type="dxa"/>
            <w:vAlign w:val="bottom"/>
            <w:gridSpan w:val="2"/>
          </w:tcPr>
          <w:p>
            <w:pPr>
              <w:spacing w:after="0"/>
              <w:rPr>
                <w:sz w:val="20"/>
                <w:szCs w:val="20"/>
                <w:color w:val="auto"/>
              </w:rPr>
            </w:pPr>
            <w:r>
              <w:rPr>
                <w:rFonts w:ascii="Arial" w:cs="Arial" w:eastAsia="Arial" w:hAnsi="Arial"/>
                <w:sz w:val="16"/>
                <w:szCs w:val="16"/>
                <w:color w:val="auto"/>
              </w:rPr>
              <w:t>Interest cost</w:t>
            </w: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jc w:val="right"/>
              <w:ind w:right="80"/>
              <w:spacing w:after="0"/>
              <w:rPr>
                <w:sz w:val="20"/>
                <w:szCs w:val="20"/>
                <w:color w:val="auto"/>
              </w:rPr>
            </w:pPr>
            <w:r>
              <w:rPr>
                <w:rFonts w:ascii="Arial" w:cs="Arial" w:eastAsia="Arial" w:hAnsi="Arial"/>
                <w:sz w:val="16"/>
                <w:szCs w:val="16"/>
                <w:color w:val="auto"/>
              </w:rPr>
              <w:t>23</w:t>
            </w:r>
          </w:p>
        </w:tc>
        <w:tc>
          <w:tcPr>
            <w:tcW w:w="1140" w:type="dxa"/>
            <w:vAlign w:val="bottom"/>
          </w:tcPr>
          <w:p>
            <w:pPr>
              <w:spacing w:after="0"/>
              <w:rPr>
                <w:sz w:val="18"/>
                <w:szCs w:val="18"/>
                <w:color w:val="auto"/>
              </w:rPr>
            </w:pPr>
          </w:p>
        </w:tc>
        <w:tc>
          <w:tcPr>
            <w:tcW w:w="620" w:type="dxa"/>
            <w:vAlign w:val="bottom"/>
          </w:tcPr>
          <w:p>
            <w:pPr>
              <w:ind w:left="240"/>
              <w:spacing w:after="0"/>
              <w:rPr>
                <w:sz w:val="20"/>
                <w:szCs w:val="20"/>
                <w:color w:val="auto"/>
              </w:rPr>
            </w:pPr>
            <w:r>
              <w:rPr>
                <w:rFonts w:ascii="Arial" w:cs="Arial" w:eastAsia="Arial" w:hAnsi="Arial"/>
                <w:sz w:val="16"/>
                <w:szCs w:val="16"/>
                <w:color w:val="auto"/>
              </w:rPr>
              <w:t>25</w:t>
            </w:r>
          </w:p>
        </w:tc>
        <w:tc>
          <w:tcPr>
            <w:tcW w:w="1100" w:type="dxa"/>
            <w:vAlign w:val="bottom"/>
          </w:tcPr>
          <w:p>
            <w:pPr>
              <w:spacing w:after="0"/>
              <w:rPr>
                <w:sz w:val="18"/>
                <w:szCs w:val="18"/>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9</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4700" w:type="dxa"/>
            <w:vAlign w:val="bottom"/>
            <w:gridSpan w:val="2"/>
          </w:tcPr>
          <w:p>
            <w:pPr>
              <w:spacing w:after="0"/>
              <w:rPr>
                <w:sz w:val="20"/>
                <w:szCs w:val="20"/>
                <w:color w:val="auto"/>
              </w:rPr>
            </w:pPr>
            <w:r>
              <w:rPr>
                <w:rFonts w:ascii="Arial" w:cs="Arial" w:eastAsia="Arial" w:hAnsi="Arial"/>
                <w:sz w:val="16"/>
                <w:szCs w:val="16"/>
                <w:color w:val="auto"/>
              </w:rPr>
              <w:t>Expected return on assets</w:t>
            </w: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1140" w:type="dxa"/>
            <w:vAlign w:val="bottom"/>
          </w:tcPr>
          <w:p>
            <w:pPr>
              <w:spacing w:after="0"/>
              <w:rPr>
                <w:sz w:val="18"/>
                <w:szCs w:val="18"/>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110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4700" w:type="dxa"/>
            <w:vAlign w:val="bottom"/>
            <w:gridSpan w:val="2"/>
          </w:tcPr>
          <w:p>
            <w:pPr>
              <w:spacing w:after="0"/>
              <w:rPr>
                <w:sz w:val="20"/>
                <w:szCs w:val="20"/>
                <w:color w:val="auto"/>
              </w:rPr>
            </w:pPr>
            <w:r>
              <w:rPr>
                <w:rFonts w:ascii="Arial" w:cs="Arial" w:eastAsia="Arial" w:hAnsi="Arial"/>
                <w:sz w:val="16"/>
                <w:szCs w:val="16"/>
                <w:color w:val="auto"/>
              </w:rPr>
              <w:t>Amortization of:</w:t>
            </w: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6"/>
                <w:szCs w:val="16"/>
                <w:color w:val="auto"/>
              </w:rPr>
              <w:t>Prior service cost (credit)</w:t>
            </w: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114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110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6"/>
                <w:szCs w:val="16"/>
                <w:color w:val="auto"/>
              </w:rPr>
              <w:t>Actuarial loss</w:t>
            </w: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jc w:val="right"/>
              <w:ind w:right="80"/>
              <w:spacing w:after="0"/>
              <w:rPr>
                <w:sz w:val="20"/>
                <w:szCs w:val="20"/>
                <w:color w:val="auto"/>
              </w:rPr>
            </w:pPr>
            <w:r>
              <w:rPr>
                <w:rFonts w:ascii="Arial" w:cs="Arial" w:eastAsia="Arial" w:hAnsi="Arial"/>
                <w:sz w:val="16"/>
                <w:szCs w:val="16"/>
                <w:color w:val="auto"/>
              </w:rPr>
              <w:t>9</w:t>
            </w:r>
          </w:p>
        </w:tc>
        <w:tc>
          <w:tcPr>
            <w:tcW w:w="114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6</w:t>
            </w:r>
          </w:p>
        </w:tc>
        <w:tc>
          <w:tcPr>
            <w:tcW w:w="1100" w:type="dxa"/>
            <w:vAlign w:val="bottom"/>
          </w:tcPr>
          <w:p>
            <w:pPr>
              <w:spacing w:after="0"/>
              <w:rPr>
                <w:sz w:val="18"/>
                <w:szCs w:val="18"/>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470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w:t>
            </w:r>
          </w:p>
        </w:tc>
        <w:tc>
          <w:tcPr>
            <w:tcW w:w="1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w:t>
            </w: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189"/>
        </w:trPr>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Total net periodic benefit cost</w:t>
            </w:r>
          </w:p>
        </w:tc>
        <w:tc>
          <w:tcPr>
            <w:tcW w:w="1080" w:type="dxa"/>
            <w:vAlign w:val="bottom"/>
            <w:tcBorders>
              <w:bottom w:val="single" w:sz="8" w:color="auto"/>
            </w:tcBorders>
            <w:gridSpan w:val="2"/>
          </w:tcPr>
          <w:p>
            <w:pPr>
              <w:jc w:val="right"/>
              <w:ind w:right="688"/>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92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w:t>
            </w:r>
          </w:p>
        </w:tc>
        <w:tc>
          <w:tcPr>
            <w:tcW w:w="1100" w:type="dxa"/>
            <w:vAlign w:val="bottom"/>
            <w:tcBorders>
              <w:bottom w:val="single" w:sz="8" w:color="auto"/>
            </w:tcBorders>
          </w:tcPr>
          <w:p>
            <w:pPr>
              <w:jc w:val="right"/>
              <w:ind w:right="844"/>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w:t>
            </w:r>
          </w:p>
        </w:tc>
        <w:tc>
          <w:tcPr>
            <w:tcW w:w="106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1"/>
        </w:trPr>
        <w:tc>
          <w:tcPr>
            <w:tcW w:w="20" w:type="dxa"/>
            <w:vAlign w:val="bottom"/>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Benefit Plan Contributions</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our year-to-date contributions to pension and other postretirement benefit plans and the amounts we expect to contribute in 2013:</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1560" w:type="dxa"/>
            <w:vAlign w:val="bottom"/>
          </w:tcPr>
          <w:p>
            <w:pPr>
              <w:spacing w:after="0"/>
              <w:rPr>
                <w:sz w:val="14"/>
                <w:szCs w:val="14"/>
                <w:color w:val="auto"/>
              </w:rPr>
            </w:pPr>
          </w:p>
        </w:tc>
        <w:tc>
          <w:tcPr>
            <w:tcW w:w="1700" w:type="dxa"/>
            <w:vAlign w:val="bottom"/>
          </w:tcPr>
          <w:p>
            <w:pPr>
              <w:jc w:val="right"/>
              <w:ind w:right="523"/>
              <w:spacing w:after="0"/>
              <w:rPr>
                <w:sz w:val="20"/>
                <w:szCs w:val="20"/>
                <w:color w:val="auto"/>
              </w:rPr>
            </w:pPr>
            <w:r>
              <w:rPr>
                <w:rFonts w:ascii="Arial" w:cs="Arial" w:eastAsia="Arial" w:hAnsi="Arial"/>
                <w:sz w:val="14"/>
                <w:szCs w:val="14"/>
                <w:color w:val="auto"/>
              </w:rPr>
              <w:t>Sempra Energy</w:t>
            </w:r>
          </w:p>
        </w:tc>
        <w:tc>
          <w:tcPr>
            <w:tcW w:w="4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140" w:type="dxa"/>
            <w:vAlign w:val="bottom"/>
            <w:tcBorders>
              <w:bottom w:val="single" w:sz="8" w:color="auto"/>
            </w:tcBorders>
            <w:vMerge w:val="continue"/>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603"/>
              <w:spacing w:after="0" w:line="157" w:lineRule="exact"/>
              <w:rPr>
                <w:sz w:val="20"/>
                <w:szCs w:val="20"/>
                <w:color w:val="auto"/>
              </w:rPr>
            </w:pPr>
            <w:r>
              <w:rPr>
                <w:rFonts w:ascii="Arial" w:cs="Arial" w:eastAsia="Arial" w:hAnsi="Arial"/>
                <w:sz w:val="14"/>
                <w:szCs w:val="14"/>
                <w:color w:val="auto"/>
              </w:rPr>
              <w:t>Consolidated</w:t>
            </w:r>
          </w:p>
        </w:tc>
        <w:tc>
          <w:tcPr>
            <w:tcW w:w="4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right"/>
              <w:ind w:right="1202"/>
              <w:spacing w:after="0" w:line="157" w:lineRule="exact"/>
              <w:rPr>
                <w:sz w:val="20"/>
                <w:szCs w:val="20"/>
                <w:color w:val="auto"/>
              </w:rPr>
            </w:pPr>
            <w:r>
              <w:rPr>
                <w:rFonts w:ascii="Arial" w:cs="Arial" w:eastAsia="Arial" w:hAnsi="Arial"/>
                <w:sz w:val="14"/>
                <w:szCs w:val="14"/>
                <w:color w:val="auto"/>
              </w:rPr>
              <w:t>SDG&amp;E</w:t>
            </w:r>
          </w:p>
        </w:tc>
        <w:tc>
          <w:tcPr>
            <w:tcW w:w="1560" w:type="dxa"/>
            <w:vAlign w:val="bottom"/>
            <w:tcBorders>
              <w:bottom w:val="single" w:sz="8" w:color="auto"/>
            </w:tcBorders>
          </w:tcPr>
          <w:p>
            <w:pPr>
              <w:jc w:val="right"/>
              <w:ind w:right="622"/>
              <w:spacing w:after="0" w:line="157" w:lineRule="exact"/>
              <w:rPr>
                <w:sz w:val="20"/>
                <w:szCs w:val="20"/>
                <w:color w:val="auto"/>
              </w:rPr>
            </w:pPr>
            <w:r>
              <w:rPr>
                <w:rFonts w:ascii="Arial" w:cs="Arial" w:eastAsia="Arial" w:hAnsi="Arial"/>
                <w:sz w:val="14"/>
                <w:szCs w:val="14"/>
                <w:color w:val="auto"/>
              </w:rPr>
              <w:t>SoCalGas</w:t>
            </w:r>
          </w:p>
        </w:tc>
        <w:tc>
          <w:tcPr>
            <w:tcW w:w="0" w:type="dxa"/>
            <w:vAlign w:val="bottom"/>
          </w:tcPr>
          <w:p>
            <w:pPr>
              <w:spacing w:after="0"/>
              <w:rPr>
                <w:sz w:val="1"/>
                <w:szCs w:val="1"/>
                <w:color w:val="auto"/>
              </w:rPr>
            </w:pPr>
          </w:p>
        </w:tc>
      </w:tr>
      <w:tr>
        <w:trPr>
          <w:trHeight w:val="218"/>
        </w:trPr>
        <w:tc>
          <w:tcPr>
            <w:tcW w:w="4140" w:type="dxa"/>
            <w:vAlign w:val="bottom"/>
          </w:tcPr>
          <w:p>
            <w:pPr>
              <w:spacing w:after="0"/>
              <w:rPr>
                <w:sz w:val="20"/>
                <w:szCs w:val="20"/>
                <w:color w:val="auto"/>
              </w:rPr>
            </w:pPr>
            <w:r>
              <w:rPr>
                <w:rFonts w:ascii="Arial" w:cs="Arial" w:eastAsia="Arial" w:hAnsi="Arial"/>
                <w:sz w:val="16"/>
                <w:szCs w:val="16"/>
                <w:color w:val="auto"/>
              </w:rPr>
              <w:t>Contributions through March 31, 2013:</w:t>
            </w:r>
          </w:p>
        </w:tc>
        <w:tc>
          <w:tcPr>
            <w:tcW w:w="1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140" w:type="dxa"/>
            <w:vAlign w:val="bottom"/>
          </w:tcPr>
          <w:p>
            <w:pPr>
              <w:ind w:left="180"/>
              <w:spacing w:after="0"/>
              <w:rPr>
                <w:sz w:val="20"/>
                <w:szCs w:val="20"/>
                <w:color w:val="auto"/>
              </w:rPr>
            </w:pPr>
            <w:r>
              <w:rPr>
                <w:rFonts w:ascii="Arial" w:cs="Arial" w:eastAsia="Arial" w:hAnsi="Arial"/>
                <w:sz w:val="16"/>
                <w:szCs w:val="16"/>
                <w:color w:val="auto"/>
              </w:rPr>
              <w:t>Pension plans</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63"/>
              <w:spacing w:after="0"/>
              <w:rPr>
                <w:sz w:val="20"/>
                <w:szCs w:val="20"/>
                <w:color w:val="auto"/>
              </w:rPr>
            </w:pPr>
            <w:r>
              <w:rPr>
                <w:rFonts w:ascii="Arial" w:cs="Arial" w:eastAsia="Arial" w:hAnsi="Arial"/>
                <w:sz w:val="16"/>
                <w:szCs w:val="16"/>
                <w:color w:val="auto"/>
              </w:rPr>
              <w:t>11</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122"/>
              <w:spacing w:after="0"/>
              <w:rPr>
                <w:sz w:val="20"/>
                <w:szCs w:val="20"/>
                <w:color w:val="auto"/>
              </w:rPr>
            </w:pPr>
            <w:r>
              <w:rPr>
                <w:rFonts w:ascii="Arial" w:cs="Arial" w:eastAsia="Arial" w:hAnsi="Arial"/>
                <w:sz w:val="16"/>
                <w:szCs w:val="16"/>
                <w:color w:val="auto"/>
              </w:rPr>
              <w:t>―   $</w:t>
            </w:r>
          </w:p>
        </w:tc>
        <w:tc>
          <w:tcPr>
            <w:tcW w:w="15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6"/>
                <w:szCs w:val="16"/>
                <w:color w:val="auto"/>
              </w:rPr>
              <w:t>Other postretirement benefit plans</w:t>
            </w:r>
          </w:p>
        </w:tc>
        <w:tc>
          <w:tcPr>
            <w:tcW w:w="1560" w:type="dxa"/>
            <w:vAlign w:val="bottom"/>
          </w:tcPr>
          <w:p>
            <w:pPr>
              <w:spacing w:after="0"/>
              <w:rPr>
                <w:sz w:val="18"/>
                <w:szCs w:val="18"/>
                <w:color w:val="auto"/>
              </w:rPr>
            </w:pPr>
          </w:p>
        </w:tc>
        <w:tc>
          <w:tcPr>
            <w:tcW w:w="1700" w:type="dxa"/>
            <w:vAlign w:val="bottom"/>
          </w:tcPr>
          <w:p>
            <w:pPr>
              <w:jc w:val="right"/>
              <w:ind w:right="63"/>
              <w:spacing w:after="0"/>
              <w:rPr>
                <w:sz w:val="20"/>
                <w:szCs w:val="20"/>
                <w:color w:val="auto"/>
              </w:rPr>
            </w:pPr>
            <w:r>
              <w:rPr>
                <w:rFonts w:ascii="Arial" w:cs="Arial" w:eastAsia="Arial" w:hAnsi="Arial"/>
                <w:sz w:val="16"/>
                <w:szCs w:val="16"/>
                <w:color w:val="auto"/>
              </w:rPr>
              <w:t>7</w:t>
            </w:r>
          </w:p>
        </w:tc>
        <w:tc>
          <w:tcPr>
            <w:tcW w:w="440" w:type="dxa"/>
            <w:vAlign w:val="bottom"/>
          </w:tcPr>
          <w:p>
            <w:pPr>
              <w:spacing w:after="0"/>
              <w:rPr>
                <w:sz w:val="18"/>
                <w:szCs w:val="18"/>
                <w:color w:val="auto"/>
              </w:rPr>
            </w:pPr>
          </w:p>
        </w:tc>
        <w:tc>
          <w:tcPr>
            <w:tcW w:w="2020" w:type="dxa"/>
            <w:vAlign w:val="bottom"/>
          </w:tcPr>
          <w:p>
            <w:pPr>
              <w:jc w:val="right"/>
              <w:ind w:right="482"/>
              <w:spacing w:after="0"/>
              <w:rPr>
                <w:sz w:val="20"/>
                <w:szCs w:val="20"/>
                <w:color w:val="auto"/>
              </w:rPr>
            </w:pPr>
            <w:r>
              <w:rPr>
                <w:rFonts w:ascii="Arial" w:cs="Arial" w:eastAsia="Arial" w:hAnsi="Arial"/>
                <w:sz w:val="16"/>
                <w:szCs w:val="16"/>
                <w:color w:val="auto"/>
              </w:rPr>
              <w:t>3</w:t>
            </w:r>
          </w:p>
        </w:tc>
        <w:tc>
          <w:tcPr>
            <w:tcW w:w="15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60" w:type="dxa"/>
            <w:vAlign w:val="bottom"/>
          </w:tcPr>
          <w:p>
            <w:pPr>
              <w:jc w:val="right"/>
              <w:ind w:right="1339"/>
              <w:spacing w:after="0"/>
              <w:rPr>
                <w:sz w:val="20"/>
                <w:szCs w:val="20"/>
                <w:color w:val="auto"/>
              </w:rPr>
            </w:pPr>
            <w:r>
              <w:rPr>
                <w:rFonts w:ascii="Arial" w:cs="Arial" w:eastAsia="Arial" w:hAnsi="Arial"/>
                <w:sz w:val="16"/>
                <w:szCs w:val="16"/>
                <w:color w:val="auto"/>
              </w:rPr>
              <w:t>Total expected contributions in 2013:</w:t>
            </w:r>
          </w:p>
        </w:tc>
        <w:tc>
          <w:tcPr>
            <w:tcW w:w="2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4060" w:type="dxa"/>
            <w:vAlign w:val="bottom"/>
          </w:tcPr>
          <w:p>
            <w:pPr>
              <w:jc w:val="right"/>
              <w:ind w:right="2779"/>
              <w:spacing w:after="0"/>
              <w:rPr>
                <w:sz w:val="20"/>
                <w:szCs w:val="20"/>
                <w:color w:val="auto"/>
              </w:rPr>
            </w:pPr>
            <w:r>
              <w:rPr>
                <w:rFonts w:ascii="Arial" w:cs="Arial" w:eastAsia="Arial" w:hAnsi="Arial"/>
                <w:sz w:val="16"/>
                <w:szCs w:val="16"/>
                <w:color w:val="auto"/>
              </w:rPr>
              <w:t>Pension plans</w:t>
            </w:r>
          </w:p>
        </w:tc>
        <w:tc>
          <w:tcPr>
            <w:tcW w:w="22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154</w:t>
            </w:r>
          </w:p>
        </w:tc>
        <w:tc>
          <w:tcPr>
            <w:tcW w:w="96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57</w:t>
            </w:r>
          </w:p>
        </w:tc>
        <w:tc>
          <w:tcPr>
            <w:tcW w:w="9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09"/>
        </w:trPr>
        <w:tc>
          <w:tcPr>
            <w:tcW w:w="4060" w:type="dxa"/>
            <w:vAlign w:val="bottom"/>
            <w:tcBorders>
              <w:bottom w:val="single" w:sz="8" w:color="auto"/>
            </w:tcBorders>
          </w:tcPr>
          <w:p>
            <w:pPr>
              <w:jc w:val="right"/>
              <w:ind w:right="1339"/>
              <w:spacing w:after="0"/>
              <w:rPr>
                <w:sz w:val="20"/>
                <w:szCs w:val="20"/>
                <w:color w:val="auto"/>
              </w:rPr>
            </w:pPr>
            <w:r>
              <w:rPr>
                <w:rFonts w:ascii="Arial" w:cs="Arial" w:eastAsia="Arial" w:hAnsi="Arial"/>
                <w:sz w:val="16"/>
                <w:szCs w:val="16"/>
                <w:color w:val="auto"/>
              </w:rPr>
              <w:t>Other postretirement benefit plans</w:t>
            </w:r>
          </w:p>
        </w:tc>
        <w:tc>
          <w:tcPr>
            <w:tcW w:w="2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w:t>
            </w:r>
          </w:p>
        </w:tc>
        <w:tc>
          <w:tcPr>
            <w:tcW w:w="9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w:t>
            </w:r>
          </w:p>
        </w:tc>
        <w:tc>
          <w:tcPr>
            <w:tcW w:w="9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1"/>
        </w:trPr>
        <w:tc>
          <w:tcPr>
            <w:tcW w:w="40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RABBI TRUST</w:t>
      </w:r>
    </w:p>
    <w:p>
      <w:pPr>
        <w:spacing w:after="0" w:line="2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support of its Supplemental Executive Retirement, Cash Balance Restoration and Deferred Compensation Plans, Sempra Energy maintains dedicated assets, including investments in life insurance contracts, in a Rabbi Trust, which trust totaled $492 million and $510 million at March 31, 2013 and December 31, 2012, respectively.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4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following table provides the per share computations for our earnings for the three months ended March 31, 2013 and 2012. Basic earnings per common share (EPS) is calculated by dividing earnings attributable to common stock by the weighted-average number of common shares outstanding for the period. Diluted EPS includes the potential dilution of common stock equivalent shares that could occur if securities or other contracts to issue common stock were exercised or converted into common stock.</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PER SHARE COMPUTATIONS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per share amounts; shares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160" w:type="dxa"/>
            <w:vAlign w:val="bottom"/>
          </w:tcPr>
          <w:p>
            <w:pPr>
              <w:spacing w:after="0"/>
              <w:rPr>
                <w:sz w:val="14"/>
                <w:szCs w:val="14"/>
                <w:color w:val="auto"/>
              </w:rPr>
            </w:pPr>
          </w:p>
        </w:tc>
        <w:tc>
          <w:tcPr>
            <w:tcW w:w="2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 March 31,</w:t>
            </w:r>
          </w:p>
        </w:tc>
        <w:tc>
          <w:tcPr>
            <w:tcW w:w="640" w:type="dxa"/>
            <w:vAlign w:val="bottom"/>
            <w:tcBorders>
              <w:bottom w:val="single" w:sz="8" w:color="auto"/>
            </w:tcBorders>
          </w:tcPr>
          <w:p>
            <w:pPr>
              <w:spacing w:after="0"/>
              <w:rPr>
                <w:sz w:val="14"/>
                <w:szCs w:val="14"/>
                <w:color w:val="auto"/>
              </w:rPr>
            </w:pPr>
          </w:p>
        </w:tc>
      </w:tr>
      <w:tr>
        <w:trPr>
          <w:trHeight w:val="223"/>
        </w:trPr>
        <w:tc>
          <w:tcPr>
            <w:tcW w:w="8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640" w:type="dxa"/>
            <w:vAlign w:val="bottom"/>
            <w:tcBorders>
              <w:bottom w:val="single" w:sz="8" w:color="auto"/>
            </w:tcBorders>
          </w:tcPr>
          <w:p>
            <w:pPr>
              <w:spacing w:after="0"/>
              <w:rPr>
                <w:sz w:val="19"/>
                <w:szCs w:val="19"/>
                <w:color w:val="auto"/>
              </w:rPr>
            </w:pPr>
          </w:p>
        </w:tc>
      </w:tr>
      <w:tr>
        <w:trPr>
          <w:trHeight w:val="218"/>
        </w:trPr>
        <w:tc>
          <w:tcPr>
            <w:tcW w:w="8160" w:type="dxa"/>
            <w:vAlign w:val="bottom"/>
          </w:tcPr>
          <w:p>
            <w:pPr>
              <w:spacing w:after="0"/>
              <w:rPr>
                <w:sz w:val="20"/>
                <w:szCs w:val="20"/>
                <w:color w:val="auto"/>
              </w:rPr>
            </w:pPr>
            <w:r>
              <w:rPr>
                <w:rFonts w:ascii="Arial" w:cs="Arial" w:eastAsia="Arial" w:hAnsi="Arial"/>
                <w:sz w:val="16"/>
                <w:szCs w:val="16"/>
                <w:color w:val="auto"/>
              </w:rPr>
              <w:t>Numerator:</w:t>
            </w: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5"/>
        </w:trPr>
        <w:tc>
          <w:tcPr>
            <w:tcW w:w="8160" w:type="dxa"/>
            <w:vAlign w:val="bottom"/>
          </w:tcPr>
          <w:p>
            <w:pPr>
              <w:ind w:left="180"/>
              <w:spacing w:after="0"/>
              <w:rPr>
                <w:sz w:val="20"/>
                <w:szCs w:val="20"/>
                <w:color w:val="auto"/>
              </w:rPr>
            </w:pPr>
            <w:r>
              <w:rPr>
                <w:rFonts w:ascii="Arial" w:cs="Arial" w:eastAsia="Arial" w:hAnsi="Arial"/>
                <w:sz w:val="16"/>
                <w:szCs w:val="16"/>
                <w:color w:val="auto"/>
              </w:rPr>
              <w:t>Earnings/Income attributable to common shareholders</w:t>
            </w:r>
          </w:p>
        </w:tc>
        <w:tc>
          <w:tcPr>
            <w:tcW w:w="980" w:type="dxa"/>
            <w:vAlign w:val="bottom"/>
          </w:tcPr>
          <w:p>
            <w:pPr>
              <w:jc w:val="right"/>
              <w:ind w:right="663"/>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940" w:type="dxa"/>
            <w:vAlign w:val="bottom"/>
          </w:tcPr>
          <w:p>
            <w:pPr>
              <w:jc w:val="right"/>
              <w:ind w:right="661"/>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236</w:t>
            </w:r>
          </w:p>
        </w:tc>
      </w:tr>
      <w:tr>
        <w:trPr>
          <w:trHeight w:val="432"/>
        </w:trPr>
        <w:tc>
          <w:tcPr>
            <w:tcW w:w="8160" w:type="dxa"/>
            <w:vAlign w:val="bottom"/>
          </w:tcPr>
          <w:p>
            <w:pPr>
              <w:spacing w:after="0"/>
              <w:rPr>
                <w:sz w:val="20"/>
                <w:szCs w:val="20"/>
                <w:color w:val="auto"/>
              </w:rPr>
            </w:pPr>
            <w:r>
              <w:rPr>
                <w:rFonts w:ascii="Arial" w:cs="Arial" w:eastAsia="Arial" w:hAnsi="Arial"/>
                <w:sz w:val="16"/>
                <w:szCs w:val="16"/>
                <w:color w:val="auto"/>
              </w:rPr>
              <w:t>Denominator:</w:t>
            </w: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8160" w:type="dxa"/>
            <w:vAlign w:val="bottom"/>
          </w:tcPr>
          <w:p>
            <w:pPr>
              <w:ind w:left="180"/>
              <w:spacing w:after="0"/>
              <w:rPr>
                <w:sz w:val="20"/>
                <w:szCs w:val="20"/>
                <w:color w:val="auto"/>
              </w:rPr>
            </w:pPr>
            <w:r>
              <w:rPr>
                <w:rFonts w:ascii="Arial" w:cs="Arial" w:eastAsia="Arial" w:hAnsi="Arial"/>
                <w:sz w:val="16"/>
                <w:szCs w:val="16"/>
                <w:color w:val="auto"/>
              </w:rPr>
              <w:t>Weighted-average common shares outstanding for basic EPS</w:t>
            </w:r>
          </w:p>
        </w:tc>
        <w:tc>
          <w:tcPr>
            <w:tcW w:w="98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243,294</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240,566</w:t>
            </w:r>
          </w:p>
        </w:tc>
      </w:tr>
      <w:tr>
        <w:trPr>
          <w:trHeight w:val="216"/>
        </w:trPr>
        <w:tc>
          <w:tcPr>
            <w:tcW w:w="8160" w:type="dxa"/>
            <w:vAlign w:val="bottom"/>
          </w:tcPr>
          <w:p>
            <w:pPr>
              <w:ind w:left="180"/>
              <w:spacing w:after="0"/>
              <w:rPr>
                <w:sz w:val="20"/>
                <w:szCs w:val="20"/>
                <w:color w:val="auto"/>
              </w:rPr>
            </w:pPr>
            <w:r>
              <w:rPr>
                <w:rFonts w:ascii="Arial" w:cs="Arial" w:eastAsia="Arial" w:hAnsi="Arial"/>
                <w:sz w:val="16"/>
                <w:szCs w:val="16"/>
                <w:color w:val="auto"/>
              </w:rPr>
              <w:t>Dilutive effect of stock options, restricted stock awards and restricted stock units</w:t>
            </w:r>
          </w:p>
        </w:tc>
        <w:tc>
          <w:tcPr>
            <w:tcW w:w="98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4,240</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3,195</w:t>
            </w:r>
          </w:p>
        </w:tc>
      </w:tr>
      <w:tr>
        <w:trPr>
          <w:trHeight w:val="216"/>
        </w:trPr>
        <w:tc>
          <w:tcPr>
            <w:tcW w:w="8160" w:type="dxa"/>
            <w:vAlign w:val="bottom"/>
          </w:tcPr>
          <w:p>
            <w:pPr>
              <w:ind w:left="180"/>
              <w:spacing w:after="0"/>
              <w:rPr>
                <w:sz w:val="20"/>
                <w:szCs w:val="20"/>
                <w:color w:val="auto"/>
              </w:rPr>
            </w:pPr>
            <w:r>
              <w:rPr>
                <w:rFonts w:ascii="Arial" w:cs="Arial" w:eastAsia="Arial" w:hAnsi="Arial"/>
                <w:sz w:val="16"/>
                <w:szCs w:val="16"/>
                <w:color w:val="auto"/>
              </w:rPr>
              <w:t>Weighted-average common shares outstanding for diluted EPS</w:t>
            </w:r>
          </w:p>
        </w:tc>
        <w:tc>
          <w:tcPr>
            <w:tcW w:w="98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247,534</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243,761</w:t>
            </w:r>
          </w:p>
        </w:tc>
      </w:tr>
      <w:tr>
        <w:trPr>
          <w:trHeight w:val="427"/>
        </w:trPr>
        <w:tc>
          <w:tcPr>
            <w:tcW w:w="8160" w:type="dxa"/>
            <w:vAlign w:val="bottom"/>
          </w:tcPr>
          <w:p>
            <w:pPr>
              <w:spacing w:after="0"/>
              <w:rPr>
                <w:sz w:val="20"/>
                <w:szCs w:val="20"/>
                <w:color w:val="auto"/>
              </w:rPr>
            </w:pPr>
            <w:r>
              <w:rPr>
                <w:rFonts w:ascii="Arial" w:cs="Arial" w:eastAsia="Arial" w:hAnsi="Arial"/>
                <w:sz w:val="16"/>
                <w:szCs w:val="16"/>
                <w:color w:val="auto"/>
              </w:rPr>
              <w:t>Earnings per share:</w:t>
            </w: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89"/>
        </w:trPr>
        <w:tc>
          <w:tcPr>
            <w:tcW w:w="8160" w:type="dxa"/>
            <w:vAlign w:val="bottom"/>
          </w:tcPr>
          <w:p>
            <w:pPr>
              <w:ind w:left="180"/>
              <w:spacing w:after="0"/>
              <w:rPr>
                <w:sz w:val="20"/>
                <w:szCs w:val="20"/>
                <w:color w:val="auto"/>
              </w:rPr>
            </w:pPr>
            <w:r>
              <w:rPr>
                <w:rFonts w:ascii="Arial" w:cs="Arial" w:eastAsia="Arial" w:hAnsi="Arial"/>
                <w:sz w:val="16"/>
                <w:szCs w:val="16"/>
                <w:color w:val="auto"/>
              </w:rPr>
              <w:t>Basic</w:t>
            </w:r>
          </w:p>
        </w:tc>
        <w:tc>
          <w:tcPr>
            <w:tcW w:w="980" w:type="dxa"/>
            <w:vAlign w:val="bottom"/>
          </w:tcPr>
          <w:p>
            <w:pPr>
              <w:jc w:val="right"/>
              <w:ind w:right="663"/>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0.73</w:t>
            </w:r>
          </w:p>
        </w:tc>
        <w:tc>
          <w:tcPr>
            <w:tcW w:w="940" w:type="dxa"/>
            <w:vAlign w:val="bottom"/>
          </w:tcPr>
          <w:p>
            <w:pPr>
              <w:jc w:val="right"/>
              <w:ind w:right="661"/>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0.98</w:t>
            </w:r>
          </w:p>
        </w:tc>
      </w:tr>
      <w:tr>
        <w:trPr>
          <w:trHeight w:val="187"/>
        </w:trPr>
        <w:tc>
          <w:tcPr>
            <w:tcW w:w="81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Diluted</w:t>
            </w:r>
          </w:p>
        </w:tc>
        <w:tc>
          <w:tcPr>
            <w:tcW w:w="980" w:type="dxa"/>
            <w:vAlign w:val="bottom"/>
            <w:tcBorders>
              <w:bottom w:val="single" w:sz="8" w:color="auto"/>
            </w:tcBorders>
          </w:tcPr>
          <w:p>
            <w:pPr>
              <w:jc w:val="right"/>
              <w:ind w:right="663"/>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0.72</w:t>
            </w:r>
          </w:p>
        </w:tc>
        <w:tc>
          <w:tcPr>
            <w:tcW w:w="94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0.97</w:t>
            </w:r>
          </w:p>
        </w:tc>
      </w:tr>
      <w:tr>
        <w:trPr>
          <w:trHeight w:val="21"/>
        </w:trPr>
        <w:tc>
          <w:tcPr>
            <w:tcW w:w="8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dilution from common stock options is based on the treasury stock method. Under this method, proceeds based on the exercise price plus unearned compensation and windfall tax benefits recognized and minus tax shortfalls recognized are assumed to be used to repurchase shares on the open market at the average market price for the period. The windfall tax benefits are tax deductions we would receive upon the assumed exercise of stock options in excess of the deferred income taxes we recorded related to the compensation expense on the stock options. Tax shortfalls occur when the assumed tax deductions are less than recorded deferred income taxes. The calculation excludes options for which the exercise price on common stock was greater than the average market price during the period (out-of-the-money options). We had no such antidilutive stock options outstanding during the three months ended March 31, 2013 and 767,833 such options outstanding during the three months ended March 31, 2012.</w:t>
      </w:r>
    </w:p>
    <w:p>
      <w:pPr>
        <w:spacing w:after="0" w:line="205"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We had no stock options outstanding during either the three months ended March 31, 2013 or 2012 that were antidilutive because of the unearned compensation and windfall tax benefits included in the assumed proceeds under the treasury stock method.</w:t>
      </w:r>
    </w:p>
    <w:p>
      <w:pPr>
        <w:spacing w:after="0" w:line="19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dilution from unvested restricted stock awards (RSAs) and restricted stock units (RSUs) is also based on the treasury stock method. Proceeds equal to the unearned compensation and windfall tax benefits recognized and minus tax shortfalls recognized related to the awards and units are assumed to be used to repurchase shares on the open market at the average market price for the period. The windfall tax benefits recognized or tax shortfalls recognized are the difference between tax deductions we would receive upon the assumed vesting of RSAs or RSUs and the deferred income taxes we recorded related to the compensation expense on such awards and units. There were 774 antidilutive RSUs from the application of unearned compensation in the treasury stock method for the three months ended March 31, 2013 and no such antidilutive RSUs for the three months ended March 31, 2012. There were 3,090 and 15,932 such antidilutive RSAs for the three months ended March 31, 2013 and 2012, respectively.</w:t>
      </w:r>
    </w:p>
    <w:p>
      <w:pPr>
        <w:spacing w:after="0" w:line="2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Each performance-based RSU represents the right to receive between zero and 1.5 shares of Sempra Energy common stock based on Sempra Energy’s four-year cumulative total shareholder return compared to the Standard &amp; Poor’s (S&amp;P) 500 Utilities Index, as follows: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1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Four-Year Cumulative Total Shareholder Return Ranking versus</w:t>
            </w:r>
          </w:p>
        </w:tc>
        <w:tc>
          <w:tcPr>
            <w:tcW w:w="7260" w:type="dxa"/>
            <w:vAlign w:val="bottom"/>
          </w:tcPr>
          <w:p>
            <w:pPr>
              <w:spacing w:after="0"/>
              <w:rPr>
                <w:sz w:val="14"/>
                <w:szCs w:val="14"/>
                <w:color w:val="auto"/>
              </w:rPr>
            </w:pPr>
          </w:p>
        </w:tc>
      </w:tr>
      <w:tr>
        <w:trPr>
          <w:trHeight w:val="164"/>
        </w:trPr>
        <w:tc>
          <w:tcPr>
            <w:tcW w:w="4160" w:type="dxa"/>
            <w:vAlign w:val="bottom"/>
            <w:tcBorders>
              <w:bottom w:val="single" w:sz="8" w:color="auto"/>
              <w:right w:val="single" w:sz="8" w:color="auto"/>
            </w:tcBorders>
          </w:tcPr>
          <w:p>
            <w:pPr>
              <w:spacing w:after="0" w:line="157" w:lineRule="exact"/>
              <w:rPr>
                <w:sz w:val="20"/>
                <w:szCs w:val="20"/>
                <w:color w:val="auto"/>
              </w:rPr>
            </w:pPr>
            <w:r>
              <w:rPr>
                <w:rFonts w:ascii="Arial" w:cs="Arial" w:eastAsia="Arial" w:hAnsi="Arial"/>
                <w:sz w:val="14"/>
                <w:szCs w:val="14"/>
                <w:color w:val="auto"/>
              </w:rPr>
              <w:t>S&amp;P 500 Utilities Index(1)</w:t>
            </w:r>
          </w:p>
        </w:tc>
        <w:tc>
          <w:tcPr>
            <w:tcW w:w="7260" w:type="dxa"/>
            <w:vAlign w:val="bottom"/>
            <w:tcBorders>
              <w:bottom w:val="single" w:sz="8" w:color="auto"/>
            </w:tcBorders>
          </w:tcPr>
          <w:p>
            <w:pPr>
              <w:ind w:left="80"/>
              <w:spacing w:after="0" w:line="157" w:lineRule="exact"/>
              <w:rPr>
                <w:sz w:val="20"/>
                <w:szCs w:val="20"/>
                <w:color w:val="auto"/>
              </w:rPr>
            </w:pPr>
            <w:r>
              <w:rPr>
                <w:rFonts w:ascii="Arial" w:cs="Arial" w:eastAsia="Arial" w:hAnsi="Arial"/>
                <w:sz w:val="14"/>
                <w:szCs w:val="14"/>
                <w:color w:val="auto"/>
              </w:rPr>
              <w:t>Number of Sempra Energy Common Shares Received for Each Restricted Stock Unit(2)</w:t>
            </w:r>
          </w:p>
        </w:tc>
      </w:tr>
      <w:tr>
        <w:trPr>
          <w:trHeight w:val="191"/>
        </w:trPr>
        <w:tc>
          <w:tcPr>
            <w:tcW w:w="41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75th Percentile or Above</w:t>
            </w:r>
          </w:p>
        </w:tc>
        <w:tc>
          <w:tcPr>
            <w:tcW w:w="7260" w:type="dxa"/>
            <w:vAlign w:val="bottom"/>
          </w:tcPr>
          <w:p>
            <w:pPr>
              <w:jc w:val="right"/>
              <w:ind w:right="3461"/>
              <w:spacing w:after="0"/>
              <w:rPr>
                <w:sz w:val="20"/>
                <w:szCs w:val="20"/>
                <w:color w:val="auto"/>
              </w:rPr>
            </w:pPr>
            <w:r>
              <w:rPr>
                <w:rFonts w:ascii="Arial" w:cs="Arial" w:eastAsia="Arial" w:hAnsi="Arial"/>
                <w:sz w:val="16"/>
                <w:szCs w:val="16"/>
                <w:color w:val="auto"/>
              </w:rPr>
              <w:t>1.5</w:t>
            </w:r>
          </w:p>
        </w:tc>
      </w:tr>
      <w:tr>
        <w:trPr>
          <w:trHeight w:val="189"/>
        </w:trPr>
        <w:tc>
          <w:tcPr>
            <w:tcW w:w="41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50th Percentile</w:t>
            </w:r>
          </w:p>
        </w:tc>
        <w:tc>
          <w:tcPr>
            <w:tcW w:w="7260" w:type="dxa"/>
            <w:vAlign w:val="bottom"/>
          </w:tcPr>
          <w:p>
            <w:pPr>
              <w:jc w:val="right"/>
              <w:ind w:right="3521"/>
              <w:spacing w:after="0"/>
              <w:rPr>
                <w:sz w:val="20"/>
                <w:szCs w:val="20"/>
                <w:color w:val="auto"/>
              </w:rPr>
            </w:pPr>
            <w:r>
              <w:rPr>
                <w:rFonts w:ascii="Arial" w:cs="Arial" w:eastAsia="Arial" w:hAnsi="Arial"/>
                <w:sz w:val="16"/>
                <w:szCs w:val="16"/>
                <w:color w:val="auto"/>
              </w:rPr>
              <w:t>1</w:t>
            </w:r>
          </w:p>
        </w:tc>
      </w:tr>
      <w:tr>
        <w:trPr>
          <w:trHeight w:val="187"/>
        </w:trPr>
        <w:tc>
          <w:tcPr>
            <w:tcW w:w="4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35th Percentile or Below</w:t>
            </w:r>
          </w:p>
        </w:tc>
        <w:tc>
          <w:tcPr>
            <w:tcW w:w="7260" w:type="dxa"/>
            <w:vAlign w:val="bottom"/>
            <w:tcBorders>
              <w:bottom w:val="single" w:sz="8" w:color="auto"/>
            </w:tcBorders>
          </w:tcPr>
          <w:p>
            <w:pPr>
              <w:ind w:left="3560"/>
              <w:spacing w:after="0"/>
              <w:rPr>
                <w:sz w:val="20"/>
                <w:szCs w:val="20"/>
                <w:color w:val="auto"/>
              </w:rPr>
            </w:pPr>
            <w:r>
              <w:rPr>
                <w:rFonts w:ascii="Arial" w:cs="Arial" w:eastAsia="Arial" w:hAnsi="Arial"/>
                <w:sz w:val="16"/>
                <w:szCs w:val="16"/>
                <w:color w:val="auto"/>
              </w:rPr>
              <w:t>―</w:t>
            </w:r>
          </w:p>
        </w:tc>
      </w:tr>
      <w:tr>
        <w:trPr>
          <w:trHeight w:val="21"/>
        </w:trPr>
        <w:tc>
          <w:tcPr>
            <w:tcW w:w="4160" w:type="dxa"/>
            <w:vAlign w:val="bottom"/>
            <w:tcBorders>
              <w:bottom w:val="single" w:sz="8" w:color="auto"/>
              <w:right w:val="single" w:sz="8" w:color="auto"/>
            </w:tcBorders>
          </w:tcPr>
          <w:p>
            <w:pPr>
              <w:spacing w:after="0" w:line="20" w:lineRule="exact"/>
              <w:rPr>
                <w:sz w:val="1"/>
                <w:szCs w:val="1"/>
                <w:color w:val="auto"/>
              </w:rPr>
            </w:pPr>
          </w:p>
        </w:tc>
        <w:tc>
          <w:tcPr>
            <w:tcW w:w="7260" w:type="dxa"/>
            <w:vAlign w:val="bottom"/>
            <w:tcBorders>
              <w:bottom w:val="single" w:sz="8" w:color="auto"/>
            </w:tcBorders>
          </w:tcPr>
          <w:p>
            <w:pPr>
              <w:spacing w:after="0" w:line="20" w:lineRule="exact"/>
              <w:rPr>
                <w:sz w:val="1"/>
                <w:szCs w:val="1"/>
                <w:color w:val="auto"/>
              </w:rPr>
            </w:pPr>
          </w:p>
        </w:tc>
      </w:tr>
    </w:tbl>
    <w:p>
      <w:pPr>
        <w:ind w:left="1340" w:right="220" w:hanging="758"/>
        <w:spacing w:after="0" w:line="245" w:lineRule="auto"/>
        <w:tabs>
          <w:tab w:leader="none" w:pos="134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If Sempra Energy ranks at or above the 50th percentile compared to the S&amp;P 500 Index, participants will receive a minimum of 1.0 share for each restricted stock unit.</w:t>
      </w:r>
    </w:p>
    <w:p>
      <w:pPr>
        <w:ind w:left="1340" w:hanging="758"/>
        <w:spacing w:after="0" w:line="258" w:lineRule="auto"/>
        <w:tabs>
          <w:tab w:leader="none" w:pos="134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Participants may also receive additional shares for dividend equivalents on shares subject to restricted stock units, which are reinvested to purchase additional units that become subject to the same vesting conditions as the restricted stock units to which the dividends relate.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RSAs have a maximum potential of 100 percent vesting. We include our performance-based RSUs in potential dilutive shares at zero to 150 percent to the extent that they currently meet the performance requirements for vesting, subject to the application of the treasury stock method. Due to market fluctuations of both Sempra Energy stock and the comparative index, dilutive RSU shares may vary widely from period-to-period. We include our RSAs, which are solely service-based, in potential dilutive shares at 100 percent.</w:t>
      </w:r>
    </w:p>
    <w:p>
      <w:pPr>
        <w:sectPr>
          <w:pgSz w:w="11900" w:h="16838" w:orient="portrait"/>
          <w:cols w:equalWidth="0" w:num="1">
            <w:col w:w="11420"/>
          </w:cols>
          <w:pgMar w:left="240" w:top="141" w:right="239" w:bottom="0" w:gutter="0" w:footer="0" w:header="0"/>
        </w:sectPr>
      </w:pPr>
    </w:p>
    <w:bookmarkStart w:id="18" w:name="page19"/>
    <w:bookmarkEnd w:id="18"/>
    <w:p>
      <w:pPr>
        <w:spacing w:after="0" w:line="39"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RSUs and RSAs may be excluded from potential dilutive shares by the application of unearned compensation in the treasury stock method, as we discuss above, or because performance goals are currently not met. The maximum excluded RSAs and RSUs, assuming performance goals were met at maximum levels, were 1,659,995 and 3,191,073 for the three months ended March 31, 2013 and 2012, respectively.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4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discuss our share-based compensation plans in Note 9 of the Notes to Consolidated Financial Statements in the Annual Report. We recorded share-based compensation expense, net of income taxes, of $6 million and $5 million for the three months ended March 31, 2013 and 2012, respectively. Pursuant to our share-based compensation plans, we granted 645,502 performance-based RSUs, 103,222 service-based RSUs and 4,617 RSAs during the three months ended March 31, 2013, primarily in January.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FINANCING COSTS</w:t>
      </w:r>
    </w:p>
    <w:p>
      <w:pPr>
        <w:spacing w:after="0" w:line="247"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Capitalized financing costs include capitalized interest costs and, primarily at the California Utilities, an allowance for funds used during construction (AFUDC) related to both debt and equity financing of construction projects. The following table shows capitalized financing costs for the three months ended March 31, 2013 and 2012.</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060" w:type="dxa"/>
            <w:vAlign w:val="bottom"/>
          </w:tcPr>
          <w:p>
            <w:pPr>
              <w:spacing w:after="0"/>
              <w:rPr>
                <w:sz w:val="14"/>
                <w:szCs w:val="14"/>
                <w:color w:val="auto"/>
              </w:rPr>
            </w:pPr>
          </w:p>
        </w:tc>
        <w:tc>
          <w:tcPr>
            <w:tcW w:w="37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color w:val="auto"/>
              </w:rPr>
              <w:t>Three months ended March 31,</w:t>
            </w:r>
          </w:p>
        </w:tc>
        <w:tc>
          <w:tcPr>
            <w:tcW w:w="580" w:type="dxa"/>
            <w:vAlign w:val="bottom"/>
            <w:tcBorders>
              <w:bottom w:val="single" w:sz="8" w:color="auto"/>
            </w:tcBorders>
          </w:tcPr>
          <w:p>
            <w:pPr>
              <w:spacing w:after="0"/>
              <w:rPr>
                <w:sz w:val="14"/>
                <w:szCs w:val="14"/>
                <w:color w:val="auto"/>
              </w:rPr>
            </w:pPr>
          </w:p>
        </w:tc>
      </w:tr>
      <w:tr>
        <w:trPr>
          <w:trHeight w:val="223"/>
        </w:trPr>
        <w:tc>
          <w:tcPr>
            <w:tcW w:w="70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color w:val="auto"/>
              </w:rPr>
              <w:t>2013</w:t>
            </w:r>
          </w:p>
        </w:tc>
        <w:tc>
          <w:tcPr>
            <w:tcW w:w="6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2012</w:t>
            </w:r>
          </w:p>
        </w:tc>
        <w:tc>
          <w:tcPr>
            <w:tcW w:w="580" w:type="dxa"/>
            <w:vAlign w:val="bottom"/>
            <w:tcBorders>
              <w:bottom w:val="single" w:sz="8" w:color="auto"/>
            </w:tcBorders>
          </w:tcPr>
          <w:p>
            <w:pPr>
              <w:spacing w:after="0"/>
              <w:rPr>
                <w:sz w:val="19"/>
                <w:szCs w:val="19"/>
                <w:color w:val="auto"/>
              </w:rPr>
            </w:pPr>
          </w:p>
        </w:tc>
      </w:tr>
      <w:tr>
        <w:trPr>
          <w:trHeight w:val="218"/>
        </w:trPr>
        <w:tc>
          <w:tcPr>
            <w:tcW w:w="706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1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95"/>
        </w:trPr>
        <w:tc>
          <w:tcPr>
            <w:tcW w:w="7060" w:type="dxa"/>
            <w:vAlign w:val="bottom"/>
          </w:tcPr>
          <w:p>
            <w:pPr>
              <w:ind w:left="180"/>
              <w:spacing w:after="0"/>
              <w:rPr>
                <w:sz w:val="20"/>
                <w:szCs w:val="20"/>
                <w:color w:val="auto"/>
              </w:rPr>
            </w:pPr>
            <w:r>
              <w:rPr>
                <w:rFonts w:ascii="Arial" w:cs="Arial" w:eastAsia="Arial" w:hAnsi="Arial"/>
                <w:sz w:val="16"/>
                <w:szCs w:val="16"/>
                <w:color w:val="auto"/>
              </w:rPr>
              <w:t>AFUDC related to debt</w:t>
            </w:r>
          </w:p>
        </w:tc>
        <w:tc>
          <w:tcPr>
            <w:tcW w:w="1580" w:type="dxa"/>
            <w:vAlign w:val="bottom"/>
          </w:tcPr>
          <w:p>
            <w:pPr>
              <w:jc w:val="right"/>
              <w:ind w:right="14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540" w:type="dxa"/>
            <w:vAlign w:val="bottom"/>
          </w:tcPr>
          <w:p>
            <w:pPr>
              <w:jc w:val="right"/>
              <w:ind w:right="12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7060" w:type="dxa"/>
            <w:vAlign w:val="bottom"/>
          </w:tcPr>
          <w:p>
            <w:pPr>
              <w:ind w:left="180"/>
              <w:spacing w:after="0"/>
              <w:rPr>
                <w:sz w:val="20"/>
                <w:szCs w:val="20"/>
                <w:color w:val="auto"/>
              </w:rPr>
            </w:pPr>
            <w:r>
              <w:rPr>
                <w:rFonts w:ascii="Arial" w:cs="Arial" w:eastAsia="Arial" w:hAnsi="Arial"/>
                <w:sz w:val="16"/>
                <w:szCs w:val="16"/>
                <w:color w:val="auto"/>
              </w:rPr>
              <w:t>AFUDC related to equity</w:t>
            </w:r>
          </w:p>
        </w:tc>
        <w:tc>
          <w:tcPr>
            <w:tcW w:w="158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7060" w:type="dxa"/>
            <w:vAlign w:val="bottom"/>
          </w:tcPr>
          <w:p>
            <w:pPr>
              <w:ind w:left="180"/>
              <w:spacing w:after="0"/>
              <w:rPr>
                <w:sz w:val="20"/>
                <w:szCs w:val="20"/>
                <w:color w:val="auto"/>
              </w:rPr>
            </w:pPr>
            <w:r>
              <w:rPr>
                <w:rFonts w:ascii="Arial" w:cs="Arial" w:eastAsia="Arial" w:hAnsi="Arial"/>
                <w:sz w:val="16"/>
                <w:szCs w:val="16"/>
                <w:color w:val="auto"/>
              </w:rPr>
              <w:t>Other capitalized financing costs</w:t>
            </w:r>
          </w:p>
        </w:tc>
        <w:tc>
          <w:tcPr>
            <w:tcW w:w="15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5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189"/>
        </w:trPr>
        <w:tc>
          <w:tcPr>
            <w:tcW w:w="70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Sempra Energy Consolidated</w:t>
            </w:r>
          </w:p>
        </w:tc>
        <w:tc>
          <w:tcPr>
            <w:tcW w:w="1580" w:type="dxa"/>
            <w:vAlign w:val="bottom"/>
            <w:tcBorders>
              <w:bottom w:val="single" w:sz="8" w:color="auto"/>
            </w:tcBorders>
          </w:tcPr>
          <w:p>
            <w:pPr>
              <w:jc w:val="right"/>
              <w:ind w:right="14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w:t>
            </w:r>
          </w:p>
        </w:tc>
        <w:tc>
          <w:tcPr>
            <w:tcW w:w="1540" w:type="dxa"/>
            <w:vAlign w:val="bottom"/>
            <w:tcBorders>
              <w:bottom w:val="single" w:sz="8" w:color="auto"/>
            </w:tcBorders>
          </w:tcPr>
          <w:p>
            <w:pPr>
              <w:jc w:val="right"/>
              <w:ind w:right="124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r>
      <w:tr>
        <w:trPr>
          <w:trHeight w:val="21"/>
        </w:trPr>
        <w:tc>
          <w:tcPr>
            <w:tcW w:w="70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11"/>
        </w:trPr>
        <w:tc>
          <w:tcPr>
            <w:tcW w:w="706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1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95"/>
        </w:trPr>
        <w:tc>
          <w:tcPr>
            <w:tcW w:w="7060" w:type="dxa"/>
            <w:vAlign w:val="bottom"/>
          </w:tcPr>
          <w:p>
            <w:pPr>
              <w:ind w:left="180"/>
              <w:spacing w:after="0"/>
              <w:rPr>
                <w:sz w:val="20"/>
                <w:szCs w:val="20"/>
                <w:color w:val="auto"/>
              </w:rPr>
            </w:pPr>
            <w:r>
              <w:rPr>
                <w:rFonts w:ascii="Arial" w:cs="Arial" w:eastAsia="Arial" w:hAnsi="Arial"/>
                <w:sz w:val="16"/>
                <w:szCs w:val="16"/>
                <w:color w:val="auto"/>
              </w:rPr>
              <w:t>AFUDC related to debt</w:t>
            </w:r>
          </w:p>
        </w:tc>
        <w:tc>
          <w:tcPr>
            <w:tcW w:w="1580" w:type="dxa"/>
            <w:vAlign w:val="bottom"/>
          </w:tcPr>
          <w:p>
            <w:pPr>
              <w:jc w:val="right"/>
              <w:ind w:right="14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540" w:type="dxa"/>
            <w:vAlign w:val="bottom"/>
          </w:tcPr>
          <w:p>
            <w:pPr>
              <w:jc w:val="right"/>
              <w:ind w:right="12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7060" w:type="dxa"/>
            <w:vAlign w:val="bottom"/>
          </w:tcPr>
          <w:p>
            <w:pPr>
              <w:ind w:left="180"/>
              <w:spacing w:after="0"/>
              <w:rPr>
                <w:sz w:val="20"/>
                <w:szCs w:val="20"/>
                <w:color w:val="auto"/>
              </w:rPr>
            </w:pPr>
            <w:r>
              <w:rPr>
                <w:rFonts w:ascii="Arial" w:cs="Arial" w:eastAsia="Arial" w:hAnsi="Arial"/>
                <w:sz w:val="16"/>
                <w:szCs w:val="16"/>
                <w:color w:val="auto"/>
              </w:rPr>
              <w:t>AFUDC related to equity</w:t>
            </w:r>
          </w:p>
        </w:tc>
        <w:tc>
          <w:tcPr>
            <w:tcW w:w="15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15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189"/>
        </w:trPr>
        <w:tc>
          <w:tcPr>
            <w:tcW w:w="70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SDG&amp;E</w:t>
            </w:r>
          </w:p>
        </w:tc>
        <w:tc>
          <w:tcPr>
            <w:tcW w:w="1580" w:type="dxa"/>
            <w:vAlign w:val="bottom"/>
            <w:tcBorders>
              <w:bottom w:val="single" w:sz="8" w:color="auto"/>
            </w:tcBorders>
          </w:tcPr>
          <w:p>
            <w:pPr>
              <w:jc w:val="right"/>
              <w:ind w:right="14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w:t>
            </w:r>
          </w:p>
        </w:tc>
        <w:tc>
          <w:tcPr>
            <w:tcW w:w="1540" w:type="dxa"/>
            <w:vAlign w:val="bottom"/>
            <w:tcBorders>
              <w:bottom w:val="single" w:sz="8" w:color="auto"/>
            </w:tcBorders>
          </w:tcPr>
          <w:p>
            <w:pPr>
              <w:jc w:val="right"/>
              <w:ind w:right="124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21"/>
        </w:trPr>
        <w:tc>
          <w:tcPr>
            <w:tcW w:w="70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11"/>
        </w:trPr>
        <w:tc>
          <w:tcPr>
            <w:tcW w:w="706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1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95"/>
        </w:trPr>
        <w:tc>
          <w:tcPr>
            <w:tcW w:w="7060" w:type="dxa"/>
            <w:vAlign w:val="bottom"/>
          </w:tcPr>
          <w:p>
            <w:pPr>
              <w:ind w:left="180"/>
              <w:spacing w:after="0"/>
              <w:rPr>
                <w:sz w:val="20"/>
                <w:szCs w:val="20"/>
                <w:color w:val="auto"/>
              </w:rPr>
            </w:pPr>
            <w:r>
              <w:rPr>
                <w:rFonts w:ascii="Arial" w:cs="Arial" w:eastAsia="Arial" w:hAnsi="Arial"/>
                <w:sz w:val="16"/>
                <w:szCs w:val="16"/>
                <w:color w:val="auto"/>
              </w:rPr>
              <w:t>AFUDC related to debt</w:t>
            </w:r>
          </w:p>
        </w:tc>
        <w:tc>
          <w:tcPr>
            <w:tcW w:w="1580" w:type="dxa"/>
            <w:vAlign w:val="bottom"/>
          </w:tcPr>
          <w:p>
            <w:pPr>
              <w:jc w:val="right"/>
              <w:ind w:right="14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540" w:type="dxa"/>
            <w:vAlign w:val="bottom"/>
          </w:tcPr>
          <w:p>
            <w:pPr>
              <w:jc w:val="right"/>
              <w:ind w:right="12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7060" w:type="dxa"/>
            <w:vAlign w:val="bottom"/>
          </w:tcPr>
          <w:p>
            <w:pPr>
              <w:ind w:left="180"/>
              <w:spacing w:after="0"/>
              <w:rPr>
                <w:sz w:val="20"/>
                <w:szCs w:val="20"/>
                <w:color w:val="auto"/>
              </w:rPr>
            </w:pPr>
            <w:r>
              <w:rPr>
                <w:rFonts w:ascii="Arial" w:cs="Arial" w:eastAsia="Arial" w:hAnsi="Arial"/>
                <w:sz w:val="16"/>
                <w:szCs w:val="16"/>
                <w:color w:val="auto"/>
              </w:rPr>
              <w:t>AFUDC related to equity</w:t>
            </w:r>
          </w:p>
        </w:tc>
        <w:tc>
          <w:tcPr>
            <w:tcW w:w="15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5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189"/>
        </w:trPr>
        <w:tc>
          <w:tcPr>
            <w:tcW w:w="70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SoCalGas</w:t>
            </w:r>
          </w:p>
        </w:tc>
        <w:tc>
          <w:tcPr>
            <w:tcW w:w="1580" w:type="dxa"/>
            <w:vAlign w:val="bottom"/>
            <w:tcBorders>
              <w:bottom w:val="single" w:sz="8" w:color="auto"/>
            </w:tcBorders>
          </w:tcPr>
          <w:p>
            <w:pPr>
              <w:jc w:val="right"/>
              <w:ind w:right="14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w:t>
            </w:r>
          </w:p>
        </w:tc>
        <w:tc>
          <w:tcPr>
            <w:tcW w:w="1540" w:type="dxa"/>
            <w:vAlign w:val="bottom"/>
            <w:tcBorders>
              <w:bottom w:val="single" w:sz="8" w:color="auto"/>
            </w:tcBorders>
          </w:tcPr>
          <w:p>
            <w:pPr>
              <w:jc w:val="right"/>
              <w:ind w:right="124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1"/>
        </w:trPr>
        <w:tc>
          <w:tcPr>
            <w:tcW w:w="70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tables present the changes in Accumulated Other Comprehensive Income by component and amounts reclassified out of Accumulated Other Comprehensive Income (Loss) to net income, excluding amounts attributable to noncontrolling interests: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COMPONENTS OF ACCUMULATED OTHER COMPREHENSIVE INCOME (LOSS)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ind w:right="262"/>
              <w:spacing w:after="0"/>
              <w:rPr>
                <w:sz w:val="20"/>
                <w:szCs w:val="20"/>
                <w:color w:val="auto"/>
              </w:rPr>
            </w:pPr>
            <w:r>
              <w:rPr>
                <w:rFonts w:ascii="Arial" w:cs="Arial" w:eastAsia="Arial" w:hAnsi="Arial"/>
                <w:sz w:val="14"/>
                <w:szCs w:val="14"/>
                <w:color w:val="auto"/>
              </w:rPr>
              <w:t>Foreign</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center"/>
              <w:ind w:right="163"/>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center"/>
              <w:ind w:right="262"/>
              <w:spacing w:after="0"/>
              <w:rPr>
                <w:sz w:val="20"/>
                <w:szCs w:val="20"/>
                <w:color w:val="auto"/>
              </w:rPr>
            </w:pPr>
            <w:r>
              <w:rPr>
                <w:rFonts w:ascii="Arial" w:cs="Arial" w:eastAsia="Arial" w:hAnsi="Arial"/>
                <w:sz w:val="14"/>
                <w:szCs w:val="14"/>
                <w:color w:val="auto"/>
              </w:rPr>
              <w:t>Currency</w:t>
            </w:r>
          </w:p>
        </w:tc>
        <w:tc>
          <w:tcPr>
            <w:tcW w:w="160" w:type="dxa"/>
            <w:vAlign w:val="bottom"/>
          </w:tcPr>
          <w:p>
            <w:pPr>
              <w:spacing w:after="0"/>
              <w:rPr>
                <w:sz w:val="18"/>
                <w:szCs w:val="18"/>
                <w:color w:val="auto"/>
              </w:rPr>
            </w:pPr>
          </w:p>
        </w:tc>
        <w:tc>
          <w:tcPr>
            <w:tcW w:w="1220" w:type="dxa"/>
            <w:vAlign w:val="bottom"/>
          </w:tcPr>
          <w:p>
            <w:pPr>
              <w:jc w:val="center"/>
              <w:ind w:right="242"/>
              <w:spacing w:after="0"/>
              <w:rPr>
                <w:sz w:val="20"/>
                <w:szCs w:val="20"/>
                <w:color w:val="auto"/>
              </w:rPr>
            </w:pPr>
            <w:r>
              <w:rPr>
                <w:rFonts w:ascii="Arial" w:cs="Arial" w:eastAsia="Arial" w:hAnsi="Arial"/>
                <w:sz w:val="14"/>
                <w:szCs w:val="14"/>
                <w:color w:val="auto"/>
              </w:rPr>
              <w:t>Unamortized</w:t>
            </w:r>
          </w:p>
        </w:tc>
        <w:tc>
          <w:tcPr>
            <w:tcW w:w="980" w:type="dxa"/>
            <w:vAlign w:val="bottom"/>
          </w:tcPr>
          <w:p>
            <w:pPr>
              <w:jc w:val="center"/>
              <w:ind w:left="64"/>
              <w:spacing w:after="0"/>
              <w:rPr>
                <w:sz w:val="20"/>
                <w:szCs w:val="20"/>
                <w:color w:val="auto"/>
              </w:rPr>
            </w:pPr>
            <w:r>
              <w:rPr>
                <w:rFonts w:ascii="Arial" w:cs="Arial" w:eastAsia="Arial" w:hAnsi="Arial"/>
                <w:sz w:val="14"/>
                <w:szCs w:val="14"/>
                <w:color w:val="auto"/>
              </w:rPr>
              <w:t>Unamortized</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center"/>
              <w:ind w:right="183"/>
              <w:spacing w:after="0"/>
              <w:rPr>
                <w:sz w:val="20"/>
                <w:szCs w:val="20"/>
                <w:color w:val="auto"/>
              </w:rPr>
            </w:pPr>
            <w:r>
              <w:rPr>
                <w:rFonts w:ascii="Arial" w:cs="Arial" w:eastAsia="Arial" w:hAnsi="Arial"/>
                <w:sz w:val="14"/>
                <w:szCs w:val="14"/>
                <w:color w:val="auto"/>
              </w:rPr>
              <w:t>Accumulated Other</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center"/>
              <w:ind w:right="262"/>
              <w:spacing w:after="0"/>
              <w:rPr>
                <w:sz w:val="20"/>
                <w:szCs w:val="20"/>
                <w:color w:val="auto"/>
              </w:rPr>
            </w:pPr>
            <w:r>
              <w:rPr>
                <w:rFonts w:ascii="Arial" w:cs="Arial" w:eastAsia="Arial" w:hAnsi="Arial"/>
                <w:sz w:val="14"/>
                <w:szCs w:val="14"/>
                <w:color w:val="auto"/>
              </w:rPr>
              <w:t>Translation</w:t>
            </w:r>
          </w:p>
        </w:tc>
        <w:tc>
          <w:tcPr>
            <w:tcW w:w="160" w:type="dxa"/>
            <w:vAlign w:val="bottom"/>
          </w:tcPr>
          <w:p>
            <w:pPr>
              <w:spacing w:after="0"/>
              <w:rPr>
                <w:sz w:val="18"/>
                <w:szCs w:val="18"/>
                <w:color w:val="auto"/>
              </w:rPr>
            </w:pPr>
          </w:p>
        </w:tc>
        <w:tc>
          <w:tcPr>
            <w:tcW w:w="1220" w:type="dxa"/>
            <w:vAlign w:val="bottom"/>
          </w:tcPr>
          <w:p>
            <w:pPr>
              <w:jc w:val="center"/>
              <w:ind w:right="242"/>
              <w:spacing w:after="0"/>
              <w:rPr>
                <w:sz w:val="20"/>
                <w:szCs w:val="20"/>
                <w:color w:val="auto"/>
              </w:rPr>
            </w:pPr>
            <w:r>
              <w:rPr>
                <w:rFonts w:ascii="Arial" w:cs="Arial" w:eastAsia="Arial" w:hAnsi="Arial"/>
                <w:sz w:val="14"/>
                <w:szCs w:val="14"/>
                <w:color w:val="auto"/>
              </w:rPr>
              <w:t>Net</w:t>
            </w:r>
          </w:p>
        </w:tc>
        <w:tc>
          <w:tcPr>
            <w:tcW w:w="980" w:type="dxa"/>
            <w:vAlign w:val="bottom"/>
          </w:tcPr>
          <w:p>
            <w:pPr>
              <w:jc w:val="center"/>
              <w:ind w:left="64"/>
              <w:spacing w:after="0"/>
              <w:rPr>
                <w:sz w:val="20"/>
                <w:szCs w:val="20"/>
                <w:color w:val="auto"/>
              </w:rPr>
            </w:pPr>
            <w:r>
              <w:rPr>
                <w:rFonts w:ascii="Arial" w:cs="Arial" w:eastAsia="Arial" w:hAnsi="Arial"/>
                <w:sz w:val="14"/>
                <w:szCs w:val="14"/>
                <w:color w:val="auto"/>
              </w:rPr>
              <w:t>Prior Service</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42"/>
              <w:spacing w:after="0"/>
              <w:rPr>
                <w:sz w:val="20"/>
                <w:szCs w:val="20"/>
                <w:color w:val="auto"/>
              </w:rPr>
            </w:pPr>
            <w:r>
              <w:rPr>
                <w:rFonts w:ascii="Arial" w:cs="Arial" w:eastAsia="Arial" w:hAnsi="Arial"/>
                <w:sz w:val="14"/>
                <w:szCs w:val="14"/>
                <w:color w:val="auto"/>
              </w:rPr>
              <w:t>Financial</w:t>
            </w:r>
          </w:p>
        </w:tc>
        <w:tc>
          <w:tcPr>
            <w:tcW w:w="180" w:type="dxa"/>
            <w:vAlign w:val="bottom"/>
          </w:tcPr>
          <w:p>
            <w:pPr>
              <w:spacing w:after="0"/>
              <w:rPr>
                <w:sz w:val="18"/>
                <w:szCs w:val="18"/>
                <w:color w:val="auto"/>
              </w:rPr>
            </w:pPr>
          </w:p>
        </w:tc>
        <w:tc>
          <w:tcPr>
            <w:tcW w:w="1540" w:type="dxa"/>
            <w:vAlign w:val="bottom"/>
          </w:tcPr>
          <w:p>
            <w:pPr>
              <w:jc w:val="center"/>
              <w:ind w:right="183"/>
              <w:spacing w:after="0"/>
              <w:rPr>
                <w:sz w:val="20"/>
                <w:szCs w:val="20"/>
                <w:color w:val="auto"/>
              </w:rPr>
            </w:pPr>
            <w:r>
              <w:rPr>
                <w:rFonts w:ascii="Arial" w:cs="Arial" w:eastAsia="Arial" w:hAnsi="Arial"/>
                <w:sz w:val="14"/>
                <w:szCs w:val="14"/>
                <w:color w:val="auto"/>
              </w:rPr>
              <w:t>Comprehensive</w:t>
            </w:r>
          </w:p>
        </w:tc>
        <w:tc>
          <w:tcPr>
            <w:tcW w:w="0" w:type="dxa"/>
            <w:vAlign w:val="bottom"/>
          </w:tcPr>
          <w:p>
            <w:pPr>
              <w:spacing w:after="0"/>
              <w:rPr>
                <w:sz w:val="1"/>
                <w:szCs w:val="1"/>
                <w:color w:val="auto"/>
              </w:rPr>
            </w:pPr>
          </w:p>
        </w:tc>
      </w:tr>
      <w:tr>
        <w:trPr>
          <w:trHeight w:val="208"/>
        </w:trPr>
        <w:tc>
          <w:tcPr>
            <w:tcW w:w="4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2"/>
              <w:spacing w:after="0"/>
              <w:rPr>
                <w:sz w:val="20"/>
                <w:szCs w:val="20"/>
                <w:color w:val="auto"/>
              </w:rPr>
            </w:pPr>
            <w:r>
              <w:rPr>
                <w:rFonts w:ascii="Arial" w:cs="Arial" w:eastAsia="Arial" w:hAnsi="Arial"/>
                <w:sz w:val="14"/>
                <w:szCs w:val="14"/>
                <w:color w:val="auto"/>
              </w:rPr>
              <w:t>Adjustments</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color w:val="auto"/>
              </w:rPr>
              <w:t>Actuarial Loss</w:t>
            </w:r>
          </w:p>
        </w:tc>
        <w:tc>
          <w:tcPr>
            <w:tcW w:w="980" w:type="dxa"/>
            <w:vAlign w:val="bottom"/>
            <w:tcBorders>
              <w:bottom w:val="single" w:sz="8" w:color="auto"/>
            </w:tcBorders>
          </w:tcPr>
          <w:p>
            <w:pPr>
              <w:jc w:val="center"/>
              <w:ind w:left="64"/>
              <w:spacing w:after="0"/>
              <w:rPr>
                <w:sz w:val="20"/>
                <w:szCs w:val="20"/>
                <w:color w:val="auto"/>
              </w:rPr>
            </w:pPr>
            <w:r>
              <w:rPr>
                <w:rFonts w:ascii="Arial" w:cs="Arial" w:eastAsia="Arial" w:hAnsi="Arial"/>
                <w:sz w:val="14"/>
                <w:szCs w:val="14"/>
                <w:color w:val="auto"/>
              </w:rPr>
              <w:t>Credit</w:t>
            </w: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Instruments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color w:val="auto"/>
              </w:rPr>
              <w:t>Income (Loss)</w:t>
            </w:r>
          </w:p>
        </w:tc>
        <w:tc>
          <w:tcPr>
            <w:tcW w:w="0" w:type="dxa"/>
            <w:vAlign w:val="bottom"/>
          </w:tcPr>
          <w:p>
            <w:pPr>
              <w:spacing w:after="0"/>
              <w:rPr>
                <w:sz w:val="1"/>
                <w:szCs w:val="1"/>
                <w:color w:val="auto"/>
              </w:rPr>
            </w:pPr>
          </w:p>
        </w:tc>
      </w:tr>
      <w:tr>
        <w:trPr>
          <w:trHeight w:val="224"/>
        </w:trPr>
        <w:tc>
          <w:tcPr>
            <w:tcW w:w="446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ind w:right="2"/>
              <w:spacing w:after="0"/>
              <w:rPr>
                <w:sz w:val="20"/>
                <w:szCs w:val="20"/>
                <w:color w:val="auto"/>
              </w:rPr>
            </w:pPr>
            <w:r>
              <w:rPr>
                <w:rFonts w:ascii="Arial" w:cs="Arial" w:eastAsia="Arial" w:hAnsi="Arial"/>
                <w:sz w:val="16"/>
                <w:szCs w:val="16"/>
                <w:color w:val="auto"/>
              </w:rPr>
              <w:t>(240)</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(102)</w:t>
            </w:r>
          </w:p>
        </w:tc>
        <w:tc>
          <w:tcPr>
            <w:tcW w:w="980" w:type="dxa"/>
            <w:vAlign w:val="bottom"/>
            <w:vMerge w:val="restart"/>
          </w:tcPr>
          <w:p>
            <w:pPr>
              <w:jc w:val="right"/>
              <w:ind w:right="724"/>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jc w:val="right"/>
              <w:ind w:right="19"/>
              <w:spacing w:after="0"/>
              <w:rPr>
                <w:sz w:val="20"/>
                <w:szCs w:val="20"/>
                <w:color w:val="auto"/>
              </w:rPr>
            </w:pPr>
            <w:r>
              <w:rPr>
                <w:rFonts w:ascii="Arial" w:cs="Arial" w:eastAsia="Arial" w:hAnsi="Arial"/>
                <w:sz w:val="16"/>
                <w:szCs w:val="16"/>
                <w:color w:val="auto"/>
              </w:rPr>
              <w:t>1</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ind w:right="2"/>
              <w:spacing w:after="0"/>
              <w:rPr>
                <w:sz w:val="20"/>
                <w:szCs w:val="20"/>
                <w:color w:val="auto"/>
              </w:rPr>
            </w:pPr>
            <w:r>
              <w:rPr>
                <w:rFonts w:ascii="Arial" w:cs="Arial" w:eastAsia="Arial" w:hAnsi="Arial"/>
                <w:sz w:val="16"/>
                <w:szCs w:val="16"/>
                <w:color w:val="auto"/>
              </w:rPr>
              <w:t>(35)</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194"/>
        </w:trPr>
        <w:tc>
          <w:tcPr>
            <w:tcW w:w="4460" w:type="dxa"/>
            <w:vAlign w:val="bottom"/>
          </w:tcPr>
          <w:p>
            <w:pPr>
              <w:spacing w:after="0" w:line="181" w:lineRule="exact"/>
              <w:rPr>
                <w:sz w:val="20"/>
                <w:szCs w:val="20"/>
                <w:color w:val="auto"/>
              </w:rPr>
            </w:pPr>
            <w:r>
              <w:rPr>
                <w:rFonts w:ascii="Arial" w:cs="Arial" w:eastAsia="Arial" w:hAnsi="Arial"/>
                <w:sz w:val="16"/>
                <w:szCs w:val="16"/>
                <w:color w:val="auto"/>
              </w:rPr>
              <w:t>Balance as of December 31, 2012</w:t>
            </w:r>
          </w:p>
        </w:tc>
        <w:tc>
          <w:tcPr>
            <w:tcW w:w="26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60" w:type="dxa"/>
            <w:vAlign w:val="bottom"/>
          </w:tcPr>
          <w:p>
            <w:pPr>
              <w:spacing w:after="0"/>
              <w:rPr>
                <w:sz w:val="20"/>
                <w:szCs w:val="20"/>
                <w:color w:val="auto"/>
              </w:rPr>
            </w:pPr>
            <w:r>
              <w:rPr>
                <w:rFonts w:ascii="Arial" w:cs="Arial" w:eastAsia="Arial" w:hAnsi="Arial"/>
                <w:sz w:val="16"/>
                <w:szCs w:val="16"/>
                <w:color w:val="auto"/>
              </w:rPr>
              <w:t>Other comprehensive income (loss) before</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40"/>
              <w:spacing w:after="0"/>
              <w:rPr>
                <w:sz w:val="20"/>
                <w:szCs w:val="20"/>
                <w:color w:val="auto"/>
              </w:rPr>
            </w:pPr>
            <w:r>
              <w:rPr>
                <w:rFonts w:ascii="Arial" w:cs="Arial" w:eastAsia="Arial" w:hAnsi="Arial"/>
                <w:sz w:val="16"/>
                <w:szCs w:val="16"/>
                <w:color w:val="auto"/>
              </w:rPr>
              <w:t>reclassifications</w:t>
            </w:r>
          </w:p>
        </w:tc>
        <w:tc>
          <w:tcPr>
            <w:tcW w:w="260" w:type="dxa"/>
            <w:vAlign w:val="bottom"/>
          </w:tcPr>
          <w:p>
            <w:pPr>
              <w:spacing w:after="0"/>
              <w:rPr>
                <w:sz w:val="18"/>
                <w:szCs w:val="18"/>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8"/>
                <w:szCs w:val="18"/>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260" w:type="dxa"/>
            <w:vAlign w:val="bottom"/>
          </w:tcPr>
          <w:p>
            <w:pPr>
              <w:jc w:val="right"/>
              <w:ind w:right="19"/>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Amounts reclassified from accumulated other</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w:t>
            </w: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7"/>
              </w:rPr>
              <w:t>―</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6"/>
                <w:szCs w:val="16"/>
                <w:color w:val="auto"/>
              </w:rPr>
              <w:t>Net other comprehensive income (loss)</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10</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w:t>
            </w:r>
          </w:p>
        </w:tc>
        <w:tc>
          <w:tcPr>
            <w:tcW w:w="9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7"/>
              </w:rPr>
              <w:t>―</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as of March 31, 2013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980" w:type="dxa"/>
            <w:vAlign w:val="bottom"/>
            <w:tcBorders>
              <w:bottom w:val="single" w:sz="8" w:color="auto"/>
            </w:tcBorders>
          </w:tcPr>
          <w:p>
            <w:pPr>
              <w:jc w:val="right"/>
              <w:ind w:right="724"/>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1"/>
        </w:trPr>
        <w:tc>
          <w:tcPr>
            <w:tcW w:w="4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500" w:hanging="330"/>
        <w:spacing w:after="0"/>
        <w:tabs>
          <w:tab w:leader="none" w:pos="50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All amounts are net of income tax, if subject to tax, and exclude noncontrolling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RECLASSIFICATIONS FROM 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Three months ended March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2880" w:type="dxa"/>
            <w:vAlign w:val="bottom"/>
            <w:gridSpan w:val="2"/>
          </w:tcPr>
          <w:p>
            <w:pPr>
              <w:jc w:val="center"/>
              <w:ind w:left="546"/>
              <w:spacing w:after="0"/>
              <w:rPr>
                <w:sz w:val="20"/>
                <w:szCs w:val="20"/>
                <w:color w:val="auto"/>
              </w:rPr>
            </w:pPr>
            <w:r>
              <w:rPr>
                <w:rFonts w:ascii="Arial" w:cs="Arial" w:eastAsia="Arial" w:hAnsi="Arial"/>
                <w:sz w:val="14"/>
                <w:szCs w:val="14"/>
                <w:color w:val="auto"/>
              </w:rPr>
              <w:t>Amount reclassified</w:t>
            </w:r>
          </w:p>
        </w:tc>
        <w:tc>
          <w:tcPr>
            <w:tcW w:w="5060" w:type="dxa"/>
            <w:vAlign w:val="bottom"/>
          </w:tcPr>
          <w:p>
            <w:pPr>
              <w:spacing w:after="0"/>
              <w:rPr>
                <w:sz w:val="14"/>
                <w:szCs w:val="14"/>
                <w:color w:val="auto"/>
              </w:rPr>
            </w:pPr>
          </w:p>
        </w:tc>
      </w:tr>
      <w:tr>
        <w:trPr>
          <w:trHeight w:val="162"/>
        </w:trPr>
        <w:tc>
          <w:tcPr>
            <w:tcW w:w="3480" w:type="dxa"/>
            <w:vAlign w:val="bottom"/>
          </w:tcPr>
          <w:p>
            <w:pPr>
              <w:spacing w:after="0"/>
              <w:rPr>
                <w:sz w:val="20"/>
                <w:szCs w:val="20"/>
                <w:color w:val="auto"/>
              </w:rPr>
            </w:pPr>
            <w:r>
              <w:rPr>
                <w:rFonts w:ascii="Arial" w:cs="Arial" w:eastAsia="Arial" w:hAnsi="Arial"/>
                <w:sz w:val="14"/>
                <w:szCs w:val="14"/>
                <w:color w:val="auto"/>
              </w:rPr>
              <w:t>Details about accumulated</w:t>
            </w:r>
          </w:p>
        </w:tc>
        <w:tc>
          <w:tcPr>
            <w:tcW w:w="2880" w:type="dxa"/>
            <w:vAlign w:val="bottom"/>
            <w:gridSpan w:val="2"/>
          </w:tcPr>
          <w:p>
            <w:pPr>
              <w:jc w:val="center"/>
              <w:ind w:left="566"/>
              <w:spacing w:after="0"/>
              <w:rPr>
                <w:sz w:val="20"/>
                <w:szCs w:val="20"/>
                <w:color w:val="auto"/>
              </w:rPr>
            </w:pPr>
            <w:r>
              <w:rPr>
                <w:rFonts w:ascii="Arial" w:cs="Arial" w:eastAsia="Arial" w:hAnsi="Arial"/>
                <w:sz w:val="14"/>
                <w:szCs w:val="14"/>
                <w:color w:val="auto"/>
              </w:rPr>
              <w:t>from accumulated other</w:t>
            </w:r>
          </w:p>
        </w:tc>
        <w:tc>
          <w:tcPr>
            <w:tcW w:w="5060" w:type="dxa"/>
            <w:vAlign w:val="bottom"/>
          </w:tcPr>
          <w:p>
            <w:pPr>
              <w:jc w:val="center"/>
              <w:ind w:left="85"/>
              <w:spacing w:after="0"/>
              <w:rPr>
                <w:sz w:val="20"/>
                <w:szCs w:val="20"/>
                <w:color w:val="auto"/>
              </w:rPr>
            </w:pPr>
            <w:r>
              <w:rPr>
                <w:rFonts w:ascii="Arial" w:cs="Arial" w:eastAsia="Arial" w:hAnsi="Arial"/>
                <w:sz w:val="14"/>
                <w:szCs w:val="14"/>
                <w:color w:val="auto"/>
              </w:rPr>
              <w:t>Affected line item</w:t>
            </w:r>
          </w:p>
        </w:tc>
      </w:tr>
      <w:tr>
        <w:trPr>
          <w:trHeight w:val="164"/>
        </w:trPr>
        <w:tc>
          <w:tcPr>
            <w:tcW w:w="348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other comprehensive income components</w:t>
            </w:r>
          </w:p>
        </w:tc>
        <w:tc>
          <w:tcPr>
            <w:tcW w:w="2880" w:type="dxa"/>
            <w:vAlign w:val="bottom"/>
            <w:tcBorders>
              <w:bottom w:val="single" w:sz="8" w:color="auto"/>
            </w:tcBorders>
            <w:gridSpan w:val="2"/>
          </w:tcPr>
          <w:p>
            <w:pPr>
              <w:jc w:val="center"/>
              <w:ind w:left="566"/>
              <w:spacing w:after="0" w:line="157" w:lineRule="exact"/>
              <w:rPr>
                <w:sz w:val="20"/>
                <w:szCs w:val="20"/>
                <w:color w:val="auto"/>
              </w:rPr>
            </w:pPr>
            <w:r>
              <w:rPr>
                <w:rFonts w:ascii="Arial" w:cs="Arial" w:eastAsia="Arial" w:hAnsi="Arial"/>
                <w:sz w:val="14"/>
                <w:szCs w:val="14"/>
                <w:color w:val="auto"/>
              </w:rPr>
              <w:t>comprehensive income (loss)</w:t>
            </w:r>
          </w:p>
        </w:tc>
        <w:tc>
          <w:tcPr>
            <w:tcW w:w="5060" w:type="dxa"/>
            <w:vAlign w:val="bottom"/>
            <w:tcBorders>
              <w:bottom w:val="single" w:sz="8" w:color="auto"/>
            </w:tcBorders>
          </w:tcPr>
          <w:p>
            <w:pPr>
              <w:jc w:val="center"/>
              <w:ind w:left="85"/>
              <w:spacing w:after="0" w:line="157" w:lineRule="exact"/>
              <w:rPr>
                <w:sz w:val="20"/>
                <w:szCs w:val="20"/>
                <w:color w:val="auto"/>
              </w:rPr>
            </w:pPr>
            <w:r>
              <w:rPr>
                <w:rFonts w:ascii="Arial" w:cs="Arial" w:eastAsia="Arial" w:hAnsi="Arial"/>
                <w:sz w:val="14"/>
                <w:szCs w:val="14"/>
                <w:color w:val="auto"/>
              </w:rPr>
              <w:t>on Condensed Consolidated Statement of Operations</w:t>
            </w:r>
          </w:p>
        </w:tc>
      </w:tr>
      <w:tr>
        <w:trPr>
          <w:trHeight w:val="224"/>
        </w:trPr>
        <w:tc>
          <w:tcPr>
            <w:tcW w:w="348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1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60" w:type="dxa"/>
            <w:vAlign w:val="bottom"/>
          </w:tcPr>
          <w:p>
            <w:pPr>
              <w:spacing w:after="0"/>
              <w:rPr>
                <w:sz w:val="19"/>
                <w:szCs w:val="19"/>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6"/>
                <w:szCs w:val="16"/>
                <w:color w:val="auto"/>
              </w:rPr>
              <w:t>Financial instruments:</w:t>
            </w:r>
          </w:p>
        </w:tc>
        <w:tc>
          <w:tcPr>
            <w:tcW w:w="1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216"/>
        </w:trPr>
        <w:tc>
          <w:tcPr>
            <w:tcW w:w="348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1680" w:type="dxa"/>
            <w:vAlign w:val="bottom"/>
          </w:tcPr>
          <w:p>
            <w:pPr>
              <w:jc w:val="right"/>
              <w:ind w:right="386"/>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79"/>
              <w:spacing w:after="0"/>
              <w:rPr>
                <w:sz w:val="20"/>
                <w:szCs w:val="20"/>
                <w:color w:val="auto"/>
              </w:rPr>
            </w:pPr>
            <w:r>
              <w:rPr>
                <w:rFonts w:ascii="Arial" w:cs="Arial" w:eastAsia="Arial" w:hAnsi="Arial"/>
                <w:sz w:val="16"/>
                <w:szCs w:val="16"/>
                <w:color w:val="auto"/>
              </w:rPr>
              <w:t>3</w:t>
            </w:r>
          </w:p>
        </w:tc>
        <w:tc>
          <w:tcPr>
            <w:tcW w:w="5060" w:type="dxa"/>
            <w:vAlign w:val="bottom"/>
          </w:tcPr>
          <w:p>
            <w:pPr>
              <w:ind w:left="180"/>
              <w:spacing w:after="0"/>
              <w:rPr>
                <w:sz w:val="20"/>
                <w:szCs w:val="20"/>
                <w:color w:val="auto"/>
              </w:rPr>
            </w:pPr>
            <w:r>
              <w:rPr>
                <w:rFonts w:ascii="Arial" w:cs="Arial" w:eastAsia="Arial" w:hAnsi="Arial"/>
                <w:sz w:val="16"/>
                <w:szCs w:val="16"/>
                <w:color w:val="auto"/>
              </w:rPr>
              <w:t>Interest Expense</w:t>
            </w:r>
          </w:p>
        </w:tc>
      </w:tr>
    </w:tbl>
    <w:p>
      <w:pPr>
        <w:sectPr>
          <w:pgSz w:w="11900" w:h="16878" w:orient="portrait"/>
          <w:cols w:equalWidth="0" w:num="1">
            <w:col w:w="11420"/>
          </w:cols>
          <w:pgMar w:left="240" w:top="368" w:right="2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46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6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color w:val="auto"/>
                <w:w w:val="89"/>
              </w:rPr>
              <w:t>2</w:t>
            </w:r>
          </w:p>
        </w:tc>
        <w:tc>
          <w:tcPr>
            <w:tcW w:w="5680" w:type="dxa"/>
            <w:vAlign w:val="bottom"/>
          </w:tcPr>
          <w:p>
            <w:pPr>
              <w:ind w:left="800"/>
              <w:spacing w:after="0"/>
              <w:rPr>
                <w:sz w:val="20"/>
                <w:szCs w:val="20"/>
                <w:color w:val="auto"/>
              </w:rPr>
            </w:pPr>
            <w:r>
              <w:rPr>
                <w:rFonts w:ascii="Arial" w:cs="Arial" w:eastAsia="Arial" w:hAnsi="Arial"/>
                <w:sz w:val="16"/>
                <w:szCs w:val="16"/>
                <w:color w:val="auto"/>
              </w:rPr>
              <w:t>Equity Earnings, Before Income Tax</w:t>
            </w:r>
          </w:p>
        </w:tc>
        <w:tc>
          <w:tcPr>
            <w:tcW w:w="0" w:type="dxa"/>
            <w:vAlign w:val="bottom"/>
          </w:tcPr>
          <w:p>
            <w:pPr>
              <w:spacing w:after="0"/>
              <w:rPr>
                <w:sz w:val="1"/>
                <w:szCs w:val="1"/>
                <w:color w:val="auto"/>
              </w:rPr>
            </w:pPr>
          </w:p>
        </w:tc>
      </w:tr>
      <w:tr>
        <w:trPr>
          <w:trHeight w:val="224"/>
        </w:trPr>
        <w:tc>
          <w:tcPr>
            <w:tcW w:w="4460" w:type="dxa"/>
            <w:vAlign w:val="bottom"/>
          </w:tcPr>
          <w:p>
            <w:pPr>
              <w:spacing w:after="0"/>
              <w:rPr>
                <w:sz w:val="20"/>
                <w:szCs w:val="20"/>
                <w:color w:val="auto"/>
              </w:rPr>
            </w:pPr>
            <w:r>
              <w:rPr>
                <w:rFonts w:ascii="Arial" w:cs="Arial" w:eastAsia="Arial" w:hAnsi="Arial"/>
                <w:sz w:val="16"/>
                <w:szCs w:val="16"/>
                <w:color w:val="auto"/>
              </w:rPr>
              <w:t>Total Before Income Tax</w:t>
            </w:r>
          </w:p>
        </w:tc>
        <w:tc>
          <w:tcPr>
            <w:tcW w:w="660" w:type="dxa"/>
            <w:vAlign w:val="bottom"/>
          </w:tcPr>
          <w:p>
            <w:pPr>
              <w:spacing w:after="0"/>
              <w:rPr>
                <w:sz w:val="19"/>
                <w:szCs w:val="19"/>
                <w:color w:val="auto"/>
              </w:rPr>
            </w:pPr>
          </w:p>
        </w:tc>
        <w:tc>
          <w:tcPr>
            <w:tcW w:w="620" w:type="dxa"/>
            <w:vAlign w:val="bottom"/>
          </w:tcPr>
          <w:p>
            <w:pPr>
              <w:jc w:val="center"/>
              <w:ind w:left="379"/>
              <w:spacing w:after="0"/>
              <w:rPr>
                <w:sz w:val="20"/>
                <w:szCs w:val="20"/>
                <w:color w:val="auto"/>
              </w:rPr>
            </w:pPr>
            <w:r>
              <w:rPr>
                <w:rFonts w:ascii="Arial" w:cs="Arial" w:eastAsia="Arial" w:hAnsi="Arial"/>
                <w:sz w:val="16"/>
                <w:szCs w:val="16"/>
                <w:color w:val="auto"/>
                <w:w w:val="89"/>
              </w:rPr>
              <w:t>5</w:t>
            </w:r>
          </w:p>
        </w:tc>
        <w:tc>
          <w:tcPr>
            <w:tcW w:w="5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left="339"/>
              <w:spacing w:after="0"/>
              <w:rPr>
                <w:sz w:val="20"/>
                <w:szCs w:val="20"/>
                <w:color w:val="auto"/>
              </w:rPr>
            </w:pPr>
            <w:r>
              <w:rPr>
                <w:rFonts w:ascii="Arial" w:cs="Arial" w:eastAsia="Arial" w:hAnsi="Arial"/>
                <w:sz w:val="16"/>
                <w:szCs w:val="16"/>
                <w:color w:val="auto"/>
              </w:rPr>
              <w:t>(1)</w:t>
            </w:r>
          </w:p>
        </w:tc>
        <w:tc>
          <w:tcPr>
            <w:tcW w:w="5680" w:type="dxa"/>
            <w:vAlign w:val="bottom"/>
          </w:tcPr>
          <w:p>
            <w:pPr>
              <w:ind w:left="800"/>
              <w:spacing w:after="0"/>
              <w:rPr>
                <w:sz w:val="20"/>
                <w:szCs w:val="20"/>
                <w:color w:val="auto"/>
              </w:rPr>
            </w:pPr>
            <w:r>
              <w:rPr>
                <w:rFonts w:ascii="Arial" w:cs="Arial" w:eastAsia="Arial" w:hAnsi="Arial"/>
                <w:sz w:val="16"/>
                <w:szCs w:val="16"/>
                <w:color w:val="auto"/>
              </w:rPr>
              <w:t>Income Tax Expense</w:t>
            </w:r>
          </w:p>
        </w:tc>
        <w:tc>
          <w:tcPr>
            <w:tcW w:w="0" w:type="dxa"/>
            <w:vAlign w:val="bottom"/>
          </w:tcPr>
          <w:p>
            <w:pPr>
              <w:spacing w:after="0"/>
              <w:rPr>
                <w:sz w:val="1"/>
                <w:szCs w:val="1"/>
                <w:color w:val="auto"/>
              </w:rPr>
            </w:pPr>
          </w:p>
        </w:tc>
      </w:tr>
      <w:tr>
        <w:trPr>
          <w:trHeight w:val="224"/>
        </w:trPr>
        <w:tc>
          <w:tcPr>
            <w:tcW w:w="4460" w:type="dxa"/>
            <w:vAlign w:val="bottom"/>
          </w:tcPr>
          <w:p>
            <w:pPr>
              <w:spacing w:after="0"/>
              <w:rPr>
                <w:sz w:val="20"/>
                <w:szCs w:val="20"/>
                <w:color w:val="auto"/>
              </w:rPr>
            </w:pPr>
            <w:r>
              <w:rPr>
                <w:rFonts w:ascii="Arial" w:cs="Arial" w:eastAsia="Arial" w:hAnsi="Arial"/>
                <w:sz w:val="16"/>
                <w:szCs w:val="16"/>
                <w:color w:val="auto"/>
              </w:rPr>
              <w:t>Net of Income Tax</w:t>
            </w:r>
          </w:p>
        </w:tc>
        <w:tc>
          <w:tcPr>
            <w:tcW w:w="660" w:type="dxa"/>
            <w:vAlign w:val="bottom"/>
          </w:tcPr>
          <w:p>
            <w:pPr>
              <w:spacing w:after="0"/>
              <w:rPr>
                <w:sz w:val="19"/>
                <w:szCs w:val="19"/>
                <w:color w:val="auto"/>
              </w:rPr>
            </w:pPr>
          </w:p>
        </w:tc>
        <w:tc>
          <w:tcPr>
            <w:tcW w:w="620" w:type="dxa"/>
            <w:vAlign w:val="bottom"/>
          </w:tcPr>
          <w:p>
            <w:pPr>
              <w:jc w:val="center"/>
              <w:ind w:left="379"/>
              <w:spacing w:after="0"/>
              <w:rPr>
                <w:sz w:val="20"/>
                <w:szCs w:val="20"/>
                <w:color w:val="auto"/>
              </w:rPr>
            </w:pPr>
            <w:r>
              <w:rPr>
                <w:rFonts w:ascii="Arial" w:cs="Arial" w:eastAsia="Arial" w:hAnsi="Arial"/>
                <w:sz w:val="16"/>
                <w:szCs w:val="16"/>
                <w:color w:val="auto"/>
                <w:w w:val="89"/>
              </w:rPr>
              <w:t>4</w:t>
            </w:r>
          </w:p>
        </w:tc>
        <w:tc>
          <w:tcPr>
            <w:tcW w:w="5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left="339"/>
              <w:spacing w:after="0"/>
              <w:rPr>
                <w:sz w:val="20"/>
                <w:szCs w:val="20"/>
                <w:color w:val="auto"/>
              </w:rPr>
            </w:pPr>
            <w:r>
              <w:rPr>
                <w:rFonts w:ascii="Arial" w:cs="Arial" w:eastAsia="Arial" w:hAnsi="Arial"/>
                <w:sz w:val="16"/>
                <w:szCs w:val="16"/>
                <w:color w:val="auto"/>
              </w:rPr>
              <w:t>(2)</w:t>
            </w:r>
          </w:p>
        </w:tc>
        <w:tc>
          <w:tcPr>
            <w:tcW w:w="5680" w:type="dxa"/>
            <w:vAlign w:val="bottom"/>
          </w:tcPr>
          <w:p>
            <w:pPr>
              <w:ind w:left="800"/>
              <w:spacing w:after="0"/>
              <w:rPr>
                <w:sz w:val="20"/>
                <w:szCs w:val="20"/>
                <w:color w:val="auto"/>
              </w:rPr>
            </w:pPr>
            <w:r>
              <w:rPr>
                <w:rFonts w:ascii="Arial" w:cs="Arial" w:eastAsia="Arial" w:hAnsi="Arial"/>
                <w:sz w:val="16"/>
                <w:szCs w:val="16"/>
                <w:color w:val="auto"/>
              </w:rPr>
              <w:t>Earnings Attributable to Noncontrolling Interests</w:t>
            </w:r>
          </w:p>
        </w:tc>
        <w:tc>
          <w:tcPr>
            <w:tcW w:w="0" w:type="dxa"/>
            <w:vAlign w:val="bottom"/>
          </w:tcPr>
          <w:p>
            <w:pPr>
              <w:spacing w:after="0"/>
              <w:rPr>
                <w:sz w:val="1"/>
                <w:szCs w:val="1"/>
                <w:color w:val="auto"/>
              </w:rPr>
            </w:pPr>
          </w:p>
        </w:tc>
      </w:tr>
      <w:tr>
        <w:trPr>
          <w:trHeight w:val="189"/>
        </w:trPr>
        <w:tc>
          <w:tcPr>
            <w:tcW w:w="4460" w:type="dxa"/>
            <w:vAlign w:val="bottom"/>
          </w:tcPr>
          <w:p>
            <w:pPr>
              <w:spacing w:after="0"/>
              <w:rPr>
                <w:sz w:val="16"/>
                <w:szCs w:val="16"/>
                <w:color w:val="auto"/>
              </w:rPr>
            </w:pPr>
          </w:p>
        </w:tc>
        <w:tc>
          <w:tcPr>
            <w:tcW w:w="6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color w:val="auto"/>
                <w:w w:val="89"/>
              </w:rPr>
              <w:t>2</w:t>
            </w:r>
          </w:p>
        </w:tc>
        <w:tc>
          <w:tcPr>
            <w:tcW w:w="5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460" w:type="dxa"/>
            <w:vAlign w:val="bottom"/>
            <w:vMerge w:val="restart"/>
          </w:tcPr>
          <w:p>
            <w:pPr>
              <w:spacing w:after="0"/>
              <w:rPr>
                <w:sz w:val="20"/>
                <w:szCs w:val="20"/>
                <w:color w:val="auto"/>
              </w:rPr>
            </w:pPr>
            <w:r>
              <w:rPr>
                <w:rFonts w:ascii="Arial" w:cs="Arial" w:eastAsia="Arial" w:hAnsi="Arial"/>
                <w:sz w:val="16"/>
                <w:szCs w:val="16"/>
                <w:color w:val="auto"/>
              </w:rPr>
              <w:t>Amortization of defined benefit pension</w:t>
            </w: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44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40"/>
              <w:spacing w:after="0"/>
              <w:rPr>
                <w:sz w:val="20"/>
                <w:szCs w:val="20"/>
                <w:color w:val="auto"/>
              </w:rPr>
            </w:pPr>
            <w:r>
              <w:rPr>
                <w:rFonts w:ascii="Arial" w:cs="Arial" w:eastAsia="Arial" w:hAnsi="Arial"/>
                <w:sz w:val="16"/>
                <w:szCs w:val="16"/>
                <w:color w:val="auto"/>
              </w:rPr>
              <w:t>and postretirement benefits items:</w:t>
            </w: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520"/>
              <w:spacing w:after="0"/>
              <w:rPr>
                <w:sz w:val="20"/>
                <w:szCs w:val="20"/>
                <w:color w:val="auto"/>
              </w:rPr>
            </w:pPr>
            <w:r>
              <w:rPr>
                <w:rFonts w:ascii="Arial" w:cs="Arial" w:eastAsia="Arial" w:hAnsi="Arial"/>
                <w:sz w:val="16"/>
                <w:szCs w:val="16"/>
                <w:color w:val="auto"/>
              </w:rPr>
              <w:t>Actuarial loss</w:t>
            </w:r>
          </w:p>
        </w:tc>
        <w:tc>
          <w:tcPr>
            <w:tcW w:w="6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620" w:type="dxa"/>
            <w:vAlign w:val="bottom"/>
          </w:tcPr>
          <w:p>
            <w:pPr>
              <w:jc w:val="center"/>
              <w:ind w:left="379"/>
              <w:spacing w:after="0"/>
              <w:rPr>
                <w:sz w:val="20"/>
                <w:szCs w:val="20"/>
                <w:color w:val="auto"/>
              </w:rPr>
            </w:pPr>
            <w:r>
              <w:rPr>
                <w:rFonts w:ascii="Arial" w:cs="Arial" w:eastAsia="Arial" w:hAnsi="Arial"/>
                <w:sz w:val="16"/>
                <w:szCs w:val="16"/>
                <w:color w:val="auto"/>
                <w:w w:val="89"/>
              </w:rPr>
              <w:t>5</w:t>
            </w:r>
          </w:p>
        </w:tc>
        <w:tc>
          <w:tcPr>
            <w:tcW w:w="5680" w:type="dxa"/>
            <w:vAlign w:val="bottom"/>
          </w:tcPr>
          <w:p>
            <w:pPr>
              <w:ind w:left="8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left="339"/>
              <w:spacing w:after="0"/>
              <w:rPr>
                <w:sz w:val="20"/>
                <w:szCs w:val="20"/>
                <w:color w:val="auto"/>
              </w:rPr>
            </w:pPr>
            <w:r>
              <w:rPr>
                <w:rFonts w:ascii="Arial" w:cs="Arial" w:eastAsia="Arial" w:hAnsi="Arial"/>
                <w:sz w:val="16"/>
                <w:szCs w:val="16"/>
                <w:color w:val="auto"/>
              </w:rPr>
              <w:t>(2)</w:t>
            </w:r>
          </w:p>
        </w:tc>
        <w:tc>
          <w:tcPr>
            <w:tcW w:w="5680" w:type="dxa"/>
            <w:vAlign w:val="bottom"/>
          </w:tcPr>
          <w:p>
            <w:pPr>
              <w:ind w:left="800"/>
              <w:spacing w:after="0"/>
              <w:rPr>
                <w:sz w:val="20"/>
                <w:szCs w:val="20"/>
                <w:color w:val="auto"/>
              </w:rPr>
            </w:pPr>
            <w:r>
              <w:rPr>
                <w:rFonts w:ascii="Arial" w:cs="Arial" w:eastAsia="Arial" w:hAnsi="Arial"/>
                <w:sz w:val="16"/>
                <w:szCs w:val="16"/>
                <w:color w:val="auto"/>
              </w:rPr>
              <w:t>Income Tax Expense</w:t>
            </w:r>
          </w:p>
        </w:tc>
        <w:tc>
          <w:tcPr>
            <w:tcW w:w="0" w:type="dxa"/>
            <w:vAlign w:val="bottom"/>
          </w:tcPr>
          <w:p>
            <w:pPr>
              <w:spacing w:after="0"/>
              <w:rPr>
                <w:sz w:val="1"/>
                <w:szCs w:val="1"/>
                <w:color w:val="auto"/>
              </w:rPr>
            </w:pPr>
          </w:p>
        </w:tc>
      </w:tr>
      <w:tr>
        <w:trPr>
          <w:trHeight w:val="216"/>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of Income Tax</w:t>
            </w:r>
          </w:p>
        </w:tc>
        <w:tc>
          <w:tcPr>
            <w:tcW w:w="6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color w:val="auto"/>
                <w:w w:val="89"/>
              </w:rPr>
              <w:t>3</w:t>
            </w:r>
          </w:p>
        </w:tc>
        <w:tc>
          <w:tcPr>
            <w:tcW w:w="5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446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Financial instruments:</w:t>
            </w: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6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620" w:type="dxa"/>
            <w:vAlign w:val="bottom"/>
          </w:tcPr>
          <w:p>
            <w:pPr>
              <w:jc w:val="center"/>
              <w:ind w:left="379"/>
              <w:spacing w:after="0"/>
              <w:rPr>
                <w:sz w:val="20"/>
                <w:szCs w:val="20"/>
                <w:color w:val="auto"/>
              </w:rPr>
            </w:pPr>
            <w:r>
              <w:rPr>
                <w:rFonts w:ascii="Arial" w:cs="Arial" w:eastAsia="Arial" w:hAnsi="Arial"/>
                <w:sz w:val="16"/>
                <w:szCs w:val="16"/>
                <w:color w:val="auto"/>
                <w:w w:val="89"/>
              </w:rPr>
              <w:t>2</w:t>
            </w:r>
          </w:p>
        </w:tc>
        <w:tc>
          <w:tcPr>
            <w:tcW w:w="5680" w:type="dxa"/>
            <w:vAlign w:val="bottom"/>
          </w:tcPr>
          <w:p>
            <w:pPr>
              <w:ind w:left="80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left="339"/>
              <w:spacing w:after="0"/>
              <w:rPr>
                <w:sz w:val="20"/>
                <w:szCs w:val="20"/>
                <w:color w:val="auto"/>
              </w:rPr>
            </w:pPr>
            <w:r>
              <w:rPr>
                <w:rFonts w:ascii="Arial" w:cs="Arial" w:eastAsia="Arial" w:hAnsi="Arial"/>
                <w:sz w:val="16"/>
                <w:szCs w:val="16"/>
                <w:color w:val="auto"/>
              </w:rPr>
              <w:t>(2)</w:t>
            </w:r>
          </w:p>
        </w:tc>
        <w:tc>
          <w:tcPr>
            <w:tcW w:w="5680" w:type="dxa"/>
            <w:vAlign w:val="bottom"/>
          </w:tcPr>
          <w:p>
            <w:pPr>
              <w:ind w:left="800"/>
              <w:spacing w:after="0"/>
              <w:rPr>
                <w:sz w:val="20"/>
                <w:szCs w:val="20"/>
                <w:color w:val="auto"/>
              </w:rPr>
            </w:pPr>
            <w:r>
              <w:rPr>
                <w:rFonts w:ascii="Arial" w:cs="Arial" w:eastAsia="Arial" w:hAnsi="Arial"/>
                <w:sz w:val="16"/>
                <w:szCs w:val="16"/>
                <w:color w:val="auto"/>
              </w:rPr>
              <w:t>Earnings Attributable to Noncontrolling Interest</w:t>
            </w: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5540" w:hanging="936"/>
        <w:spacing w:after="0"/>
        <w:tabs>
          <w:tab w:leader="none" w:pos="55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w:t>
      </w:r>
    </w:p>
    <w:p>
      <w:pPr>
        <w:spacing w:after="0" w:line="47" w:lineRule="exact"/>
        <w:rPr>
          <w:rFonts w:ascii="Arial" w:cs="Arial" w:eastAsia="Arial" w:hAnsi="Arial"/>
          <w:sz w:val="16"/>
          <w:szCs w:val="16"/>
          <w:color w:val="auto"/>
        </w:rPr>
      </w:pPr>
    </w:p>
    <w:p>
      <w:pPr>
        <w:ind w:left="520" w:hanging="343"/>
        <w:spacing w:after="0"/>
        <w:tabs>
          <w:tab w:leader="none" w:pos="52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Amounts are included in the computation of net periodic benefit cost (see "Pension and Other Postretirement Benefits"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For the three months ended March 31, 2013, Other Comprehensive Income, excluding amounts attributable to noncontrolling interests, at SDG&amp;E and SoCalGas was negligible and reclassifications out of Accumulated Other Comprehensive Income (Loss) to Net Income were negligible as well for SoCalGas.</w:t>
      </w:r>
    </w:p>
    <w:p>
      <w:pPr>
        <w:spacing w:after="0" w:line="3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amounts for comprehensive income in the Condensed Consolidated Statements of Comprehensive Income are net of income tax expense (benefit) as follows:</w:t>
      </w:r>
    </w:p>
    <w:p>
      <w:pPr>
        <w:spacing w:after="0" w:line="200" w:lineRule="exact"/>
        <w:rPr>
          <w:sz w:val="20"/>
          <w:szCs w:val="20"/>
          <w:color w:val="auto"/>
        </w:rPr>
      </w:pPr>
    </w:p>
    <w:p>
      <w:pPr>
        <w:spacing w:after="0" w:line="250" w:lineRule="exact"/>
        <w:rPr>
          <w:sz w:val="20"/>
          <w:szCs w:val="20"/>
          <w:color w:val="auto"/>
        </w:rPr>
      </w:pPr>
    </w:p>
    <w:p>
      <w:pPr>
        <w:ind w:right="4420"/>
        <w:spacing w:after="0" w:line="261" w:lineRule="auto"/>
        <w:rPr>
          <w:sz w:val="20"/>
          <w:szCs w:val="20"/>
          <w:color w:val="auto"/>
        </w:rPr>
      </w:pPr>
      <w:r>
        <w:rPr>
          <w:rFonts w:ascii="Arial" w:cs="Arial" w:eastAsia="Arial" w:hAnsi="Arial"/>
          <w:sz w:val="16"/>
          <w:szCs w:val="16"/>
          <w:b w:val="1"/>
          <w:bCs w:val="1"/>
          <w:color w:val="auto"/>
        </w:rPr>
        <w:t xml:space="preserve">INCOME TAX EXPENSE (BENEFIT) ASSOCIATED WITH OTHER COMPREHENSIVE INCOME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2317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47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spacing w:after="0" w:line="158" w:lineRule="exact"/>
              <w:rPr>
                <w:sz w:val="20"/>
                <w:szCs w:val="20"/>
                <w:color w:val="auto"/>
              </w:rPr>
            </w:pPr>
            <w:r>
              <w:rPr>
                <w:rFonts w:ascii="Arial" w:cs="Arial" w:eastAsia="Arial" w:hAnsi="Arial"/>
                <w:sz w:val="14"/>
                <w:szCs w:val="14"/>
                <w:color w:val="auto"/>
              </w:rPr>
              <w:t>Three months ended March 31,</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223"/>
        </w:trPr>
        <w:tc>
          <w:tcPr>
            <w:tcW w:w="47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45"/>
              <w:spacing w:after="0"/>
              <w:rPr>
                <w:sz w:val="20"/>
                <w:szCs w:val="20"/>
                <w:color w:val="auto"/>
              </w:rPr>
            </w:pPr>
            <w:r>
              <w:rPr>
                <w:rFonts w:ascii="Arial" w:cs="Arial" w:eastAsia="Arial" w:hAnsi="Arial"/>
                <w:sz w:val="14"/>
                <w:szCs w:val="14"/>
                <w:color w:val="auto"/>
              </w:rPr>
              <w:t>2013</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65"/>
              <w:spacing w:after="0"/>
              <w:rPr>
                <w:sz w:val="20"/>
                <w:szCs w:val="20"/>
                <w:color w:val="auto"/>
              </w:rPr>
            </w:pPr>
            <w:r>
              <w:rPr>
                <w:rFonts w:ascii="Arial" w:cs="Arial" w:eastAsia="Arial" w:hAnsi="Arial"/>
                <w:sz w:val="14"/>
                <w:szCs w:val="14"/>
                <w:color w:val="auto"/>
              </w:rPr>
              <w:t>2012</w:t>
            </w: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31"/>
        </w:trPr>
        <w:tc>
          <w:tcPr>
            <w:tcW w:w="4760" w:type="dxa"/>
            <w:vAlign w:val="bottom"/>
          </w:tcPr>
          <w:p>
            <w:pPr>
              <w:spacing w:after="0"/>
              <w:rPr>
                <w:sz w:val="20"/>
                <w:szCs w:val="20"/>
                <w:color w:val="auto"/>
              </w:rPr>
            </w:pPr>
          </w:p>
        </w:tc>
        <w:tc>
          <w:tcPr>
            <w:tcW w:w="840" w:type="dxa"/>
            <w:vAlign w:val="bottom"/>
          </w:tcPr>
          <w:p>
            <w:pPr>
              <w:jc w:val="center"/>
              <w:ind w:left="145"/>
              <w:spacing w:after="0"/>
              <w:rPr>
                <w:sz w:val="20"/>
                <w:szCs w:val="20"/>
                <w:color w:val="auto"/>
              </w:rPr>
            </w:pPr>
            <w:r>
              <w:rPr>
                <w:rFonts w:ascii="Arial" w:cs="Arial" w:eastAsia="Arial" w:hAnsi="Arial"/>
                <w:sz w:val="14"/>
                <w:szCs w:val="14"/>
                <w:color w:val="auto"/>
              </w:rPr>
              <w:t>Sempra</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 w:type="dxa"/>
            <w:vAlign w:val="bottom"/>
          </w:tcPr>
          <w:p>
            <w:pPr>
              <w:jc w:val="center"/>
              <w:ind w:left="85"/>
              <w:spacing w:after="0"/>
              <w:rPr>
                <w:sz w:val="20"/>
                <w:szCs w:val="20"/>
                <w:color w:val="auto"/>
              </w:rPr>
            </w:pPr>
            <w:r>
              <w:rPr>
                <w:rFonts w:ascii="Arial" w:cs="Arial" w:eastAsia="Arial" w:hAnsi="Arial"/>
                <w:sz w:val="14"/>
                <w:szCs w:val="14"/>
                <w:color w:val="auto"/>
              </w:rPr>
              <w:t>Sempra</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16"/>
        </w:trPr>
        <w:tc>
          <w:tcPr>
            <w:tcW w:w="4760" w:type="dxa"/>
            <w:vAlign w:val="bottom"/>
          </w:tcPr>
          <w:p>
            <w:pPr>
              <w:spacing w:after="0"/>
              <w:rPr>
                <w:sz w:val="18"/>
                <w:szCs w:val="18"/>
                <w:color w:val="auto"/>
              </w:rPr>
            </w:pPr>
          </w:p>
        </w:tc>
        <w:tc>
          <w:tcPr>
            <w:tcW w:w="840" w:type="dxa"/>
            <w:vAlign w:val="bottom"/>
          </w:tcPr>
          <w:p>
            <w:pPr>
              <w:jc w:val="center"/>
              <w:ind w:left="145"/>
              <w:spacing w:after="0"/>
              <w:rPr>
                <w:sz w:val="20"/>
                <w:szCs w:val="20"/>
                <w:color w:val="auto"/>
              </w:rPr>
            </w:pPr>
            <w:r>
              <w:rPr>
                <w:rFonts w:ascii="Arial" w:cs="Arial" w:eastAsia="Arial" w:hAnsi="Arial"/>
                <w:sz w:val="14"/>
                <w:szCs w:val="14"/>
                <w:color w:val="auto"/>
              </w:rPr>
              <w:t>Energy</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jc w:val="center"/>
              <w:ind w:left="85"/>
              <w:spacing w:after="0"/>
              <w:rPr>
                <w:sz w:val="20"/>
                <w:szCs w:val="20"/>
                <w:color w:val="auto"/>
              </w:rPr>
            </w:pPr>
            <w:r>
              <w:rPr>
                <w:rFonts w:ascii="Arial" w:cs="Arial" w:eastAsia="Arial" w:hAnsi="Arial"/>
                <w:sz w:val="14"/>
                <w:szCs w:val="14"/>
                <w:color w:val="auto"/>
              </w:rPr>
              <w:t>Energy</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840" w:type="dxa"/>
            <w:vAlign w:val="bottom"/>
          </w:tcPr>
          <w:p>
            <w:pPr>
              <w:jc w:val="center"/>
              <w:ind w:left="145"/>
              <w:spacing w:after="0"/>
              <w:rPr>
                <w:sz w:val="20"/>
                <w:szCs w:val="20"/>
                <w:color w:val="auto"/>
              </w:rPr>
            </w:pPr>
            <w:r>
              <w:rPr>
                <w:rFonts w:ascii="Arial" w:cs="Arial" w:eastAsia="Arial" w:hAnsi="Arial"/>
                <w:sz w:val="14"/>
                <w:szCs w:val="14"/>
                <w:color w:val="auto"/>
                <w:w w:val="99"/>
              </w:rPr>
              <w:t>Share-</w:t>
            </w:r>
          </w:p>
        </w:tc>
        <w:tc>
          <w:tcPr>
            <w:tcW w:w="280" w:type="dxa"/>
            <w:vAlign w:val="bottom"/>
          </w:tcPr>
          <w:p>
            <w:pPr>
              <w:spacing w:after="0"/>
              <w:rPr>
                <w:sz w:val="18"/>
                <w:szCs w:val="18"/>
                <w:color w:val="auto"/>
              </w:rPr>
            </w:pPr>
          </w:p>
        </w:tc>
        <w:tc>
          <w:tcPr>
            <w:tcW w:w="800" w:type="dxa"/>
            <w:vAlign w:val="bottom"/>
          </w:tcPr>
          <w:p>
            <w:pPr>
              <w:jc w:val="center"/>
              <w:ind w:left="65"/>
              <w:spacing w:after="0"/>
              <w:rPr>
                <w:sz w:val="20"/>
                <w:szCs w:val="20"/>
                <w:color w:val="auto"/>
              </w:rPr>
            </w:pPr>
            <w:r>
              <w:rPr>
                <w:rFonts w:ascii="Arial" w:cs="Arial" w:eastAsia="Arial" w:hAnsi="Arial"/>
                <w:sz w:val="14"/>
                <w:szCs w:val="14"/>
                <w:color w:val="auto"/>
                <w:w w:val="98"/>
              </w:rPr>
              <w:t>Non-</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jc w:val="center"/>
              <w:ind w:left="85"/>
              <w:spacing w:after="0"/>
              <w:rPr>
                <w:sz w:val="20"/>
                <w:szCs w:val="20"/>
                <w:color w:val="auto"/>
              </w:rPr>
            </w:pPr>
            <w:r>
              <w:rPr>
                <w:rFonts w:ascii="Arial" w:cs="Arial" w:eastAsia="Arial" w:hAnsi="Arial"/>
                <w:sz w:val="14"/>
                <w:szCs w:val="14"/>
                <w:color w:val="auto"/>
                <w:w w:val="99"/>
              </w:rPr>
              <w:t>Share-</w:t>
            </w:r>
          </w:p>
        </w:tc>
        <w:tc>
          <w:tcPr>
            <w:tcW w:w="180" w:type="dxa"/>
            <w:vAlign w:val="bottom"/>
          </w:tcPr>
          <w:p>
            <w:pPr>
              <w:spacing w:after="0"/>
              <w:rPr>
                <w:sz w:val="18"/>
                <w:szCs w:val="18"/>
                <w:color w:val="auto"/>
              </w:rPr>
            </w:pPr>
          </w:p>
        </w:tc>
        <w:tc>
          <w:tcPr>
            <w:tcW w:w="820" w:type="dxa"/>
            <w:vAlign w:val="bottom"/>
          </w:tcPr>
          <w:p>
            <w:pPr>
              <w:jc w:val="center"/>
              <w:ind w:left="65"/>
              <w:spacing w:after="0"/>
              <w:rPr>
                <w:sz w:val="20"/>
                <w:szCs w:val="20"/>
                <w:color w:val="auto"/>
              </w:rPr>
            </w:pPr>
            <w:r>
              <w:rPr>
                <w:rFonts w:ascii="Arial" w:cs="Arial" w:eastAsia="Arial" w:hAnsi="Arial"/>
                <w:sz w:val="14"/>
                <w:szCs w:val="14"/>
                <w:color w:val="auto"/>
              </w:rPr>
              <w:t>Non-</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840" w:type="dxa"/>
            <w:vAlign w:val="bottom"/>
          </w:tcPr>
          <w:p>
            <w:pPr>
              <w:jc w:val="center"/>
              <w:ind w:left="145"/>
              <w:spacing w:after="0"/>
              <w:rPr>
                <w:sz w:val="20"/>
                <w:szCs w:val="20"/>
                <w:color w:val="auto"/>
              </w:rPr>
            </w:pPr>
            <w:r>
              <w:rPr>
                <w:rFonts w:ascii="Arial" w:cs="Arial" w:eastAsia="Arial" w:hAnsi="Arial"/>
                <w:sz w:val="14"/>
                <w:szCs w:val="14"/>
                <w:color w:val="auto"/>
              </w:rPr>
              <w:t>holders'</w:t>
            </w:r>
          </w:p>
        </w:tc>
        <w:tc>
          <w:tcPr>
            <w:tcW w:w="280" w:type="dxa"/>
            <w:vAlign w:val="bottom"/>
          </w:tcPr>
          <w:p>
            <w:pPr>
              <w:spacing w:after="0"/>
              <w:rPr>
                <w:sz w:val="18"/>
                <w:szCs w:val="18"/>
                <w:color w:val="auto"/>
              </w:rPr>
            </w:pPr>
          </w:p>
        </w:tc>
        <w:tc>
          <w:tcPr>
            <w:tcW w:w="800" w:type="dxa"/>
            <w:vAlign w:val="bottom"/>
          </w:tcPr>
          <w:p>
            <w:pPr>
              <w:jc w:val="center"/>
              <w:ind w:left="65"/>
              <w:spacing w:after="0"/>
              <w:rPr>
                <w:sz w:val="20"/>
                <w:szCs w:val="20"/>
                <w:color w:val="auto"/>
              </w:rPr>
            </w:pPr>
            <w:r>
              <w:rPr>
                <w:rFonts w:ascii="Arial" w:cs="Arial" w:eastAsia="Arial" w:hAnsi="Arial"/>
                <w:sz w:val="14"/>
                <w:szCs w:val="14"/>
                <w:color w:val="auto"/>
              </w:rPr>
              <w:t>controlling</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center"/>
              <w:ind w:right="408"/>
              <w:spacing w:after="0"/>
              <w:rPr>
                <w:sz w:val="20"/>
                <w:szCs w:val="20"/>
                <w:color w:val="auto"/>
              </w:rPr>
            </w:pPr>
            <w:r>
              <w:rPr>
                <w:rFonts w:ascii="Arial" w:cs="Arial" w:eastAsia="Arial" w:hAnsi="Arial"/>
                <w:sz w:val="14"/>
                <w:szCs w:val="14"/>
                <w:color w:val="auto"/>
                <w:w w:val="96"/>
              </w:rPr>
              <w:t>Total</w:t>
            </w:r>
          </w:p>
        </w:tc>
        <w:tc>
          <w:tcPr>
            <w:tcW w:w="980" w:type="dxa"/>
            <w:vAlign w:val="bottom"/>
          </w:tcPr>
          <w:p>
            <w:pPr>
              <w:jc w:val="center"/>
              <w:ind w:left="85"/>
              <w:spacing w:after="0"/>
              <w:rPr>
                <w:sz w:val="20"/>
                <w:szCs w:val="20"/>
                <w:color w:val="auto"/>
              </w:rPr>
            </w:pPr>
            <w:r>
              <w:rPr>
                <w:rFonts w:ascii="Arial" w:cs="Arial" w:eastAsia="Arial" w:hAnsi="Arial"/>
                <w:sz w:val="14"/>
                <w:szCs w:val="14"/>
                <w:color w:val="auto"/>
              </w:rPr>
              <w:t>holders'</w:t>
            </w:r>
          </w:p>
        </w:tc>
        <w:tc>
          <w:tcPr>
            <w:tcW w:w="180" w:type="dxa"/>
            <w:vAlign w:val="bottom"/>
          </w:tcPr>
          <w:p>
            <w:pPr>
              <w:spacing w:after="0"/>
              <w:rPr>
                <w:sz w:val="18"/>
                <w:szCs w:val="18"/>
                <w:color w:val="auto"/>
              </w:rPr>
            </w:pPr>
          </w:p>
        </w:tc>
        <w:tc>
          <w:tcPr>
            <w:tcW w:w="820" w:type="dxa"/>
            <w:vAlign w:val="bottom"/>
          </w:tcPr>
          <w:p>
            <w:pPr>
              <w:jc w:val="center"/>
              <w:ind w:left="85"/>
              <w:spacing w:after="0"/>
              <w:rPr>
                <w:sz w:val="20"/>
                <w:szCs w:val="20"/>
                <w:color w:val="auto"/>
              </w:rPr>
            </w:pPr>
            <w:r>
              <w:rPr>
                <w:rFonts w:ascii="Arial" w:cs="Arial" w:eastAsia="Arial" w:hAnsi="Arial"/>
                <w:sz w:val="14"/>
                <w:szCs w:val="14"/>
                <w:color w:val="auto"/>
              </w:rPr>
              <w:t>controlling</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28"/>
              <w:spacing w:after="0"/>
              <w:rPr>
                <w:sz w:val="20"/>
                <w:szCs w:val="20"/>
                <w:color w:val="auto"/>
              </w:rPr>
            </w:pPr>
            <w:r>
              <w:rPr>
                <w:rFonts w:ascii="Arial" w:cs="Arial" w:eastAsia="Arial" w:hAnsi="Arial"/>
                <w:sz w:val="14"/>
                <w:szCs w:val="14"/>
                <w:color w:val="auto"/>
              </w:rPr>
              <w:t>Total</w:t>
            </w:r>
          </w:p>
        </w:tc>
      </w:tr>
      <w:tr>
        <w:trPr>
          <w:trHeight w:val="208"/>
        </w:trPr>
        <w:tc>
          <w:tcPr>
            <w:tcW w:w="47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left="125"/>
              <w:spacing w:after="0"/>
              <w:rPr>
                <w:sz w:val="20"/>
                <w:szCs w:val="20"/>
                <w:color w:val="auto"/>
              </w:rPr>
            </w:pPr>
            <w:r>
              <w:rPr>
                <w:rFonts w:ascii="Arial" w:cs="Arial" w:eastAsia="Arial" w:hAnsi="Arial"/>
                <w:sz w:val="14"/>
                <w:szCs w:val="14"/>
                <w:color w:val="auto"/>
              </w:rPr>
              <w:t>Equity</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left="65"/>
              <w:spacing w:after="0"/>
              <w:rPr>
                <w:sz w:val="20"/>
                <w:szCs w:val="20"/>
                <w:color w:val="auto"/>
              </w:rPr>
            </w:pPr>
            <w:r>
              <w:rPr>
                <w:rFonts w:ascii="Arial" w:cs="Arial" w:eastAsia="Arial" w:hAnsi="Arial"/>
                <w:sz w:val="14"/>
                <w:szCs w:val="14"/>
                <w:color w:val="auto"/>
              </w:rPr>
              <w:t>Interests</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88"/>
              <w:spacing w:after="0"/>
              <w:rPr>
                <w:sz w:val="20"/>
                <w:szCs w:val="20"/>
                <w:color w:val="auto"/>
              </w:rPr>
            </w:pPr>
            <w:r>
              <w:rPr>
                <w:rFonts w:ascii="Arial" w:cs="Arial" w:eastAsia="Arial" w:hAnsi="Arial"/>
                <w:sz w:val="14"/>
                <w:szCs w:val="14"/>
                <w:color w:val="auto"/>
              </w:rPr>
              <w:t>Equity</w:t>
            </w:r>
          </w:p>
        </w:tc>
        <w:tc>
          <w:tcPr>
            <w:tcW w:w="980" w:type="dxa"/>
            <w:vAlign w:val="bottom"/>
            <w:tcBorders>
              <w:bottom w:val="single" w:sz="8" w:color="auto"/>
            </w:tcBorders>
          </w:tcPr>
          <w:p>
            <w:pPr>
              <w:jc w:val="center"/>
              <w:ind w:left="105"/>
              <w:spacing w:after="0"/>
              <w:rPr>
                <w:sz w:val="20"/>
                <w:szCs w:val="20"/>
                <w:color w:val="auto"/>
              </w:rPr>
            </w:pPr>
            <w:r>
              <w:rPr>
                <w:rFonts w:ascii="Arial" w:cs="Arial" w:eastAsia="Arial" w:hAnsi="Arial"/>
                <w:sz w:val="14"/>
                <w:szCs w:val="14"/>
                <w:color w:val="auto"/>
              </w:rPr>
              <w:t>Equity</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left="65"/>
              <w:spacing w:after="0"/>
              <w:rPr>
                <w:sz w:val="20"/>
                <w:szCs w:val="20"/>
                <w:color w:val="auto"/>
              </w:rPr>
            </w:pPr>
            <w:r>
              <w:rPr>
                <w:rFonts w:ascii="Arial" w:cs="Arial" w:eastAsia="Arial" w:hAnsi="Arial"/>
                <w:sz w:val="14"/>
                <w:szCs w:val="14"/>
                <w:color w:val="auto"/>
              </w:rPr>
              <w:t>Interests</w:t>
            </w: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Equity</w:t>
            </w:r>
          </w:p>
        </w:tc>
      </w:tr>
      <w:tr>
        <w:trPr>
          <w:trHeight w:val="224"/>
        </w:trPr>
        <w:tc>
          <w:tcPr>
            <w:tcW w:w="476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6"/>
        </w:trPr>
        <w:tc>
          <w:tcPr>
            <w:tcW w:w="4760" w:type="dxa"/>
            <w:vAlign w:val="bottom"/>
          </w:tcPr>
          <w:p>
            <w:pPr>
              <w:ind w:left="220"/>
              <w:spacing w:after="0"/>
              <w:rPr>
                <w:sz w:val="20"/>
                <w:szCs w:val="20"/>
                <w:color w:val="auto"/>
              </w:rPr>
            </w:pPr>
            <w:r>
              <w:rPr>
                <w:rFonts w:ascii="Arial" w:cs="Arial" w:eastAsia="Arial" w:hAnsi="Arial"/>
                <w:sz w:val="16"/>
                <w:szCs w:val="16"/>
                <w:b w:val="1"/>
                <w:bCs w:val="1"/>
                <w:color w:val="auto"/>
              </w:rPr>
              <w:t>Other comprehensive income before</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6"/>
                <w:szCs w:val="16"/>
                <w:b w:val="1"/>
                <w:bCs w:val="1"/>
                <w:color w:val="auto"/>
              </w:rPr>
              <w:t>reclassifications: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4"/>
        </w:trPr>
        <w:tc>
          <w:tcPr>
            <w:tcW w:w="4760" w:type="dxa"/>
            <w:vAlign w:val="bottom"/>
          </w:tcPr>
          <w:p>
            <w:pPr>
              <w:ind w:left="620"/>
              <w:spacing w:after="0"/>
              <w:rPr>
                <w:sz w:val="20"/>
                <w:szCs w:val="20"/>
                <w:color w:val="auto"/>
              </w:rPr>
            </w:pPr>
            <w:r>
              <w:rPr>
                <w:rFonts w:ascii="Arial" w:cs="Arial" w:eastAsia="Arial" w:hAnsi="Arial"/>
                <w:sz w:val="16"/>
                <w:szCs w:val="16"/>
                <w:color w:val="auto"/>
              </w:rPr>
              <w:t>Financial instruments</w:t>
            </w:r>
          </w:p>
        </w:tc>
        <w:tc>
          <w:tcPr>
            <w:tcW w:w="840" w:type="dxa"/>
            <w:vAlign w:val="bottom"/>
          </w:tcPr>
          <w:p>
            <w:pPr>
              <w:jc w:val="right"/>
              <w:ind w:right="545"/>
              <w:spacing w:after="0"/>
              <w:rPr>
                <w:sz w:val="20"/>
                <w:szCs w:val="20"/>
                <w:color w:val="auto"/>
              </w:rPr>
            </w:pPr>
            <w:r>
              <w:rPr>
                <w:rFonts w:ascii="Arial" w:cs="Arial" w:eastAsia="Arial" w:hAnsi="Arial"/>
                <w:sz w:val="16"/>
                <w:szCs w:val="16"/>
                <w:color w:val="auto"/>
              </w:rPr>
              <w:t>$</w:t>
            </w:r>
          </w:p>
        </w:tc>
        <w:tc>
          <w:tcPr>
            <w:tcW w:w="280" w:type="dxa"/>
            <w:vAlign w:val="bottom"/>
          </w:tcPr>
          <w:p>
            <w:pPr>
              <w:jc w:val="center"/>
              <w:spacing w:after="0"/>
              <w:rPr>
                <w:sz w:val="20"/>
                <w:szCs w:val="20"/>
                <w:color w:val="auto"/>
              </w:rPr>
            </w:pPr>
            <w:r>
              <w:rPr>
                <w:rFonts w:ascii="Arial" w:cs="Arial" w:eastAsia="Arial" w:hAnsi="Arial"/>
                <w:sz w:val="14"/>
                <w:szCs w:val="14"/>
                <w:color w:val="auto"/>
              </w:rPr>
              <w:t>(7)</w:t>
            </w:r>
          </w:p>
        </w:tc>
        <w:tc>
          <w:tcPr>
            <w:tcW w:w="800" w:type="dxa"/>
            <w:vAlign w:val="bottom"/>
          </w:tcPr>
          <w:p>
            <w:pPr>
              <w:jc w:val="right"/>
              <w:ind w:right="565"/>
              <w:spacing w:after="0"/>
              <w:rPr>
                <w:sz w:val="20"/>
                <w:szCs w:val="20"/>
                <w:color w:val="auto"/>
              </w:rPr>
            </w:pPr>
            <w:r>
              <w:rPr>
                <w:rFonts w:ascii="Arial" w:cs="Arial" w:eastAsia="Arial" w:hAnsi="Arial"/>
                <w:sz w:val="16"/>
                <w:szCs w:val="16"/>
                <w:color w:val="auto"/>
              </w:rPr>
              <w:t>$</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center"/>
              <w:ind w:left="348"/>
              <w:spacing w:after="0"/>
              <w:rPr>
                <w:sz w:val="20"/>
                <w:szCs w:val="20"/>
                <w:color w:val="auto"/>
              </w:rPr>
            </w:pPr>
            <w:r>
              <w:rPr>
                <w:rFonts w:ascii="Arial" w:cs="Arial" w:eastAsia="Arial" w:hAnsi="Arial"/>
                <w:sz w:val="14"/>
                <w:szCs w:val="14"/>
                <w:color w:val="auto"/>
                <w:w w:val="93"/>
              </w:rPr>
              <w:t>(7)</w:t>
            </w:r>
          </w:p>
        </w:tc>
        <w:tc>
          <w:tcPr>
            <w:tcW w:w="980" w:type="dxa"/>
            <w:vAlign w:val="bottom"/>
          </w:tcPr>
          <w:p>
            <w:pPr>
              <w:jc w:val="right"/>
              <w:ind w:right="645"/>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2</w:t>
            </w:r>
          </w:p>
        </w:tc>
        <w:tc>
          <w:tcPr>
            <w:tcW w:w="820" w:type="dxa"/>
            <w:vAlign w:val="bottom"/>
          </w:tcPr>
          <w:p>
            <w:pPr>
              <w:jc w:val="right"/>
              <w:ind w:right="565"/>
              <w:spacing w:after="0"/>
              <w:rPr>
                <w:sz w:val="20"/>
                <w:szCs w:val="20"/>
                <w:color w:val="auto"/>
              </w:rPr>
            </w:pPr>
            <w:r>
              <w:rPr>
                <w:rFonts w:ascii="Arial" w:cs="Arial" w:eastAsia="Arial" w:hAnsi="Arial"/>
                <w:sz w:val="16"/>
                <w:szCs w:val="16"/>
                <w:color w:val="auto"/>
              </w:rPr>
              <w:t>$</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425"/>
        </w:trPr>
        <w:tc>
          <w:tcPr>
            <w:tcW w:w="4760" w:type="dxa"/>
            <w:vAlign w:val="bottom"/>
          </w:tcPr>
          <w:p>
            <w:pPr>
              <w:ind w:left="220"/>
              <w:spacing w:after="0"/>
              <w:rPr>
                <w:sz w:val="20"/>
                <w:szCs w:val="20"/>
                <w:color w:val="auto"/>
              </w:rPr>
            </w:pPr>
            <w:r>
              <w:rPr>
                <w:rFonts w:ascii="Arial" w:cs="Arial" w:eastAsia="Arial" w:hAnsi="Arial"/>
                <w:sz w:val="16"/>
                <w:szCs w:val="16"/>
                <w:b w:val="1"/>
                <w:bCs w:val="1"/>
                <w:color w:val="auto"/>
              </w:rPr>
              <w:t>Amounts reclassified from accumulated other</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6"/>
                <w:szCs w:val="16"/>
                <w:b w:val="1"/>
                <w:bCs w:val="1"/>
                <w:color w:val="auto"/>
              </w:rPr>
              <w:t>comprehensive income:</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4"/>
        </w:trPr>
        <w:tc>
          <w:tcPr>
            <w:tcW w:w="4760" w:type="dxa"/>
            <w:vAlign w:val="bottom"/>
          </w:tcPr>
          <w:p>
            <w:pPr>
              <w:ind w:left="620"/>
              <w:spacing w:after="0"/>
              <w:rPr>
                <w:sz w:val="20"/>
                <w:szCs w:val="20"/>
                <w:color w:val="auto"/>
              </w:rPr>
            </w:pPr>
            <w:r>
              <w:rPr>
                <w:rFonts w:ascii="Arial" w:cs="Arial" w:eastAsia="Arial" w:hAnsi="Arial"/>
                <w:sz w:val="16"/>
                <w:szCs w:val="16"/>
                <w:color w:val="auto"/>
              </w:rPr>
              <w:t>Pension and other postretirement benefits</w:t>
            </w:r>
          </w:p>
        </w:tc>
        <w:tc>
          <w:tcPr>
            <w:tcW w:w="840" w:type="dxa"/>
            <w:vAlign w:val="bottom"/>
          </w:tcPr>
          <w:p>
            <w:pPr>
              <w:jc w:val="right"/>
              <w:ind w:right="545"/>
              <w:spacing w:after="0"/>
              <w:rPr>
                <w:sz w:val="20"/>
                <w:szCs w:val="20"/>
                <w:color w:val="auto"/>
              </w:rPr>
            </w:pPr>
            <w:r>
              <w:rPr>
                <w:rFonts w:ascii="Arial" w:cs="Arial" w:eastAsia="Arial" w:hAnsi="Arial"/>
                <w:sz w:val="16"/>
                <w:szCs w:val="16"/>
                <w:color w:val="auto"/>
              </w:rPr>
              <w:t>$</w:t>
            </w:r>
          </w:p>
        </w:tc>
        <w:tc>
          <w:tcPr>
            <w:tcW w:w="280" w:type="dxa"/>
            <w:vAlign w:val="bottom"/>
          </w:tcPr>
          <w:p>
            <w:pPr>
              <w:jc w:val="center"/>
              <w:spacing w:after="0"/>
              <w:rPr>
                <w:sz w:val="20"/>
                <w:szCs w:val="20"/>
                <w:color w:val="auto"/>
              </w:rPr>
            </w:pPr>
            <w:r>
              <w:rPr>
                <w:rFonts w:ascii="Arial" w:cs="Arial" w:eastAsia="Arial" w:hAnsi="Arial"/>
                <w:sz w:val="14"/>
                <w:szCs w:val="14"/>
                <w:color w:val="auto"/>
              </w:rPr>
              <w:t>2</w:t>
            </w:r>
          </w:p>
        </w:tc>
        <w:tc>
          <w:tcPr>
            <w:tcW w:w="800" w:type="dxa"/>
            <w:vAlign w:val="bottom"/>
          </w:tcPr>
          <w:p>
            <w:pPr>
              <w:jc w:val="right"/>
              <w:ind w:right="565"/>
              <w:spacing w:after="0"/>
              <w:rPr>
                <w:sz w:val="20"/>
                <w:szCs w:val="20"/>
                <w:color w:val="auto"/>
              </w:rPr>
            </w:pPr>
            <w:r>
              <w:rPr>
                <w:rFonts w:ascii="Arial" w:cs="Arial" w:eastAsia="Arial" w:hAnsi="Arial"/>
                <w:sz w:val="16"/>
                <w:szCs w:val="16"/>
                <w:color w:val="auto"/>
              </w:rPr>
              <w:t>$</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center"/>
              <w:ind w:left="348"/>
              <w:spacing w:after="0"/>
              <w:rPr>
                <w:sz w:val="20"/>
                <w:szCs w:val="20"/>
                <w:color w:val="auto"/>
              </w:rPr>
            </w:pPr>
            <w:r>
              <w:rPr>
                <w:rFonts w:ascii="Arial" w:cs="Arial" w:eastAsia="Arial" w:hAnsi="Arial"/>
                <w:sz w:val="14"/>
                <w:szCs w:val="14"/>
                <w:color w:val="auto"/>
              </w:rPr>
              <w:t>2</w:t>
            </w:r>
          </w:p>
        </w:tc>
        <w:tc>
          <w:tcPr>
            <w:tcW w:w="980" w:type="dxa"/>
            <w:vAlign w:val="bottom"/>
          </w:tcPr>
          <w:p>
            <w:pPr>
              <w:jc w:val="right"/>
              <w:ind w:right="645"/>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1</w:t>
            </w:r>
          </w:p>
        </w:tc>
        <w:tc>
          <w:tcPr>
            <w:tcW w:w="820" w:type="dxa"/>
            <w:vAlign w:val="bottom"/>
          </w:tcPr>
          <w:p>
            <w:pPr>
              <w:jc w:val="right"/>
              <w:ind w:right="565"/>
              <w:spacing w:after="0"/>
              <w:rPr>
                <w:sz w:val="20"/>
                <w:szCs w:val="20"/>
                <w:color w:val="auto"/>
              </w:rPr>
            </w:pPr>
            <w:r>
              <w:rPr>
                <w:rFonts w:ascii="Arial" w:cs="Arial" w:eastAsia="Arial" w:hAnsi="Arial"/>
                <w:sz w:val="16"/>
                <w:szCs w:val="16"/>
                <w:color w:val="auto"/>
              </w:rPr>
              <w:t>$</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1"/>
        </w:trPr>
        <w:tc>
          <w:tcPr>
            <w:tcW w:w="476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Financial instruments</w:t>
            </w:r>
          </w:p>
        </w:tc>
        <w:tc>
          <w:tcPr>
            <w:tcW w:w="8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8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color w:val="auto"/>
              </w:rPr>
              <w:t>1</w:t>
            </w:r>
          </w:p>
        </w:tc>
        <w:tc>
          <w:tcPr>
            <w:tcW w:w="9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1</w:t>
            </w:r>
          </w:p>
        </w:tc>
        <w:tc>
          <w:tcPr>
            <w:tcW w:w="8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1"/>
        </w:trPr>
        <w:tc>
          <w:tcPr>
            <w:tcW w:w="4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Income tax amounts associated with other comprehensive income during the three months ended March 31, 2013 and 2012 at SDG&amp;E and SoCalGas were negligible.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 AND NONCONTROLLING INTERESTS</w:t>
      </w:r>
    </w:p>
    <w:p>
      <w:pPr>
        <w:spacing w:after="0" w:line="2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two tables provide a reconciliation of Sempra Energy’s and SDG&amp;E’s shareholders’ equity and noncontrolling interests for the three months ended March 31, 2013 and 2012.</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SHAREHOLDERS’ EQUITY AND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jc w:val="center"/>
              <w:ind w:right="2"/>
              <w:spacing w:after="0"/>
              <w:rPr>
                <w:sz w:val="20"/>
                <w:szCs w:val="20"/>
                <w:color w:val="auto"/>
              </w:rPr>
            </w:pPr>
            <w:r>
              <w:rPr>
                <w:rFonts w:ascii="Arial" w:cs="Arial" w:eastAsia="Arial" w:hAnsi="Arial"/>
                <w:sz w:val="14"/>
                <w:szCs w:val="14"/>
                <w:color w:val="auto"/>
              </w:rPr>
              <w:t>Sempra</w:t>
            </w:r>
          </w:p>
        </w:tc>
        <w:tc>
          <w:tcPr>
            <w:tcW w:w="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16"/>
        </w:trPr>
        <w:tc>
          <w:tcPr>
            <w:tcW w:w="4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tcPr>
          <w:p>
            <w:pPr>
              <w:jc w:val="center"/>
              <w:ind w:right="2"/>
              <w:spacing w:after="0"/>
              <w:rPr>
                <w:sz w:val="20"/>
                <w:szCs w:val="20"/>
                <w:color w:val="auto"/>
              </w:rPr>
            </w:pPr>
            <w:r>
              <w:rPr>
                <w:rFonts w:ascii="Arial" w:cs="Arial" w:eastAsia="Arial" w:hAnsi="Arial"/>
                <w:sz w:val="14"/>
                <w:szCs w:val="14"/>
                <w:color w:val="auto"/>
              </w:rPr>
              <w:t>Energy</w:t>
            </w:r>
          </w:p>
        </w:tc>
        <w:tc>
          <w:tcPr>
            <w:tcW w:w="460" w:type="dxa"/>
            <w:vAlign w:val="bottom"/>
          </w:tcPr>
          <w:p>
            <w:pPr>
              <w:spacing w:after="0"/>
              <w:rPr>
                <w:sz w:val="18"/>
                <w:szCs w:val="18"/>
                <w:color w:val="auto"/>
              </w:rPr>
            </w:pPr>
          </w:p>
        </w:tc>
        <w:tc>
          <w:tcPr>
            <w:tcW w:w="1480" w:type="dxa"/>
            <w:vAlign w:val="bottom"/>
          </w:tcPr>
          <w:p>
            <w:pPr>
              <w:jc w:val="center"/>
              <w:ind w:right="161"/>
              <w:spacing w:after="0"/>
              <w:rPr>
                <w:sz w:val="20"/>
                <w:szCs w:val="20"/>
                <w:color w:val="auto"/>
              </w:rPr>
            </w:pPr>
            <w:r>
              <w:rPr>
                <w:rFonts w:ascii="Arial" w:cs="Arial" w:eastAsia="Arial" w:hAnsi="Arial"/>
                <w:sz w:val="14"/>
                <w:szCs w:val="14"/>
                <w:color w:val="auto"/>
              </w:rPr>
              <w:t>Non-</w:t>
            </w:r>
          </w:p>
        </w:tc>
        <w:tc>
          <w:tcPr>
            <w:tcW w:w="6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tcPr>
          <w:p>
            <w:pPr>
              <w:jc w:val="center"/>
              <w:ind w:right="2"/>
              <w:spacing w:after="0"/>
              <w:rPr>
                <w:sz w:val="20"/>
                <w:szCs w:val="20"/>
                <w:color w:val="auto"/>
              </w:rPr>
            </w:pPr>
            <w:r>
              <w:rPr>
                <w:rFonts w:ascii="Arial" w:cs="Arial" w:eastAsia="Arial" w:hAnsi="Arial"/>
                <w:sz w:val="14"/>
                <w:szCs w:val="14"/>
                <w:color w:val="auto"/>
              </w:rPr>
              <w:t>Shareholders’</w:t>
            </w:r>
          </w:p>
        </w:tc>
        <w:tc>
          <w:tcPr>
            <w:tcW w:w="460" w:type="dxa"/>
            <w:vAlign w:val="bottom"/>
          </w:tcPr>
          <w:p>
            <w:pPr>
              <w:spacing w:after="0"/>
              <w:rPr>
                <w:sz w:val="18"/>
                <w:szCs w:val="18"/>
                <w:color w:val="auto"/>
              </w:rPr>
            </w:pPr>
          </w:p>
        </w:tc>
        <w:tc>
          <w:tcPr>
            <w:tcW w:w="1480" w:type="dxa"/>
            <w:vAlign w:val="bottom"/>
          </w:tcPr>
          <w:p>
            <w:pPr>
              <w:jc w:val="center"/>
              <w:ind w:right="141"/>
              <w:spacing w:after="0"/>
              <w:rPr>
                <w:sz w:val="20"/>
                <w:szCs w:val="20"/>
                <w:color w:val="auto"/>
              </w:rPr>
            </w:pPr>
            <w:r>
              <w:rPr>
                <w:rFonts w:ascii="Arial" w:cs="Arial" w:eastAsia="Arial" w:hAnsi="Arial"/>
                <w:sz w:val="14"/>
                <w:szCs w:val="14"/>
                <w:color w:val="auto"/>
              </w:rPr>
              <w:t>controlling</w:t>
            </w:r>
          </w:p>
        </w:tc>
        <w:tc>
          <w:tcPr>
            <w:tcW w:w="620" w:type="dxa"/>
            <w:vAlign w:val="bottom"/>
          </w:tcPr>
          <w:p>
            <w:pPr>
              <w:spacing w:after="0"/>
              <w:rPr>
                <w:sz w:val="18"/>
                <w:szCs w:val="18"/>
                <w:color w:val="auto"/>
              </w:rPr>
            </w:pPr>
          </w:p>
        </w:tc>
        <w:tc>
          <w:tcPr>
            <w:tcW w:w="1360" w:type="dxa"/>
            <w:vAlign w:val="bottom"/>
          </w:tcPr>
          <w:p>
            <w:pPr>
              <w:jc w:val="right"/>
              <w:ind w:right="521"/>
              <w:spacing w:after="0"/>
              <w:rPr>
                <w:sz w:val="20"/>
                <w:szCs w:val="20"/>
                <w:color w:val="auto"/>
              </w:rPr>
            </w:pPr>
            <w:r>
              <w:rPr>
                <w:rFonts w:ascii="Arial" w:cs="Arial" w:eastAsia="Arial" w:hAnsi="Arial"/>
                <w:sz w:val="14"/>
                <w:szCs w:val="14"/>
                <w:color w:val="auto"/>
              </w:rPr>
              <w:t>Total</w:t>
            </w:r>
          </w:p>
        </w:tc>
      </w:tr>
      <w:tr>
        <w:trPr>
          <w:trHeight w:val="208"/>
        </w:trPr>
        <w:tc>
          <w:tcPr>
            <w:tcW w:w="46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Equity</w:t>
            </w: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color w:val="auto"/>
              </w:rPr>
              <w:t>Interests</w:t>
            </w:r>
          </w:p>
        </w:tc>
        <w:tc>
          <w:tcPr>
            <w:tcW w:w="6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color w:val="auto"/>
              </w:rPr>
              <w:t>Equity</w:t>
            </w:r>
          </w:p>
        </w:tc>
      </w:tr>
      <w:tr>
        <w:trPr>
          <w:trHeight w:val="197"/>
        </w:trPr>
        <w:tc>
          <w:tcPr>
            <w:tcW w:w="4620" w:type="dxa"/>
            <w:vAlign w:val="bottom"/>
          </w:tcPr>
          <w:p>
            <w:pPr>
              <w:spacing w:after="0"/>
              <w:rPr>
                <w:sz w:val="20"/>
                <w:szCs w:val="20"/>
                <w:color w:val="auto"/>
              </w:rPr>
            </w:pPr>
            <w:r>
              <w:rPr>
                <w:rFonts w:ascii="Arial" w:cs="Arial" w:eastAsia="Arial" w:hAnsi="Arial"/>
                <w:sz w:val="16"/>
                <w:szCs w:val="16"/>
                <w:color w:val="auto"/>
              </w:rPr>
              <w:t>Balance at December 31, 2012</w:t>
            </w:r>
          </w:p>
        </w:tc>
        <w:tc>
          <w:tcPr>
            <w:tcW w:w="13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62"/>
              <w:spacing w:after="0"/>
              <w:rPr>
                <w:sz w:val="20"/>
                <w:szCs w:val="20"/>
                <w:color w:val="auto"/>
              </w:rPr>
            </w:pPr>
            <w:r>
              <w:rPr>
                <w:rFonts w:ascii="Arial" w:cs="Arial" w:eastAsia="Arial" w:hAnsi="Arial"/>
                <w:sz w:val="16"/>
                <w:szCs w:val="16"/>
                <w:color w:val="auto"/>
              </w:rPr>
              <w:t>10,282</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81"/>
              <w:spacing w:after="0"/>
              <w:rPr>
                <w:sz w:val="20"/>
                <w:szCs w:val="20"/>
                <w:color w:val="auto"/>
              </w:rPr>
            </w:pPr>
            <w:r>
              <w:rPr>
                <w:rFonts w:ascii="Arial" w:cs="Arial" w:eastAsia="Arial" w:hAnsi="Arial"/>
                <w:sz w:val="16"/>
                <w:szCs w:val="16"/>
                <w:color w:val="auto"/>
              </w:rPr>
              <w:t>401</w:t>
            </w:r>
          </w:p>
        </w:tc>
        <w:tc>
          <w:tcPr>
            <w:tcW w:w="6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10,683</w:t>
            </w: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Comprehensive income (loss)</w:t>
            </w:r>
          </w:p>
        </w:tc>
        <w:tc>
          <w:tcPr>
            <w:tcW w:w="1300" w:type="dxa"/>
            <w:vAlign w:val="bottom"/>
          </w:tcPr>
          <w:p>
            <w:pPr>
              <w:spacing w:after="0"/>
              <w:rPr>
                <w:sz w:val="18"/>
                <w:szCs w:val="18"/>
                <w:color w:val="auto"/>
              </w:rPr>
            </w:pPr>
          </w:p>
        </w:tc>
        <w:tc>
          <w:tcPr>
            <w:tcW w:w="1580" w:type="dxa"/>
            <w:vAlign w:val="bottom"/>
          </w:tcPr>
          <w:p>
            <w:pPr>
              <w:jc w:val="right"/>
              <w:ind w:right="62"/>
              <w:spacing w:after="0"/>
              <w:rPr>
                <w:sz w:val="20"/>
                <w:szCs w:val="20"/>
                <w:color w:val="auto"/>
              </w:rPr>
            </w:pPr>
            <w:r>
              <w:rPr>
                <w:rFonts w:ascii="Arial" w:cs="Arial" w:eastAsia="Arial" w:hAnsi="Arial"/>
                <w:sz w:val="16"/>
                <w:szCs w:val="16"/>
                <w:color w:val="auto"/>
              </w:rPr>
              <w:t>179</w:t>
            </w:r>
          </w:p>
        </w:tc>
        <w:tc>
          <w:tcPr>
            <w:tcW w:w="460" w:type="dxa"/>
            <w:vAlign w:val="bottom"/>
          </w:tcPr>
          <w:p>
            <w:pPr>
              <w:spacing w:after="0"/>
              <w:rPr>
                <w:sz w:val="18"/>
                <w:szCs w:val="18"/>
                <w:color w:val="auto"/>
              </w:rPr>
            </w:pP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6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Preferred dividends of subsidiaries</w:t>
            </w:r>
          </w:p>
        </w:tc>
        <w:tc>
          <w:tcPr>
            <w:tcW w:w="1300" w:type="dxa"/>
            <w:vAlign w:val="bottom"/>
          </w:tcPr>
          <w:p>
            <w:pPr>
              <w:spacing w:after="0"/>
              <w:rPr>
                <w:sz w:val="18"/>
                <w:szCs w:val="18"/>
                <w:color w:val="auto"/>
              </w:rPr>
            </w:pPr>
          </w:p>
        </w:tc>
        <w:tc>
          <w:tcPr>
            <w:tcW w:w="1580" w:type="dxa"/>
            <w:vAlign w:val="bottom"/>
          </w:tcPr>
          <w:p>
            <w:pPr>
              <w:jc w:val="right"/>
              <w:ind w:right="22"/>
              <w:spacing w:after="0"/>
              <w:rPr>
                <w:sz w:val="20"/>
                <w:szCs w:val="20"/>
                <w:color w:val="auto"/>
              </w:rPr>
            </w:pPr>
            <w:r>
              <w:rPr>
                <w:rFonts w:ascii="Arial" w:cs="Arial" w:eastAsia="Arial" w:hAnsi="Arial"/>
                <w:sz w:val="16"/>
                <w:szCs w:val="16"/>
                <w:color w:val="auto"/>
              </w:rPr>
              <w:t>(2)</w:t>
            </w:r>
          </w:p>
        </w:tc>
        <w:tc>
          <w:tcPr>
            <w:tcW w:w="460" w:type="dxa"/>
            <w:vAlign w:val="bottom"/>
          </w:tcPr>
          <w:p>
            <w:pPr>
              <w:spacing w:after="0"/>
              <w:rPr>
                <w:sz w:val="18"/>
                <w:szCs w:val="18"/>
                <w:color w:val="auto"/>
              </w:rPr>
            </w:pPr>
          </w:p>
        </w:tc>
        <w:tc>
          <w:tcPr>
            <w:tcW w:w="14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Share-based compensation expense</w:t>
            </w:r>
          </w:p>
        </w:tc>
        <w:tc>
          <w:tcPr>
            <w:tcW w:w="1300" w:type="dxa"/>
            <w:vAlign w:val="bottom"/>
          </w:tcPr>
          <w:p>
            <w:pPr>
              <w:spacing w:after="0"/>
              <w:rPr>
                <w:sz w:val="18"/>
                <w:szCs w:val="18"/>
                <w:color w:val="auto"/>
              </w:rPr>
            </w:pPr>
          </w:p>
        </w:tc>
        <w:tc>
          <w:tcPr>
            <w:tcW w:w="1580" w:type="dxa"/>
            <w:vAlign w:val="bottom"/>
          </w:tcPr>
          <w:p>
            <w:pPr>
              <w:jc w:val="right"/>
              <w:ind w:right="62"/>
              <w:spacing w:after="0"/>
              <w:rPr>
                <w:sz w:val="20"/>
                <w:szCs w:val="20"/>
                <w:color w:val="auto"/>
              </w:rPr>
            </w:pPr>
            <w:r>
              <w:rPr>
                <w:rFonts w:ascii="Arial" w:cs="Arial" w:eastAsia="Arial" w:hAnsi="Arial"/>
                <w:sz w:val="16"/>
                <w:szCs w:val="16"/>
                <w:color w:val="auto"/>
              </w:rPr>
              <w:t>10</w:t>
            </w:r>
          </w:p>
        </w:tc>
        <w:tc>
          <w:tcPr>
            <w:tcW w:w="460" w:type="dxa"/>
            <w:vAlign w:val="bottom"/>
          </w:tcPr>
          <w:p>
            <w:pPr>
              <w:spacing w:after="0"/>
              <w:rPr>
                <w:sz w:val="18"/>
                <w:szCs w:val="18"/>
                <w:color w:val="auto"/>
              </w:rPr>
            </w:pPr>
          </w:p>
        </w:tc>
        <w:tc>
          <w:tcPr>
            <w:tcW w:w="14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Common stock dividends declared</w:t>
            </w:r>
          </w:p>
        </w:tc>
        <w:tc>
          <w:tcPr>
            <w:tcW w:w="1300" w:type="dxa"/>
            <w:vAlign w:val="bottom"/>
          </w:tcPr>
          <w:p>
            <w:pPr>
              <w:spacing w:after="0"/>
              <w:rPr>
                <w:sz w:val="18"/>
                <w:szCs w:val="18"/>
                <w:color w:val="auto"/>
              </w:rPr>
            </w:pPr>
          </w:p>
        </w:tc>
        <w:tc>
          <w:tcPr>
            <w:tcW w:w="1580" w:type="dxa"/>
            <w:vAlign w:val="bottom"/>
          </w:tcPr>
          <w:p>
            <w:pPr>
              <w:jc w:val="right"/>
              <w:ind w:right="22"/>
              <w:spacing w:after="0"/>
              <w:rPr>
                <w:sz w:val="20"/>
                <w:szCs w:val="20"/>
                <w:color w:val="auto"/>
              </w:rPr>
            </w:pPr>
            <w:r>
              <w:rPr>
                <w:rFonts w:ascii="Arial" w:cs="Arial" w:eastAsia="Arial" w:hAnsi="Arial"/>
                <w:sz w:val="16"/>
                <w:szCs w:val="16"/>
                <w:color w:val="auto"/>
              </w:rPr>
              <w:t>(153)</w:t>
            </w:r>
          </w:p>
        </w:tc>
        <w:tc>
          <w:tcPr>
            <w:tcW w:w="460" w:type="dxa"/>
            <w:vAlign w:val="bottom"/>
          </w:tcPr>
          <w:p>
            <w:pPr>
              <w:spacing w:after="0"/>
              <w:rPr>
                <w:sz w:val="18"/>
                <w:szCs w:val="18"/>
                <w:color w:val="auto"/>
              </w:rPr>
            </w:pPr>
          </w:p>
        </w:tc>
        <w:tc>
          <w:tcPr>
            <w:tcW w:w="14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Issuance of common stock</w:t>
            </w:r>
          </w:p>
        </w:tc>
        <w:tc>
          <w:tcPr>
            <w:tcW w:w="1300" w:type="dxa"/>
            <w:vAlign w:val="bottom"/>
          </w:tcPr>
          <w:p>
            <w:pPr>
              <w:spacing w:after="0"/>
              <w:rPr>
                <w:sz w:val="18"/>
                <w:szCs w:val="18"/>
                <w:color w:val="auto"/>
              </w:rPr>
            </w:pPr>
          </w:p>
        </w:tc>
        <w:tc>
          <w:tcPr>
            <w:tcW w:w="1580" w:type="dxa"/>
            <w:vAlign w:val="bottom"/>
          </w:tcPr>
          <w:p>
            <w:pPr>
              <w:jc w:val="right"/>
              <w:ind w:right="62"/>
              <w:spacing w:after="0"/>
              <w:rPr>
                <w:sz w:val="20"/>
                <w:szCs w:val="20"/>
                <w:color w:val="auto"/>
              </w:rPr>
            </w:pPr>
            <w:r>
              <w:rPr>
                <w:rFonts w:ascii="Arial" w:cs="Arial" w:eastAsia="Arial" w:hAnsi="Arial"/>
                <w:sz w:val="16"/>
                <w:szCs w:val="16"/>
                <w:color w:val="auto"/>
              </w:rPr>
              <w:t>15</w:t>
            </w:r>
          </w:p>
        </w:tc>
        <w:tc>
          <w:tcPr>
            <w:tcW w:w="460" w:type="dxa"/>
            <w:vAlign w:val="bottom"/>
          </w:tcPr>
          <w:p>
            <w:pPr>
              <w:spacing w:after="0"/>
              <w:rPr>
                <w:sz w:val="18"/>
                <w:szCs w:val="18"/>
                <w:color w:val="auto"/>
              </w:rPr>
            </w:pPr>
          </w:p>
        </w:tc>
        <w:tc>
          <w:tcPr>
            <w:tcW w:w="14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Repurchase of common stock</w:t>
            </w:r>
          </w:p>
        </w:tc>
        <w:tc>
          <w:tcPr>
            <w:tcW w:w="1300" w:type="dxa"/>
            <w:vAlign w:val="bottom"/>
          </w:tcPr>
          <w:p>
            <w:pPr>
              <w:spacing w:after="0"/>
              <w:rPr>
                <w:sz w:val="18"/>
                <w:szCs w:val="18"/>
                <w:color w:val="auto"/>
              </w:rPr>
            </w:pPr>
          </w:p>
        </w:tc>
        <w:tc>
          <w:tcPr>
            <w:tcW w:w="1580" w:type="dxa"/>
            <w:vAlign w:val="bottom"/>
          </w:tcPr>
          <w:p>
            <w:pPr>
              <w:jc w:val="right"/>
              <w:ind w:right="22"/>
              <w:spacing w:after="0"/>
              <w:rPr>
                <w:sz w:val="20"/>
                <w:szCs w:val="20"/>
                <w:color w:val="auto"/>
              </w:rPr>
            </w:pPr>
            <w:r>
              <w:rPr>
                <w:rFonts w:ascii="Arial" w:cs="Arial" w:eastAsia="Arial" w:hAnsi="Arial"/>
                <w:sz w:val="16"/>
                <w:szCs w:val="16"/>
                <w:color w:val="auto"/>
              </w:rPr>
              <w:t>(45)</w:t>
            </w:r>
          </w:p>
        </w:tc>
        <w:tc>
          <w:tcPr>
            <w:tcW w:w="460" w:type="dxa"/>
            <w:vAlign w:val="bottom"/>
          </w:tcPr>
          <w:p>
            <w:pPr>
              <w:spacing w:after="0"/>
              <w:rPr>
                <w:sz w:val="18"/>
                <w:szCs w:val="18"/>
                <w:color w:val="auto"/>
              </w:rPr>
            </w:pPr>
          </w:p>
        </w:tc>
        <w:tc>
          <w:tcPr>
            <w:tcW w:w="14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Tax benefit related to share-based compensation</w:t>
            </w:r>
          </w:p>
        </w:tc>
        <w:tc>
          <w:tcPr>
            <w:tcW w:w="1300" w:type="dxa"/>
            <w:vAlign w:val="bottom"/>
          </w:tcPr>
          <w:p>
            <w:pPr>
              <w:spacing w:after="0"/>
              <w:rPr>
                <w:sz w:val="18"/>
                <w:szCs w:val="18"/>
                <w:color w:val="auto"/>
              </w:rPr>
            </w:pPr>
          </w:p>
        </w:tc>
        <w:tc>
          <w:tcPr>
            <w:tcW w:w="1580" w:type="dxa"/>
            <w:vAlign w:val="bottom"/>
          </w:tcPr>
          <w:p>
            <w:pPr>
              <w:jc w:val="right"/>
              <w:ind w:right="62"/>
              <w:spacing w:after="0"/>
              <w:rPr>
                <w:sz w:val="20"/>
                <w:szCs w:val="20"/>
                <w:color w:val="auto"/>
              </w:rPr>
            </w:pPr>
            <w:r>
              <w:rPr>
                <w:rFonts w:ascii="Arial" w:cs="Arial" w:eastAsia="Arial" w:hAnsi="Arial"/>
                <w:sz w:val="16"/>
                <w:szCs w:val="16"/>
                <w:color w:val="auto"/>
              </w:rPr>
              <w:t>2</w:t>
            </w:r>
          </w:p>
        </w:tc>
        <w:tc>
          <w:tcPr>
            <w:tcW w:w="460" w:type="dxa"/>
            <w:vAlign w:val="bottom"/>
          </w:tcPr>
          <w:p>
            <w:pPr>
              <w:spacing w:after="0"/>
              <w:rPr>
                <w:sz w:val="18"/>
                <w:szCs w:val="18"/>
                <w:color w:val="auto"/>
              </w:rPr>
            </w:pPr>
          </w:p>
        </w:tc>
        <w:tc>
          <w:tcPr>
            <w:tcW w:w="14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Sale of noncontrolling interests, net of offering costs</w:t>
            </w:r>
          </w:p>
        </w:tc>
        <w:tc>
          <w:tcPr>
            <w:tcW w:w="1300" w:type="dxa"/>
            <w:vAlign w:val="bottom"/>
          </w:tcPr>
          <w:p>
            <w:pPr>
              <w:spacing w:after="0"/>
              <w:rPr>
                <w:sz w:val="18"/>
                <w:szCs w:val="18"/>
                <w:color w:val="auto"/>
              </w:rPr>
            </w:pPr>
          </w:p>
        </w:tc>
        <w:tc>
          <w:tcPr>
            <w:tcW w:w="1580" w:type="dxa"/>
            <w:vAlign w:val="bottom"/>
          </w:tcPr>
          <w:p>
            <w:pPr>
              <w:jc w:val="right"/>
              <w:ind w:right="62"/>
              <w:spacing w:after="0"/>
              <w:rPr>
                <w:sz w:val="20"/>
                <w:szCs w:val="20"/>
                <w:color w:val="auto"/>
              </w:rPr>
            </w:pPr>
            <w:r>
              <w:rPr>
                <w:rFonts w:ascii="Arial" w:cs="Arial" w:eastAsia="Arial" w:hAnsi="Arial"/>
                <w:sz w:val="16"/>
                <w:szCs w:val="16"/>
                <w:color w:val="auto"/>
              </w:rPr>
              <w:t>135</w:t>
            </w:r>
          </w:p>
        </w:tc>
        <w:tc>
          <w:tcPr>
            <w:tcW w:w="460" w:type="dxa"/>
            <w:vAlign w:val="bottom"/>
          </w:tcPr>
          <w:p>
            <w:pPr>
              <w:spacing w:after="0"/>
              <w:rPr>
                <w:sz w:val="18"/>
                <w:szCs w:val="18"/>
                <w:color w:val="auto"/>
              </w:rPr>
            </w:pPr>
          </w:p>
        </w:tc>
        <w:tc>
          <w:tcPr>
            <w:tcW w:w="1480" w:type="dxa"/>
            <w:vAlign w:val="bottom"/>
          </w:tcPr>
          <w:p>
            <w:pPr>
              <w:jc w:val="right"/>
              <w:ind w:right="81"/>
              <w:spacing w:after="0"/>
              <w:rPr>
                <w:sz w:val="20"/>
                <w:szCs w:val="20"/>
                <w:color w:val="auto"/>
              </w:rPr>
            </w:pPr>
            <w:r>
              <w:rPr>
                <w:rFonts w:ascii="Arial" w:cs="Arial" w:eastAsia="Arial" w:hAnsi="Arial"/>
                <w:sz w:val="16"/>
                <w:szCs w:val="16"/>
                <w:color w:val="auto"/>
              </w:rPr>
              <w:t>439</w:t>
            </w:r>
          </w:p>
        </w:tc>
        <w:tc>
          <w:tcPr>
            <w:tcW w:w="6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574</w:t>
            </w:r>
          </w:p>
        </w:tc>
      </w:tr>
    </w:tbl>
    <w:p>
      <w:pPr>
        <w:sectPr>
          <w:pgSz w:w="11900" w:h="16838" w:orient="portrait"/>
          <w:cols w:equalWidth="0" w:num="1">
            <w:col w:w="11420"/>
          </w:cols>
          <w:pgMar w:left="240" w:top="141" w:right="23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20" w:type="dxa"/>
            <w:vAlign w:val="bottom"/>
          </w:tcPr>
          <w:p>
            <w:pPr>
              <w:spacing w:after="0"/>
              <w:rPr>
                <w:sz w:val="20"/>
                <w:szCs w:val="20"/>
                <w:color w:val="auto"/>
              </w:rPr>
            </w:pPr>
            <w:r>
              <w:rPr>
                <w:rFonts w:ascii="Arial" w:cs="Arial" w:eastAsia="Arial" w:hAnsi="Arial"/>
                <w:sz w:val="16"/>
                <w:szCs w:val="16"/>
                <w:color w:val="auto"/>
              </w:rPr>
              <w:t>Equity contributed by noncontrolling interest</w:t>
            </w: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6"/>
                <w:szCs w:val="16"/>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8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43"/>
        </w:trPr>
        <w:tc>
          <w:tcPr>
            <w:tcW w:w="4320" w:type="dxa"/>
            <w:vAlign w:val="bottom"/>
          </w:tcPr>
          <w:p>
            <w:pPr>
              <w:spacing w:after="0"/>
              <w:rPr>
                <w:sz w:val="20"/>
                <w:szCs w:val="20"/>
                <w:color w:val="auto"/>
              </w:rPr>
            </w:pPr>
            <w:r>
              <w:rPr>
                <w:rFonts w:ascii="Arial" w:cs="Arial" w:eastAsia="Arial" w:hAnsi="Arial"/>
                <w:sz w:val="16"/>
                <w:szCs w:val="16"/>
                <w:color w:val="auto"/>
              </w:rPr>
              <w:t>Distributions to noncontrolling interests</w:t>
            </w:r>
          </w:p>
        </w:tc>
        <w:tc>
          <w:tcPr>
            <w:tcW w:w="118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8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189"/>
        </w:trPr>
        <w:tc>
          <w:tcPr>
            <w:tcW w:w="4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at March 31, 2013</w:t>
            </w:r>
          </w:p>
        </w:tc>
        <w:tc>
          <w:tcPr>
            <w:tcW w:w="192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10,423</w:t>
            </w:r>
          </w:p>
        </w:tc>
        <w:tc>
          <w:tcPr>
            <w:tcW w:w="8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838</w:t>
            </w:r>
          </w:p>
        </w:tc>
        <w:tc>
          <w:tcPr>
            <w:tcW w:w="8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11,261</w:t>
            </w:r>
          </w:p>
        </w:tc>
      </w:tr>
      <w:tr>
        <w:trPr>
          <w:trHeight w:val="21"/>
        </w:trPr>
        <w:tc>
          <w:tcPr>
            <w:tcW w:w="4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0"/>
        </w:trPr>
        <w:tc>
          <w:tcPr>
            <w:tcW w:w="4320" w:type="dxa"/>
            <w:vAlign w:val="bottom"/>
          </w:tcPr>
          <w:p>
            <w:pPr>
              <w:spacing w:after="0"/>
              <w:rPr>
                <w:sz w:val="20"/>
                <w:szCs w:val="20"/>
                <w:color w:val="auto"/>
              </w:rPr>
            </w:pPr>
            <w:r>
              <w:rPr>
                <w:rFonts w:ascii="Arial" w:cs="Arial" w:eastAsia="Arial" w:hAnsi="Arial"/>
                <w:sz w:val="16"/>
                <w:szCs w:val="16"/>
                <w:color w:val="auto"/>
              </w:rPr>
              <w:t>Balance at December 31, 2011</w:t>
            </w:r>
          </w:p>
        </w:tc>
        <w:tc>
          <w:tcPr>
            <w:tcW w:w="192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9,775</w:t>
            </w:r>
          </w:p>
        </w:tc>
        <w:tc>
          <w:tcPr>
            <w:tcW w:w="84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403</w:t>
            </w:r>
          </w:p>
        </w:tc>
        <w:tc>
          <w:tcPr>
            <w:tcW w:w="84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10,178</w:t>
            </w:r>
          </w:p>
        </w:tc>
      </w:tr>
      <w:tr>
        <w:trPr>
          <w:trHeight w:val="216"/>
        </w:trPr>
        <w:tc>
          <w:tcPr>
            <w:tcW w:w="4320" w:type="dxa"/>
            <w:vAlign w:val="bottom"/>
          </w:tcPr>
          <w:p>
            <w:pPr>
              <w:spacing w:after="0"/>
              <w:rPr>
                <w:sz w:val="20"/>
                <w:szCs w:val="20"/>
                <w:color w:val="auto"/>
              </w:rPr>
            </w:pPr>
            <w:r>
              <w:rPr>
                <w:rFonts w:ascii="Arial" w:cs="Arial" w:eastAsia="Arial" w:hAnsi="Arial"/>
                <w:sz w:val="16"/>
                <w:szCs w:val="16"/>
                <w:color w:val="auto"/>
              </w:rPr>
              <w:t>Comprehensive income</w:t>
            </w: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309</w:t>
            </w:r>
          </w:p>
        </w:tc>
        <w:tc>
          <w:tcPr>
            <w:tcW w:w="8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8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326</w:t>
            </w:r>
          </w:p>
        </w:tc>
      </w:tr>
      <w:tr>
        <w:trPr>
          <w:trHeight w:val="216"/>
        </w:trPr>
        <w:tc>
          <w:tcPr>
            <w:tcW w:w="4320" w:type="dxa"/>
            <w:vAlign w:val="bottom"/>
          </w:tcPr>
          <w:p>
            <w:pPr>
              <w:spacing w:after="0"/>
              <w:rPr>
                <w:sz w:val="20"/>
                <w:szCs w:val="20"/>
                <w:color w:val="auto"/>
              </w:rPr>
            </w:pPr>
            <w:r>
              <w:rPr>
                <w:rFonts w:ascii="Arial" w:cs="Arial" w:eastAsia="Arial" w:hAnsi="Arial"/>
                <w:sz w:val="16"/>
                <w:szCs w:val="16"/>
                <w:color w:val="auto"/>
              </w:rPr>
              <w:t>Preferred dividends of subsidiaries</w:t>
            </w: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8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4320" w:type="dxa"/>
            <w:vAlign w:val="bottom"/>
          </w:tcPr>
          <w:p>
            <w:pPr>
              <w:spacing w:after="0"/>
              <w:rPr>
                <w:sz w:val="20"/>
                <w:szCs w:val="20"/>
                <w:color w:val="auto"/>
              </w:rPr>
            </w:pPr>
            <w:r>
              <w:rPr>
                <w:rFonts w:ascii="Arial" w:cs="Arial" w:eastAsia="Arial" w:hAnsi="Arial"/>
                <w:sz w:val="16"/>
                <w:szCs w:val="16"/>
                <w:color w:val="auto"/>
              </w:rPr>
              <w:t>Share-based compensation expense</w:t>
            </w: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11</w:t>
            </w:r>
          </w:p>
        </w:tc>
        <w:tc>
          <w:tcPr>
            <w:tcW w:w="8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4320" w:type="dxa"/>
            <w:vAlign w:val="bottom"/>
          </w:tcPr>
          <w:p>
            <w:pPr>
              <w:spacing w:after="0"/>
              <w:rPr>
                <w:sz w:val="20"/>
                <w:szCs w:val="20"/>
                <w:color w:val="auto"/>
              </w:rPr>
            </w:pPr>
            <w:r>
              <w:rPr>
                <w:rFonts w:ascii="Arial" w:cs="Arial" w:eastAsia="Arial" w:hAnsi="Arial"/>
                <w:sz w:val="16"/>
                <w:szCs w:val="16"/>
                <w:color w:val="auto"/>
              </w:rPr>
              <w:t>Common stock dividends declared</w:t>
            </w: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(144)</w:t>
            </w:r>
          </w:p>
        </w:tc>
        <w:tc>
          <w:tcPr>
            <w:tcW w:w="8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(144)</w:t>
            </w:r>
          </w:p>
        </w:tc>
      </w:tr>
      <w:tr>
        <w:trPr>
          <w:trHeight w:val="216"/>
        </w:trPr>
        <w:tc>
          <w:tcPr>
            <w:tcW w:w="4320" w:type="dxa"/>
            <w:vAlign w:val="bottom"/>
          </w:tcPr>
          <w:p>
            <w:pPr>
              <w:spacing w:after="0"/>
              <w:rPr>
                <w:sz w:val="20"/>
                <w:szCs w:val="20"/>
                <w:color w:val="auto"/>
              </w:rPr>
            </w:pPr>
            <w:r>
              <w:rPr>
                <w:rFonts w:ascii="Arial" w:cs="Arial" w:eastAsia="Arial" w:hAnsi="Arial"/>
                <w:sz w:val="16"/>
                <w:szCs w:val="16"/>
                <w:color w:val="auto"/>
              </w:rPr>
              <w:t>Issuance of common stock</w:t>
            </w: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13</w:t>
            </w:r>
          </w:p>
        </w:tc>
        <w:tc>
          <w:tcPr>
            <w:tcW w:w="8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4320" w:type="dxa"/>
            <w:vAlign w:val="bottom"/>
          </w:tcPr>
          <w:p>
            <w:pPr>
              <w:spacing w:after="0"/>
              <w:rPr>
                <w:sz w:val="20"/>
                <w:szCs w:val="20"/>
                <w:color w:val="auto"/>
              </w:rPr>
            </w:pPr>
            <w:r>
              <w:rPr>
                <w:rFonts w:ascii="Arial" w:cs="Arial" w:eastAsia="Arial" w:hAnsi="Arial"/>
                <w:sz w:val="16"/>
                <w:szCs w:val="16"/>
                <w:color w:val="auto"/>
              </w:rPr>
              <w:t>Repurchase of common stock</w:t>
            </w: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8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6"/>
        </w:trPr>
        <w:tc>
          <w:tcPr>
            <w:tcW w:w="4320" w:type="dxa"/>
            <w:vAlign w:val="bottom"/>
          </w:tcPr>
          <w:p>
            <w:pPr>
              <w:spacing w:after="0"/>
              <w:rPr>
                <w:sz w:val="20"/>
                <w:szCs w:val="20"/>
                <w:color w:val="auto"/>
              </w:rPr>
            </w:pPr>
            <w:r>
              <w:rPr>
                <w:rFonts w:ascii="Arial" w:cs="Arial" w:eastAsia="Arial" w:hAnsi="Arial"/>
                <w:sz w:val="16"/>
                <w:szCs w:val="16"/>
                <w:color w:val="auto"/>
              </w:rPr>
              <w:t>Common stock released from ESOP</w:t>
            </w: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w:t>
            </w:r>
          </w:p>
        </w:tc>
        <w:tc>
          <w:tcPr>
            <w:tcW w:w="8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4320" w:type="dxa"/>
            <w:vAlign w:val="bottom"/>
          </w:tcPr>
          <w:p>
            <w:pPr>
              <w:spacing w:after="0"/>
              <w:rPr>
                <w:sz w:val="20"/>
                <w:szCs w:val="20"/>
                <w:color w:val="auto"/>
              </w:rPr>
            </w:pPr>
            <w:r>
              <w:rPr>
                <w:rFonts w:ascii="Arial" w:cs="Arial" w:eastAsia="Arial" w:hAnsi="Arial"/>
                <w:sz w:val="16"/>
                <w:szCs w:val="16"/>
                <w:color w:val="auto"/>
              </w:rPr>
              <w:t>Distributions to noncontrolling interests</w:t>
            </w:r>
          </w:p>
        </w:tc>
        <w:tc>
          <w:tcPr>
            <w:tcW w:w="11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8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89"/>
        </w:trPr>
        <w:tc>
          <w:tcPr>
            <w:tcW w:w="4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at March 31, 2012</w:t>
            </w:r>
          </w:p>
        </w:tc>
        <w:tc>
          <w:tcPr>
            <w:tcW w:w="192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9,952</w:t>
            </w:r>
          </w:p>
        </w:tc>
        <w:tc>
          <w:tcPr>
            <w:tcW w:w="8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418</w:t>
            </w:r>
          </w:p>
        </w:tc>
        <w:tc>
          <w:tcPr>
            <w:tcW w:w="8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10,370</w:t>
            </w:r>
          </w:p>
        </w:tc>
      </w:tr>
      <w:tr>
        <w:trPr>
          <w:trHeight w:val="21"/>
        </w:trPr>
        <w:tc>
          <w:tcPr>
            <w:tcW w:w="4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SHAREHOLDER’S EQUITY AND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20" w:type="dxa"/>
            <w:vAlign w:val="bottom"/>
          </w:tcPr>
          <w:p>
            <w:pPr>
              <w:jc w:val="center"/>
              <w:ind w:right="1"/>
              <w:spacing w:after="0"/>
              <w:rPr>
                <w:sz w:val="20"/>
                <w:szCs w:val="20"/>
                <w:color w:val="auto"/>
              </w:rPr>
            </w:pPr>
            <w:r>
              <w:rPr>
                <w:rFonts w:ascii="Arial" w:cs="Arial" w:eastAsia="Arial" w:hAnsi="Arial"/>
                <w:sz w:val="14"/>
                <w:szCs w:val="14"/>
                <w:color w:val="auto"/>
              </w:rPr>
              <w:t>SDG&amp;E</w:t>
            </w:r>
          </w:p>
        </w:tc>
        <w:tc>
          <w:tcPr>
            <w:tcW w:w="480" w:type="dxa"/>
            <w:vAlign w:val="bottom"/>
          </w:tcPr>
          <w:p>
            <w:pPr>
              <w:spacing w:after="0"/>
              <w:rPr>
                <w:sz w:val="14"/>
                <w:szCs w:val="14"/>
                <w:color w:val="auto"/>
              </w:rPr>
            </w:pPr>
          </w:p>
        </w:tc>
        <w:tc>
          <w:tcPr>
            <w:tcW w:w="1500" w:type="dxa"/>
            <w:vAlign w:val="bottom"/>
          </w:tcPr>
          <w:p>
            <w:pPr>
              <w:jc w:val="center"/>
              <w:ind w:right="141"/>
              <w:spacing w:after="0"/>
              <w:rPr>
                <w:sz w:val="20"/>
                <w:szCs w:val="20"/>
                <w:color w:val="auto"/>
              </w:rPr>
            </w:pPr>
            <w:r>
              <w:rPr>
                <w:rFonts w:ascii="Arial" w:cs="Arial" w:eastAsia="Arial" w:hAnsi="Arial"/>
                <w:sz w:val="14"/>
                <w:szCs w:val="14"/>
                <w:color w:val="auto"/>
              </w:rPr>
              <w:t>Non-</w:t>
            </w: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16"/>
        </w:trPr>
        <w:tc>
          <w:tcPr>
            <w:tcW w:w="5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jc w:val="center"/>
              <w:ind w:right="1"/>
              <w:spacing w:after="0"/>
              <w:rPr>
                <w:sz w:val="20"/>
                <w:szCs w:val="20"/>
                <w:color w:val="auto"/>
              </w:rPr>
            </w:pPr>
            <w:r>
              <w:rPr>
                <w:rFonts w:ascii="Arial" w:cs="Arial" w:eastAsia="Arial" w:hAnsi="Arial"/>
                <w:sz w:val="14"/>
                <w:szCs w:val="14"/>
                <w:color w:val="auto"/>
              </w:rPr>
              <w:t>Shareholder’s</w:t>
            </w:r>
          </w:p>
        </w:tc>
        <w:tc>
          <w:tcPr>
            <w:tcW w:w="480" w:type="dxa"/>
            <w:vAlign w:val="bottom"/>
          </w:tcPr>
          <w:p>
            <w:pPr>
              <w:spacing w:after="0"/>
              <w:rPr>
                <w:sz w:val="18"/>
                <w:szCs w:val="18"/>
                <w:color w:val="auto"/>
              </w:rPr>
            </w:pPr>
          </w:p>
        </w:tc>
        <w:tc>
          <w:tcPr>
            <w:tcW w:w="1500" w:type="dxa"/>
            <w:vAlign w:val="bottom"/>
          </w:tcPr>
          <w:p>
            <w:pPr>
              <w:jc w:val="center"/>
              <w:ind w:right="141"/>
              <w:spacing w:after="0"/>
              <w:rPr>
                <w:sz w:val="20"/>
                <w:szCs w:val="20"/>
                <w:color w:val="auto"/>
              </w:rPr>
            </w:pPr>
            <w:r>
              <w:rPr>
                <w:rFonts w:ascii="Arial" w:cs="Arial" w:eastAsia="Arial" w:hAnsi="Arial"/>
                <w:sz w:val="14"/>
                <w:szCs w:val="14"/>
                <w:color w:val="auto"/>
              </w:rPr>
              <w:t>controlling</w:t>
            </w:r>
          </w:p>
        </w:tc>
        <w:tc>
          <w:tcPr>
            <w:tcW w:w="560" w:type="dxa"/>
            <w:vAlign w:val="bottom"/>
          </w:tcPr>
          <w:p>
            <w:pPr>
              <w:spacing w:after="0"/>
              <w:rPr>
                <w:sz w:val="18"/>
                <w:szCs w:val="18"/>
                <w:color w:val="auto"/>
              </w:rPr>
            </w:pPr>
          </w:p>
        </w:tc>
        <w:tc>
          <w:tcPr>
            <w:tcW w:w="1340" w:type="dxa"/>
            <w:vAlign w:val="bottom"/>
          </w:tcPr>
          <w:p>
            <w:pPr>
              <w:jc w:val="right"/>
              <w:ind w:right="541"/>
              <w:spacing w:after="0"/>
              <w:rPr>
                <w:sz w:val="20"/>
                <w:szCs w:val="20"/>
                <w:color w:val="auto"/>
              </w:rPr>
            </w:pPr>
            <w:r>
              <w:rPr>
                <w:rFonts w:ascii="Arial" w:cs="Arial" w:eastAsia="Arial" w:hAnsi="Arial"/>
                <w:sz w:val="14"/>
                <w:szCs w:val="14"/>
                <w:color w:val="auto"/>
              </w:rPr>
              <w:t>Total</w:t>
            </w:r>
          </w:p>
        </w:tc>
      </w:tr>
      <w:tr>
        <w:trPr>
          <w:trHeight w:val="208"/>
        </w:trPr>
        <w:tc>
          <w:tcPr>
            <w:tcW w:w="55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Equity</w:t>
            </w: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color w:val="auto"/>
              </w:rPr>
              <w:t>Interest</w:t>
            </w:r>
          </w:p>
        </w:tc>
        <w:tc>
          <w:tcPr>
            <w:tcW w:w="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color w:val="auto"/>
              </w:rPr>
              <w:t>Equity</w:t>
            </w:r>
          </w:p>
        </w:tc>
      </w:tr>
      <w:tr>
        <w:trPr>
          <w:trHeight w:val="197"/>
        </w:trPr>
        <w:tc>
          <w:tcPr>
            <w:tcW w:w="5500" w:type="dxa"/>
            <w:vAlign w:val="bottom"/>
          </w:tcPr>
          <w:p>
            <w:pPr>
              <w:spacing w:after="0"/>
              <w:rPr>
                <w:sz w:val="20"/>
                <w:szCs w:val="20"/>
                <w:color w:val="auto"/>
              </w:rPr>
            </w:pPr>
            <w:r>
              <w:rPr>
                <w:rFonts w:ascii="Arial" w:cs="Arial" w:eastAsia="Arial" w:hAnsi="Arial"/>
                <w:sz w:val="16"/>
                <w:szCs w:val="16"/>
                <w:color w:val="auto"/>
              </w:rPr>
              <w:t>Balance at December 31, 2012</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ind w:right="61"/>
              <w:spacing w:after="0"/>
              <w:rPr>
                <w:sz w:val="20"/>
                <w:szCs w:val="20"/>
                <w:color w:val="auto"/>
              </w:rPr>
            </w:pPr>
            <w:r>
              <w:rPr>
                <w:rFonts w:ascii="Arial" w:cs="Arial" w:eastAsia="Arial" w:hAnsi="Arial"/>
                <w:sz w:val="16"/>
                <w:szCs w:val="16"/>
                <w:color w:val="auto"/>
              </w:rPr>
              <w:t>4,222</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61"/>
              <w:spacing w:after="0"/>
              <w:rPr>
                <w:sz w:val="20"/>
                <w:szCs w:val="20"/>
                <w:color w:val="auto"/>
              </w:rPr>
            </w:pPr>
            <w:r>
              <w:rPr>
                <w:rFonts w:ascii="Arial" w:cs="Arial" w:eastAsia="Arial" w:hAnsi="Arial"/>
                <w:sz w:val="16"/>
                <w:szCs w:val="16"/>
                <w:color w:val="auto"/>
              </w:rPr>
              <w:t>76</w:t>
            </w:r>
          </w:p>
        </w:tc>
        <w:tc>
          <w:tcPr>
            <w:tcW w:w="5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4,298</w:t>
            </w: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Comprehensive income (loss)</w:t>
            </w:r>
          </w:p>
        </w:tc>
        <w:tc>
          <w:tcPr>
            <w:tcW w:w="420" w:type="dxa"/>
            <w:vAlign w:val="bottom"/>
          </w:tcPr>
          <w:p>
            <w:pPr>
              <w:spacing w:after="0"/>
              <w:rPr>
                <w:sz w:val="18"/>
                <w:szCs w:val="18"/>
                <w:color w:val="auto"/>
              </w:rPr>
            </w:pPr>
          </w:p>
        </w:tc>
        <w:tc>
          <w:tcPr>
            <w:tcW w:w="1620" w:type="dxa"/>
            <w:vAlign w:val="bottom"/>
          </w:tcPr>
          <w:p>
            <w:pPr>
              <w:jc w:val="right"/>
              <w:ind w:right="61"/>
              <w:spacing w:after="0"/>
              <w:rPr>
                <w:sz w:val="20"/>
                <w:szCs w:val="20"/>
                <w:color w:val="auto"/>
              </w:rPr>
            </w:pPr>
            <w:r>
              <w:rPr>
                <w:rFonts w:ascii="Arial" w:cs="Arial" w:eastAsia="Arial" w:hAnsi="Arial"/>
                <w:sz w:val="16"/>
                <w:szCs w:val="16"/>
                <w:color w:val="auto"/>
              </w:rPr>
              <w:t>92</w:t>
            </w:r>
          </w:p>
        </w:tc>
        <w:tc>
          <w:tcPr>
            <w:tcW w:w="480" w:type="dxa"/>
            <w:vAlign w:val="bottom"/>
          </w:tcPr>
          <w:p>
            <w:pPr>
              <w:spacing w:after="0"/>
              <w:rPr>
                <w:sz w:val="18"/>
                <w:szCs w:val="18"/>
                <w:color w:val="auto"/>
              </w:rPr>
            </w:pPr>
          </w:p>
        </w:tc>
        <w:tc>
          <w:tcPr>
            <w:tcW w:w="1500" w:type="dxa"/>
            <w:vAlign w:val="bottom"/>
          </w:tcPr>
          <w:p>
            <w:pPr>
              <w:jc w:val="right"/>
              <w:ind w:right="21"/>
              <w:spacing w:after="0"/>
              <w:rPr>
                <w:sz w:val="20"/>
                <w:szCs w:val="20"/>
                <w:color w:val="auto"/>
              </w:rPr>
            </w:pPr>
            <w:r>
              <w:rPr>
                <w:rFonts w:ascii="Arial" w:cs="Arial" w:eastAsia="Arial" w:hAnsi="Arial"/>
                <w:sz w:val="16"/>
                <w:szCs w:val="16"/>
                <w:color w:val="auto"/>
              </w:rPr>
              <w:t>(8)</w:t>
            </w:r>
          </w:p>
        </w:tc>
        <w:tc>
          <w:tcPr>
            <w:tcW w:w="5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Preferred stock dividends declared</w:t>
            </w:r>
          </w:p>
        </w:tc>
        <w:tc>
          <w:tcPr>
            <w:tcW w:w="420" w:type="dxa"/>
            <w:vAlign w:val="bottom"/>
          </w:tcPr>
          <w:p>
            <w:pPr>
              <w:spacing w:after="0"/>
              <w:rPr>
                <w:sz w:val="18"/>
                <w:szCs w:val="18"/>
                <w:color w:val="auto"/>
              </w:rPr>
            </w:pPr>
          </w:p>
        </w:tc>
        <w:tc>
          <w:tcPr>
            <w:tcW w:w="162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480" w:type="dxa"/>
            <w:vAlign w:val="bottom"/>
          </w:tcPr>
          <w:p>
            <w:pPr>
              <w:spacing w:after="0"/>
              <w:rPr>
                <w:sz w:val="18"/>
                <w:szCs w:val="18"/>
                <w:color w:val="auto"/>
              </w:rPr>
            </w:pPr>
          </w:p>
        </w:tc>
        <w:tc>
          <w:tcPr>
            <w:tcW w:w="15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Equity contributed by noncontrolling interest</w:t>
            </w:r>
          </w:p>
        </w:tc>
        <w:tc>
          <w:tcPr>
            <w:tcW w:w="4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w:t>
            </w:r>
          </w:p>
        </w:tc>
        <w:tc>
          <w:tcPr>
            <w:tcW w:w="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189"/>
        </w:trPr>
        <w:tc>
          <w:tcPr>
            <w:tcW w:w="5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at March 31, 2013</w:t>
            </w:r>
          </w:p>
        </w:tc>
        <w:tc>
          <w:tcPr>
            <w:tcW w:w="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4,313</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72</w:t>
            </w:r>
          </w:p>
        </w:tc>
        <w:tc>
          <w:tcPr>
            <w:tcW w:w="5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4,385</w:t>
            </w:r>
          </w:p>
        </w:tc>
      </w:tr>
      <w:tr>
        <w:trPr>
          <w:trHeight w:val="21"/>
        </w:trPr>
        <w:tc>
          <w:tcPr>
            <w:tcW w:w="5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0"/>
        </w:trPr>
        <w:tc>
          <w:tcPr>
            <w:tcW w:w="5500" w:type="dxa"/>
            <w:vAlign w:val="bottom"/>
          </w:tcPr>
          <w:p>
            <w:pPr>
              <w:spacing w:after="0"/>
              <w:rPr>
                <w:sz w:val="20"/>
                <w:szCs w:val="20"/>
                <w:color w:val="auto"/>
              </w:rPr>
            </w:pPr>
            <w:r>
              <w:rPr>
                <w:rFonts w:ascii="Arial" w:cs="Arial" w:eastAsia="Arial" w:hAnsi="Arial"/>
                <w:sz w:val="16"/>
                <w:szCs w:val="16"/>
                <w:color w:val="auto"/>
              </w:rPr>
              <w:t>Balance at December 31, 2011</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ind w:right="61"/>
              <w:spacing w:after="0"/>
              <w:rPr>
                <w:sz w:val="20"/>
                <w:szCs w:val="20"/>
                <w:color w:val="auto"/>
              </w:rPr>
            </w:pPr>
            <w:r>
              <w:rPr>
                <w:rFonts w:ascii="Arial" w:cs="Arial" w:eastAsia="Arial" w:hAnsi="Arial"/>
                <w:sz w:val="16"/>
                <w:szCs w:val="16"/>
                <w:color w:val="auto"/>
              </w:rPr>
              <w:t>3,739</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61"/>
              <w:spacing w:after="0"/>
              <w:rPr>
                <w:sz w:val="20"/>
                <w:szCs w:val="20"/>
                <w:color w:val="auto"/>
              </w:rPr>
            </w:pPr>
            <w:r>
              <w:rPr>
                <w:rFonts w:ascii="Arial" w:cs="Arial" w:eastAsia="Arial" w:hAnsi="Arial"/>
                <w:sz w:val="16"/>
                <w:szCs w:val="16"/>
                <w:color w:val="auto"/>
              </w:rPr>
              <w:t>102</w:t>
            </w:r>
          </w:p>
        </w:tc>
        <w:tc>
          <w:tcPr>
            <w:tcW w:w="5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3,841</w:t>
            </w: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Comprehensive income</w:t>
            </w:r>
          </w:p>
        </w:tc>
        <w:tc>
          <w:tcPr>
            <w:tcW w:w="420" w:type="dxa"/>
            <w:vAlign w:val="bottom"/>
          </w:tcPr>
          <w:p>
            <w:pPr>
              <w:spacing w:after="0"/>
              <w:rPr>
                <w:sz w:val="18"/>
                <w:szCs w:val="18"/>
                <w:color w:val="auto"/>
              </w:rPr>
            </w:pPr>
          </w:p>
        </w:tc>
        <w:tc>
          <w:tcPr>
            <w:tcW w:w="1620" w:type="dxa"/>
            <w:vAlign w:val="bottom"/>
          </w:tcPr>
          <w:p>
            <w:pPr>
              <w:jc w:val="right"/>
              <w:ind w:right="61"/>
              <w:spacing w:after="0"/>
              <w:rPr>
                <w:sz w:val="20"/>
                <w:szCs w:val="20"/>
                <w:color w:val="auto"/>
              </w:rPr>
            </w:pPr>
            <w:r>
              <w:rPr>
                <w:rFonts w:ascii="Arial" w:cs="Arial" w:eastAsia="Arial" w:hAnsi="Arial"/>
                <w:sz w:val="16"/>
                <w:szCs w:val="16"/>
                <w:color w:val="auto"/>
              </w:rPr>
              <w:t>106</w:t>
            </w:r>
          </w:p>
        </w:tc>
        <w:tc>
          <w:tcPr>
            <w:tcW w:w="480" w:type="dxa"/>
            <w:vAlign w:val="bottom"/>
          </w:tcPr>
          <w:p>
            <w:pPr>
              <w:spacing w:after="0"/>
              <w:rPr>
                <w:sz w:val="18"/>
                <w:szCs w:val="18"/>
                <w:color w:val="auto"/>
              </w:rPr>
            </w:pPr>
          </w:p>
        </w:tc>
        <w:tc>
          <w:tcPr>
            <w:tcW w:w="1500" w:type="dxa"/>
            <w:vAlign w:val="bottom"/>
          </w:tcPr>
          <w:p>
            <w:pPr>
              <w:jc w:val="right"/>
              <w:ind w:right="61"/>
              <w:spacing w:after="0"/>
              <w:rPr>
                <w:sz w:val="20"/>
                <w:szCs w:val="20"/>
                <w:color w:val="auto"/>
              </w:rPr>
            </w:pPr>
            <w:r>
              <w:rPr>
                <w:rFonts w:ascii="Arial" w:cs="Arial" w:eastAsia="Arial" w:hAnsi="Arial"/>
                <w:sz w:val="16"/>
                <w:szCs w:val="16"/>
                <w:color w:val="auto"/>
              </w:rPr>
              <w:t>6</w:t>
            </w:r>
          </w:p>
        </w:tc>
        <w:tc>
          <w:tcPr>
            <w:tcW w:w="5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Preferred stock dividends declared</w:t>
            </w:r>
          </w:p>
        </w:tc>
        <w:tc>
          <w:tcPr>
            <w:tcW w:w="4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w:t>
            </w: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5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at March 31, 2012</w:t>
            </w:r>
          </w:p>
        </w:tc>
        <w:tc>
          <w:tcPr>
            <w:tcW w:w="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3,844</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108</w:t>
            </w:r>
          </w:p>
        </w:tc>
        <w:tc>
          <w:tcPr>
            <w:tcW w:w="5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3,952</w:t>
            </w:r>
          </w:p>
        </w:tc>
      </w:tr>
      <w:tr>
        <w:trPr>
          <w:trHeight w:val="21"/>
        </w:trPr>
        <w:tc>
          <w:tcPr>
            <w:tcW w:w="5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Ownership interests that are held by owners other than Sempra Energy and SDG&amp;E in subsidiaries or entities consolidated by them are accounted for and reported as noncontrolling interests. As a result, noncontrolling interests are reported as a separate component of equity on the Condensed Consolidated Balance Sheets. Net income or loss attributable to the noncontrolling interests is separately identified on the Condensed Consolidated Statements of Operations, and comprehensive income or loss attributable to the noncontrolling interests is separately identified on the Condensed Consolidated Statements of Comprehensive Income.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Sale of Noncontrolling Interests</w:t>
      </w:r>
    </w:p>
    <w:p>
      <w:pPr>
        <w:spacing w:after="0" w:line="24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On March 21, 2013, Sempra Energy’s subsidiary, Infraestructura Energética Nova, S.A.B. de C.V. (IEnova) priced a private offering and a concurrent initial public offering in Mexico of new shares of Class II, Single Series common stock at $2.75 per share in U.S. dollars or 34.00 Mexican pesos. The initial purchasers in the private offering and the underwriters in the Mexican public offering were granted a 30-day option to purchase additional common shares at the initial offering price, less the underwriting discount, to cover overallotments. These options were exercised before the settlement date of the offerings, which was March 27, 2013. After the initial offerings and the exercise of the overallotment options, the aggregate shares of common stock sold in the offerings totaled 218,110,500 shares of common stock, representing approximately 18.9 percent of IEnova’s outstanding ownership interest.</w:t>
      </w:r>
    </w:p>
    <w:p>
      <w:pPr>
        <w:spacing w:after="0" w:line="19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net proceeds of the offerings, including the additional option shares, were approximately $574 million in U.S. dollars or 7.1 billion Mexican pesos. IEnova expects to use the net proceeds of the offerings primarily for general corporate purposes, and for the funding of its current investments and ongoing expansion plans. All U.S. dollar equivalents presented here were based on an exchange rate of 12.3841 Mexican pesos to 1.00 U.S. dollar as of March 21, 2013, the pricing date for the offerings. Net proceeds are after reduction for underwriting discounts and commissions and offering expenses. Following completion of the initial offerings and overallotment options, we beneficially owned 81.1 percent of IEnova and its subsidiaries. Consistent with applicable accounting guidance, changes in noncontrolling interests that do not result in a change of control are accounted for as equity transactions. When there are changes in noncontrolling interests of a subsidiary that do not result in a change of control, any difference between carrying value and fair value related to the change in ownership is recorded as an adjustment to shareholders’ equity. As a result of the offerings and overallotment options, we recorded an increase in Sempra Energy’s shareholders’ equity of $135 million for the sale of IEnova shares to noncontrolling interests.</w:t>
      </w:r>
    </w:p>
    <w:p>
      <w:pPr>
        <w:spacing w:after="0" w:line="19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IEnova is a separate legal entity, formerly known as Sempra México, S.A. de C.V., comprised primarily of Sempra Energy’s operations in Mexico. IEnova is included within our Sempra Mexico reportable segment, but is not the same in its entirety as the reportable segment. In addition to the IEnova operating companies, the Sempra Mexico segment includes, among other things, certain holding companies and risk management activity. Also, IEnova’s financial results are reported in Mexico under IFRS, as required by the Mexican Stock Exchange (the Bolsa Mexicana de Valores, S.A.B. de C.V.) where the new shares are now traded under the symbol IENOVA.</w:t>
      </w:r>
    </w:p>
    <w:p>
      <w:pPr>
        <w:spacing w:after="0" w:line="21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private offering was exempt from registration under the U.S. Securities Act of 1933, as amended (the Securities Act), and shares in the private offering were offered and sold only to qualified institutional buyers pursuant to Rule144A under the Securities Act and to persons outside of the United States, in accordance with Regulation S under the Securities Act. The shares were not registered under the Securities Act or any state securities laws, and may not be offered or sold in the United States absent registration or an applicable exemption from the registration requirements of the Securities Act and applicable securities laws.</w:t>
      </w:r>
    </w:p>
    <w:p>
      <w:pPr>
        <w:sectPr>
          <w:pgSz w:w="11900" w:h="16838" w:orient="portrait"/>
          <w:cols w:equalWidth="0" w:num="1">
            <w:col w:w="11420"/>
          </w:cols>
          <w:pgMar w:left="240" w:top="141" w:right="239" w:bottom="0" w:gutter="0" w:footer="0" w:header="0"/>
        </w:sect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Preferred Stock</w:t>
      </w:r>
    </w:p>
    <w:p>
      <w:pPr>
        <w:sectPr>
          <w:pgSz w:w="11900" w:h="16838" w:orient="portrait"/>
          <w:cols w:equalWidth="0" w:num="1">
            <w:col w:w="11420"/>
          </w:cols>
          <w:pgMar w:left="240" w:top="141" w:right="239" w:bottom="0" w:gutter="0" w:footer="0" w:header="0"/>
          <w:type w:val="continuous"/>
        </w:sectPr>
      </w:pPr>
    </w:p>
    <w:bookmarkStart w:id="21" w:name="page22"/>
    <w:bookmarkEnd w:id="21"/>
    <w:p>
      <w:pPr>
        <w:jc w:val="both"/>
        <w:ind w:right="180"/>
        <w:spacing w:after="0" w:line="259" w:lineRule="auto"/>
        <w:rPr>
          <w:sz w:val="20"/>
          <w:szCs w:val="20"/>
          <w:color w:val="auto"/>
        </w:rPr>
      </w:pPr>
      <w:r>
        <w:rPr>
          <w:rFonts w:ascii="Arial" w:cs="Arial" w:eastAsia="Arial" w:hAnsi="Arial"/>
          <w:sz w:val="18"/>
          <w:szCs w:val="18"/>
          <w:color w:val="auto"/>
        </w:rPr>
        <w:t>The preferred stock of SoCalGas is presented at Sempra Energy as a noncontrolling interest at March 31, 2013 and December 31, 2012. The preferred stock of SDG&amp;E is contingently redeemable preferred stock. At Sempra Energy, the preferred stock dividends of both SDG&amp;E and SoCalGas are charges against income related to noncontrolling interests. We provide additional information concerning preferred stock in Note 12 of the Notes to Consolidated Financial Statements in the Annual Report.</w:t>
      </w:r>
    </w:p>
    <w:p>
      <w:pPr>
        <w:spacing w:after="0" w:line="200" w:lineRule="exact"/>
        <w:rPr>
          <w:sz w:val="20"/>
          <w:szCs w:val="20"/>
          <w:color w:val="auto"/>
        </w:rPr>
      </w:pPr>
    </w:p>
    <w:p>
      <w:pPr>
        <w:spacing w:after="0" w:line="257"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At March 31, 2013 and December 31, 2012, we reported the following other noncontrolling ownership interests held by others (not including preferred shareholders) recorded in Other Noncontrolling Interests in Total Equity on Sempra Energy’s Condensed Consolidated Balance Sheets: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660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2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900" w:type="dxa"/>
            <w:vAlign w:val="bottom"/>
            <w:vMerge w:val="restart"/>
          </w:tcPr>
          <w:p>
            <w:pPr>
              <w:jc w:val="right"/>
              <w:ind w:right="421"/>
              <w:spacing w:after="0"/>
              <w:rPr>
                <w:sz w:val="20"/>
                <w:szCs w:val="20"/>
                <w:color w:val="auto"/>
              </w:rPr>
            </w:pPr>
            <w:r>
              <w:rPr>
                <w:rFonts w:ascii="Arial" w:cs="Arial" w:eastAsia="Arial" w:hAnsi="Arial"/>
                <w:sz w:val="14"/>
                <w:szCs w:val="14"/>
                <w:color w:val="auto"/>
              </w:rPr>
              <w:t>Percent Ownership Held</w:t>
            </w:r>
          </w:p>
        </w:tc>
        <w:tc>
          <w:tcPr>
            <w:tcW w:w="6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20" w:type="dxa"/>
            <w:vAlign w:val="bottom"/>
          </w:tcPr>
          <w:p>
            <w:pPr>
              <w:spacing w:after="0"/>
              <w:rPr>
                <w:sz w:val="13"/>
                <w:szCs w:val="13"/>
                <w:color w:val="auto"/>
              </w:rPr>
            </w:pPr>
          </w:p>
        </w:tc>
        <w:tc>
          <w:tcPr>
            <w:tcW w:w="290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7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jc w:val="right"/>
              <w:ind w:right="881"/>
              <w:spacing w:after="0" w:line="157" w:lineRule="exact"/>
              <w:rPr>
                <w:sz w:val="20"/>
                <w:szCs w:val="20"/>
                <w:color w:val="auto"/>
              </w:rPr>
            </w:pPr>
            <w:r>
              <w:rPr>
                <w:rFonts w:ascii="Arial" w:cs="Arial" w:eastAsia="Arial" w:hAnsi="Arial"/>
                <w:sz w:val="14"/>
                <w:szCs w:val="14"/>
                <w:color w:val="auto"/>
              </w:rPr>
              <w:t>by Others</w:t>
            </w:r>
          </w:p>
        </w:tc>
        <w:tc>
          <w:tcPr>
            <w:tcW w:w="6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540"/>
              <w:spacing w:after="0" w:line="157" w:lineRule="exact"/>
              <w:rPr>
                <w:sz w:val="20"/>
                <w:szCs w:val="20"/>
                <w:color w:val="auto"/>
              </w:rPr>
            </w:pPr>
            <w:r>
              <w:rPr>
                <w:rFonts w:ascii="Arial" w:cs="Arial" w:eastAsia="Arial" w:hAnsi="Arial"/>
                <w:sz w:val="14"/>
                <w:szCs w:val="14"/>
                <w:color w:val="auto"/>
              </w:rPr>
              <w:t>March 31, 2013</w:t>
            </w:r>
          </w:p>
        </w:tc>
        <w:tc>
          <w:tcPr>
            <w:tcW w:w="4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280"/>
              <w:spacing w:after="0" w:line="157" w:lineRule="exact"/>
              <w:rPr>
                <w:sz w:val="20"/>
                <w:szCs w:val="20"/>
                <w:color w:val="auto"/>
              </w:rPr>
            </w:pPr>
            <w:r>
              <w:rPr>
                <w:rFonts w:ascii="Arial" w:cs="Arial" w:eastAsia="Arial" w:hAnsi="Arial"/>
                <w:sz w:val="14"/>
                <w:szCs w:val="14"/>
                <w:color w:val="auto"/>
              </w:rPr>
              <w:t>December 31, 2012</w:t>
            </w:r>
          </w:p>
        </w:tc>
        <w:tc>
          <w:tcPr>
            <w:tcW w:w="0" w:type="dxa"/>
            <w:vAlign w:val="bottom"/>
          </w:tcPr>
          <w:p>
            <w:pPr>
              <w:spacing w:after="0"/>
              <w:rPr>
                <w:sz w:val="1"/>
                <w:szCs w:val="1"/>
                <w:color w:val="auto"/>
              </w:rPr>
            </w:pPr>
          </w:p>
        </w:tc>
      </w:tr>
      <w:tr>
        <w:trPr>
          <w:trHeight w:val="218"/>
        </w:trPr>
        <w:tc>
          <w:tcPr>
            <w:tcW w:w="372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2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720" w:type="dxa"/>
            <w:vAlign w:val="bottom"/>
          </w:tcPr>
          <w:p>
            <w:pPr>
              <w:ind w:left="140"/>
              <w:spacing w:after="0"/>
              <w:rPr>
                <w:sz w:val="20"/>
                <w:szCs w:val="20"/>
                <w:color w:val="auto"/>
              </w:rPr>
            </w:pPr>
            <w:r>
              <w:rPr>
                <w:rFonts w:ascii="Arial" w:cs="Arial" w:eastAsia="Arial" w:hAnsi="Arial"/>
                <w:sz w:val="16"/>
                <w:szCs w:val="16"/>
                <w:color w:val="auto"/>
              </w:rPr>
              <w:t>Otay Mesa VIE (at SDG&amp;E)</w:t>
            </w:r>
          </w:p>
        </w:tc>
        <w:tc>
          <w:tcPr>
            <w:tcW w:w="2900" w:type="dxa"/>
            <w:vAlign w:val="bottom"/>
          </w:tcPr>
          <w:p>
            <w:pPr>
              <w:jc w:val="right"/>
              <w:ind w:right="201"/>
              <w:spacing w:after="0"/>
              <w:rPr>
                <w:sz w:val="20"/>
                <w:szCs w:val="20"/>
                <w:color w:val="auto"/>
              </w:rPr>
            </w:pPr>
            <w:r>
              <w:rPr>
                <w:rFonts w:ascii="Arial" w:cs="Arial" w:eastAsia="Arial" w:hAnsi="Arial"/>
                <w:sz w:val="16"/>
                <w:szCs w:val="16"/>
                <w:color w:val="auto"/>
              </w:rPr>
              <w:t>100 %</w:t>
            </w: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00"/>
              <w:spacing w:after="0"/>
              <w:rPr>
                <w:sz w:val="20"/>
                <w:szCs w:val="20"/>
                <w:color w:val="auto"/>
              </w:rPr>
            </w:pPr>
            <w:r>
              <w:rPr>
                <w:rFonts w:ascii="Arial" w:cs="Arial" w:eastAsia="Arial" w:hAnsi="Arial"/>
                <w:sz w:val="16"/>
                <w:szCs w:val="16"/>
                <w:color w:val="auto"/>
              </w:rPr>
              <w:t>72</w:t>
            </w:r>
          </w:p>
        </w:tc>
        <w:tc>
          <w:tcPr>
            <w:tcW w:w="4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b w:val="1"/>
                <w:bCs w:val="1"/>
                <w:color w:val="auto"/>
              </w:rPr>
              <w:t>Sempra South American Utilities:</w:t>
            </w:r>
          </w:p>
        </w:tc>
        <w:tc>
          <w:tcPr>
            <w:tcW w:w="2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40"/>
              <w:spacing w:after="0"/>
              <w:rPr>
                <w:sz w:val="20"/>
                <w:szCs w:val="20"/>
                <w:color w:val="auto"/>
              </w:rPr>
            </w:pPr>
            <w:r>
              <w:rPr>
                <w:rFonts w:ascii="Arial" w:cs="Arial" w:eastAsia="Arial" w:hAnsi="Arial"/>
                <w:sz w:val="16"/>
                <w:szCs w:val="16"/>
                <w:color w:val="auto"/>
              </w:rPr>
              <w:t>Chilquinta Energía subsidiaries</w:t>
            </w:r>
          </w:p>
        </w:tc>
        <w:tc>
          <w:tcPr>
            <w:tcW w:w="2900" w:type="dxa"/>
            <w:vAlign w:val="bottom"/>
          </w:tcPr>
          <w:p>
            <w:pPr>
              <w:jc w:val="right"/>
              <w:ind w:right="401"/>
              <w:spacing w:after="0"/>
              <w:rPr>
                <w:sz w:val="20"/>
                <w:szCs w:val="20"/>
                <w:color w:val="auto"/>
              </w:rPr>
            </w:pPr>
            <w:r>
              <w:rPr>
                <w:rFonts w:ascii="Arial" w:cs="Arial" w:eastAsia="Arial" w:hAnsi="Arial"/>
                <w:sz w:val="16"/>
                <w:szCs w:val="16"/>
                <w:color w:val="auto"/>
              </w:rPr>
              <w:t>24.4 – 43.4</w:t>
            </w:r>
          </w:p>
        </w:tc>
        <w:tc>
          <w:tcPr>
            <w:tcW w:w="660" w:type="dxa"/>
            <w:vAlign w:val="bottom"/>
          </w:tcPr>
          <w:p>
            <w:pPr>
              <w:spacing w:after="0"/>
              <w:rPr>
                <w:sz w:val="18"/>
                <w:szCs w:val="18"/>
                <w:color w:val="auto"/>
              </w:rPr>
            </w:pPr>
          </w:p>
        </w:tc>
        <w:tc>
          <w:tcPr>
            <w:tcW w:w="1860" w:type="dxa"/>
            <w:vAlign w:val="bottom"/>
          </w:tcPr>
          <w:p>
            <w:pPr>
              <w:jc w:val="right"/>
              <w:ind w:right="100"/>
              <w:spacing w:after="0"/>
              <w:rPr>
                <w:sz w:val="20"/>
                <w:szCs w:val="20"/>
                <w:color w:val="auto"/>
              </w:rPr>
            </w:pPr>
            <w:r>
              <w:rPr>
                <w:rFonts w:ascii="Arial" w:cs="Arial" w:eastAsia="Arial" w:hAnsi="Arial"/>
                <w:sz w:val="16"/>
                <w:szCs w:val="16"/>
                <w:color w:val="auto"/>
              </w:rPr>
              <w:t>30</w:t>
            </w:r>
          </w:p>
        </w:tc>
        <w:tc>
          <w:tcPr>
            <w:tcW w:w="4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6"/>
        </w:trPr>
        <w:tc>
          <w:tcPr>
            <w:tcW w:w="3720" w:type="dxa"/>
            <w:vAlign w:val="bottom"/>
          </w:tcPr>
          <w:p>
            <w:pPr>
              <w:ind w:left="140"/>
              <w:spacing w:after="0"/>
              <w:rPr>
                <w:sz w:val="20"/>
                <w:szCs w:val="20"/>
                <w:color w:val="auto"/>
              </w:rPr>
            </w:pPr>
            <w:r>
              <w:rPr>
                <w:rFonts w:ascii="Arial" w:cs="Arial" w:eastAsia="Arial" w:hAnsi="Arial"/>
                <w:sz w:val="16"/>
                <w:szCs w:val="16"/>
                <w:color w:val="auto"/>
              </w:rPr>
              <w:t>Luz del Sur</w:t>
            </w:r>
          </w:p>
        </w:tc>
        <w:tc>
          <w:tcPr>
            <w:tcW w:w="2900" w:type="dxa"/>
            <w:vAlign w:val="bottom"/>
          </w:tcPr>
          <w:p>
            <w:pPr>
              <w:jc w:val="right"/>
              <w:ind w:right="401"/>
              <w:spacing w:after="0"/>
              <w:rPr>
                <w:sz w:val="20"/>
                <w:szCs w:val="20"/>
                <w:color w:val="auto"/>
              </w:rPr>
            </w:pPr>
            <w:r>
              <w:rPr>
                <w:rFonts w:ascii="Arial" w:cs="Arial" w:eastAsia="Arial" w:hAnsi="Arial"/>
                <w:sz w:val="16"/>
                <w:szCs w:val="16"/>
                <w:color w:val="auto"/>
              </w:rPr>
              <w:t>20.2</w:t>
            </w:r>
          </w:p>
        </w:tc>
        <w:tc>
          <w:tcPr>
            <w:tcW w:w="660" w:type="dxa"/>
            <w:vAlign w:val="bottom"/>
          </w:tcPr>
          <w:p>
            <w:pPr>
              <w:spacing w:after="0"/>
              <w:rPr>
                <w:sz w:val="18"/>
                <w:szCs w:val="18"/>
                <w:color w:val="auto"/>
              </w:rPr>
            </w:pPr>
          </w:p>
        </w:tc>
        <w:tc>
          <w:tcPr>
            <w:tcW w:w="1860" w:type="dxa"/>
            <w:vAlign w:val="bottom"/>
          </w:tcPr>
          <w:p>
            <w:pPr>
              <w:jc w:val="right"/>
              <w:ind w:right="100"/>
              <w:spacing w:after="0"/>
              <w:rPr>
                <w:sz w:val="20"/>
                <w:szCs w:val="20"/>
                <w:color w:val="auto"/>
              </w:rPr>
            </w:pPr>
            <w:r>
              <w:rPr>
                <w:rFonts w:ascii="Arial" w:cs="Arial" w:eastAsia="Arial" w:hAnsi="Arial"/>
                <w:sz w:val="16"/>
                <w:szCs w:val="16"/>
                <w:color w:val="auto"/>
              </w:rPr>
              <w:t>237</w:t>
            </w:r>
          </w:p>
        </w:tc>
        <w:tc>
          <w:tcPr>
            <w:tcW w:w="4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16"/>
        </w:trPr>
        <w:tc>
          <w:tcPr>
            <w:tcW w:w="3720" w:type="dxa"/>
            <w:vAlign w:val="bottom"/>
          </w:tcPr>
          <w:p>
            <w:pPr>
              <w:ind w:left="140"/>
              <w:spacing w:after="0"/>
              <w:rPr>
                <w:sz w:val="20"/>
                <w:szCs w:val="20"/>
                <w:color w:val="auto"/>
              </w:rPr>
            </w:pPr>
            <w:r>
              <w:rPr>
                <w:rFonts w:ascii="Arial" w:cs="Arial" w:eastAsia="Arial" w:hAnsi="Arial"/>
                <w:sz w:val="16"/>
                <w:szCs w:val="16"/>
                <w:color w:val="auto"/>
              </w:rPr>
              <w:t>Tecsur</w:t>
            </w:r>
          </w:p>
        </w:tc>
        <w:tc>
          <w:tcPr>
            <w:tcW w:w="2900" w:type="dxa"/>
            <w:vAlign w:val="bottom"/>
          </w:tcPr>
          <w:p>
            <w:pPr>
              <w:jc w:val="right"/>
              <w:ind w:right="401"/>
              <w:spacing w:after="0"/>
              <w:rPr>
                <w:sz w:val="20"/>
                <w:szCs w:val="20"/>
                <w:color w:val="auto"/>
              </w:rPr>
            </w:pPr>
            <w:r>
              <w:rPr>
                <w:rFonts w:ascii="Arial" w:cs="Arial" w:eastAsia="Arial" w:hAnsi="Arial"/>
                <w:sz w:val="16"/>
                <w:szCs w:val="16"/>
                <w:color w:val="auto"/>
              </w:rPr>
              <w:t>9.8</w:t>
            </w:r>
          </w:p>
        </w:tc>
        <w:tc>
          <w:tcPr>
            <w:tcW w:w="660" w:type="dxa"/>
            <w:vAlign w:val="bottom"/>
          </w:tcPr>
          <w:p>
            <w:pPr>
              <w:spacing w:after="0"/>
              <w:rPr>
                <w:sz w:val="18"/>
                <w:szCs w:val="18"/>
                <w:color w:val="auto"/>
              </w:rPr>
            </w:pPr>
          </w:p>
        </w:tc>
        <w:tc>
          <w:tcPr>
            <w:tcW w:w="1860" w:type="dxa"/>
            <w:vAlign w:val="bottom"/>
          </w:tcPr>
          <w:p>
            <w:pPr>
              <w:jc w:val="right"/>
              <w:ind w:right="100"/>
              <w:spacing w:after="0"/>
              <w:rPr>
                <w:sz w:val="20"/>
                <w:szCs w:val="20"/>
                <w:color w:val="auto"/>
              </w:rPr>
            </w:pPr>
            <w:r>
              <w:rPr>
                <w:rFonts w:ascii="Arial" w:cs="Arial" w:eastAsia="Arial" w:hAnsi="Arial"/>
                <w:sz w:val="16"/>
                <w:szCs w:val="16"/>
                <w:color w:val="auto"/>
              </w:rPr>
              <w:t>4</w:t>
            </w:r>
          </w:p>
        </w:tc>
        <w:tc>
          <w:tcPr>
            <w:tcW w:w="4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b w:val="1"/>
                <w:bCs w:val="1"/>
                <w:color w:val="auto"/>
              </w:rPr>
              <w:t>Sempra Mexico:</w:t>
            </w:r>
          </w:p>
        </w:tc>
        <w:tc>
          <w:tcPr>
            <w:tcW w:w="2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40"/>
              <w:spacing w:after="0"/>
              <w:rPr>
                <w:sz w:val="20"/>
                <w:szCs w:val="20"/>
                <w:color w:val="auto"/>
              </w:rPr>
            </w:pPr>
            <w:r>
              <w:rPr>
                <w:rFonts w:ascii="Arial" w:cs="Arial" w:eastAsia="Arial" w:hAnsi="Arial"/>
                <w:sz w:val="16"/>
                <w:szCs w:val="16"/>
                <w:color w:val="auto"/>
              </w:rPr>
              <w:t>IEnova, S.A.B. de C.V.</w:t>
            </w:r>
          </w:p>
        </w:tc>
        <w:tc>
          <w:tcPr>
            <w:tcW w:w="2900" w:type="dxa"/>
            <w:vAlign w:val="bottom"/>
          </w:tcPr>
          <w:p>
            <w:pPr>
              <w:jc w:val="right"/>
              <w:ind w:right="401"/>
              <w:spacing w:after="0"/>
              <w:rPr>
                <w:sz w:val="20"/>
                <w:szCs w:val="20"/>
                <w:color w:val="auto"/>
              </w:rPr>
            </w:pPr>
            <w:r>
              <w:rPr>
                <w:rFonts w:ascii="Arial" w:cs="Arial" w:eastAsia="Arial" w:hAnsi="Arial"/>
                <w:sz w:val="16"/>
                <w:szCs w:val="16"/>
                <w:color w:val="auto"/>
              </w:rPr>
              <w:t>18.9</w:t>
            </w:r>
          </w:p>
        </w:tc>
        <w:tc>
          <w:tcPr>
            <w:tcW w:w="660" w:type="dxa"/>
            <w:vAlign w:val="bottom"/>
          </w:tcPr>
          <w:p>
            <w:pPr>
              <w:spacing w:after="0"/>
              <w:rPr>
                <w:sz w:val="18"/>
                <w:szCs w:val="18"/>
                <w:color w:val="auto"/>
              </w:rPr>
            </w:pPr>
          </w:p>
        </w:tc>
        <w:tc>
          <w:tcPr>
            <w:tcW w:w="1860" w:type="dxa"/>
            <w:vAlign w:val="bottom"/>
          </w:tcPr>
          <w:p>
            <w:pPr>
              <w:jc w:val="right"/>
              <w:ind w:right="100"/>
              <w:spacing w:after="0"/>
              <w:rPr>
                <w:sz w:val="20"/>
                <w:szCs w:val="20"/>
                <w:color w:val="auto"/>
              </w:rPr>
            </w:pPr>
            <w:r>
              <w:rPr>
                <w:rFonts w:ascii="Arial" w:cs="Arial" w:eastAsia="Arial" w:hAnsi="Arial"/>
                <w:sz w:val="16"/>
                <w:szCs w:val="16"/>
                <w:color w:val="auto"/>
              </w:rPr>
              <w:t>439</w:t>
            </w:r>
          </w:p>
        </w:tc>
        <w:tc>
          <w:tcPr>
            <w:tcW w:w="4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b w:val="1"/>
                <w:bCs w:val="1"/>
                <w:color w:val="auto"/>
              </w:rPr>
              <w:t>Sempra Natural Gas:</w:t>
            </w:r>
          </w:p>
        </w:tc>
        <w:tc>
          <w:tcPr>
            <w:tcW w:w="2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40"/>
              <w:spacing w:after="0"/>
              <w:rPr>
                <w:sz w:val="20"/>
                <w:szCs w:val="20"/>
                <w:color w:val="auto"/>
              </w:rPr>
            </w:pPr>
            <w:r>
              <w:rPr>
                <w:rFonts w:ascii="Arial" w:cs="Arial" w:eastAsia="Arial" w:hAnsi="Arial"/>
                <w:sz w:val="16"/>
                <w:szCs w:val="16"/>
                <w:color w:val="auto"/>
              </w:rPr>
              <w:t>Bay Gas Storage, Ltd.</w:t>
            </w:r>
          </w:p>
        </w:tc>
        <w:tc>
          <w:tcPr>
            <w:tcW w:w="2900" w:type="dxa"/>
            <w:vAlign w:val="bottom"/>
          </w:tcPr>
          <w:p>
            <w:pPr>
              <w:jc w:val="right"/>
              <w:ind w:right="401"/>
              <w:spacing w:after="0"/>
              <w:rPr>
                <w:sz w:val="20"/>
                <w:szCs w:val="20"/>
                <w:color w:val="auto"/>
              </w:rPr>
            </w:pPr>
            <w:r>
              <w:rPr>
                <w:rFonts w:ascii="Arial" w:cs="Arial" w:eastAsia="Arial" w:hAnsi="Arial"/>
                <w:sz w:val="16"/>
                <w:szCs w:val="16"/>
                <w:color w:val="auto"/>
              </w:rPr>
              <w:t>9.1</w:t>
            </w:r>
          </w:p>
        </w:tc>
        <w:tc>
          <w:tcPr>
            <w:tcW w:w="660" w:type="dxa"/>
            <w:vAlign w:val="bottom"/>
          </w:tcPr>
          <w:p>
            <w:pPr>
              <w:spacing w:after="0"/>
              <w:rPr>
                <w:sz w:val="18"/>
                <w:szCs w:val="18"/>
                <w:color w:val="auto"/>
              </w:rPr>
            </w:pPr>
          </w:p>
        </w:tc>
        <w:tc>
          <w:tcPr>
            <w:tcW w:w="1860" w:type="dxa"/>
            <w:vAlign w:val="bottom"/>
          </w:tcPr>
          <w:p>
            <w:pPr>
              <w:jc w:val="right"/>
              <w:ind w:right="100"/>
              <w:spacing w:after="0"/>
              <w:rPr>
                <w:sz w:val="20"/>
                <w:szCs w:val="20"/>
                <w:color w:val="auto"/>
              </w:rPr>
            </w:pPr>
            <w:r>
              <w:rPr>
                <w:rFonts w:ascii="Arial" w:cs="Arial" w:eastAsia="Arial" w:hAnsi="Arial"/>
                <w:sz w:val="16"/>
                <w:szCs w:val="16"/>
                <w:color w:val="auto"/>
              </w:rPr>
              <w:t>20</w:t>
            </w:r>
          </w:p>
        </w:tc>
        <w:tc>
          <w:tcPr>
            <w:tcW w:w="4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3720" w:type="dxa"/>
            <w:vAlign w:val="bottom"/>
          </w:tcPr>
          <w:p>
            <w:pPr>
              <w:ind w:left="140"/>
              <w:spacing w:after="0"/>
              <w:rPr>
                <w:sz w:val="20"/>
                <w:szCs w:val="20"/>
                <w:color w:val="auto"/>
              </w:rPr>
            </w:pPr>
            <w:r>
              <w:rPr>
                <w:rFonts w:ascii="Arial" w:cs="Arial" w:eastAsia="Arial" w:hAnsi="Arial"/>
                <w:sz w:val="16"/>
                <w:szCs w:val="16"/>
                <w:color w:val="auto"/>
              </w:rPr>
              <w:t>Liberty Gas Storage, LLC</w:t>
            </w:r>
          </w:p>
        </w:tc>
        <w:tc>
          <w:tcPr>
            <w:tcW w:w="2900" w:type="dxa"/>
            <w:vAlign w:val="bottom"/>
          </w:tcPr>
          <w:p>
            <w:pPr>
              <w:jc w:val="right"/>
              <w:ind w:right="401"/>
              <w:spacing w:after="0"/>
              <w:rPr>
                <w:sz w:val="20"/>
                <w:szCs w:val="20"/>
                <w:color w:val="auto"/>
              </w:rPr>
            </w:pPr>
            <w:r>
              <w:rPr>
                <w:rFonts w:ascii="Arial" w:cs="Arial" w:eastAsia="Arial" w:hAnsi="Arial"/>
                <w:sz w:val="16"/>
                <w:szCs w:val="16"/>
                <w:color w:val="auto"/>
              </w:rPr>
              <w:t>25.0</w:t>
            </w:r>
          </w:p>
        </w:tc>
        <w:tc>
          <w:tcPr>
            <w:tcW w:w="660" w:type="dxa"/>
            <w:vAlign w:val="bottom"/>
          </w:tcPr>
          <w:p>
            <w:pPr>
              <w:spacing w:after="0"/>
              <w:rPr>
                <w:sz w:val="18"/>
                <w:szCs w:val="18"/>
                <w:color w:val="auto"/>
              </w:rPr>
            </w:pPr>
          </w:p>
        </w:tc>
        <w:tc>
          <w:tcPr>
            <w:tcW w:w="1860" w:type="dxa"/>
            <w:vAlign w:val="bottom"/>
          </w:tcPr>
          <w:p>
            <w:pPr>
              <w:jc w:val="right"/>
              <w:ind w:right="100"/>
              <w:spacing w:after="0"/>
              <w:rPr>
                <w:sz w:val="20"/>
                <w:szCs w:val="20"/>
                <w:color w:val="auto"/>
              </w:rPr>
            </w:pPr>
            <w:r>
              <w:rPr>
                <w:rFonts w:ascii="Arial" w:cs="Arial" w:eastAsia="Arial" w:hAnsi="Arial"/>
                <w:sz w:val="16"/>
                <w:szCs w:val="16"/>
                <w:color w:val="auto"/>
              </w:rPr>
              <w:t>15</w:t>
            </w:r>
          </w:p>
        </w:tc>
        <w:tc>
          <w:tcPr>
            <w:tcW w:w="4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6"/>
        </w:trPr>
        <w:tc>
          <w:tcPr>
            <w:tcW w:w="3720" w:type="dxa"/>
            <w:vAlign w:val="bottom"/>
          </w:tcPr>
          <w:p>
            <w:pPr>
              <w:ind w:left="140"/>
              <w:spacing w:after="0"/>
              <w:rPr>
                <w:sz w:val="20"/>
                <w:szCs w:val="20"/>
                <w:color w:val="auto"/>
              </w:rPr>
            </w:pPr>
            <w:r>
              <w:rPr>
                <w:rFonts w:ascii="Arial" w:cs="Arial" w:eastAsia="Arial" w:hAnsi="Arial"/>
                <w:sz w:val="16"/>
                <w:szCs w:val="16"/>
                <w:color w:val="auto"/>
              </w:rPr>
              <w:t>Southern Gas Transmission Company</w:t>
            </w:r>
          </w:p>
        </w:tc>
        <w:tc>
          <w:tcPr>
            <w:tcW w:w="2900" w:type="dxa"/>
            <w:vAlign w:val="bottom"/>
          </w:tcPr>
          <w:p>
            <w:pPr>
              <w:jc w:val="right"/>
              <w:ind w:right="401"/>
              <w:spacing w:after="0"/>
              <w:rPr>
                <w:sz w:val="20"/>
                <w:szCs w:val="20"/>
                <w:color w:val="auto"/>
              </w:rPr>
            </w:pPr>
            <w:r>
              <w:rPr>
                <w:rFonts w:ascii="Arial" w:cs="Arial" w:eastAsia="Arial" w:hAnsi="Arial"/>
                <w:sz w:val="16"/>
                <w:szCs w:val="16"/>
                <w:color w:val="auto"/>
              </w:rPr>
              <w:t>49.0</w:t>
            </w:r>
          </w:p>
        </w:tc>
        <w:tc>
          <w:tcPr>
            <w:tcW w:w="6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w:t>
            </w:r>
          </w:p>
        </w:tc>
        <w:tc>
          <w:tcPr>
            <w:tcW w:w="4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372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Total Sempra Energy</w:t>
            </w:r>
          </w:p>
        </w:tc>
        <w:tc>
          <w:tcPr>
            <w:tcW w:w="29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818</w:t>
            </w:r>
          </w:p>
        </w:tc>
        <w:tc>
          <w:tcPr>
            <w:tcW w:w="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1"/>
        </w:trPr>
        <w:tc>
          <w:tcPr>
            <w:tcW w:w="372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AFFILIATES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Loans to Unconsolidated Affiliates</w:t>
      </w:r>
    </w:p>
    <w:p>
      <w:pPr>
        <w:spacing w:after="0" w:line="24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Sempra South American Utilities has a U.S. dollar-denominated loan to Camuzzi Gas del Sur S.A., an affiliate of the segment’s Argentine investments, which we discuss in Note 4 of the Notes to Consolidated Financial Statements in the Annual Report. At March 31, 2013, the loan has an $18 million principal balance outstanding plus $7 million of accumulated interest, which accrues at a variable interest rate (7.28 percent as of March 31, 2013). In June 2012, the maturity date of the loan was extended from June 30, 2012 to June 30, 2013. The loan was fully reserved at March 31, 2013 and December 31, 2012.</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Affiliate Transactions</w:t>
      </w:r>
    </w:p>
    <w:p>
      <w:pPr>
        <w:spacing w:after="0" w:line="24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Sempra Energy, SDG&amp;E and SoCalGas provide certain services to each other and are charged an allocable share of the cost of such services. Amounts due to/from affiliates are as follows: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DUE TO AND FROM AFFILIATES AT SDG&amp;E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20" w:type="dxa"/>
            <w:vAlign w:val="bottom"/>
          </w:tcPr>
          <w:p>
            <w:pPr>
              <w:spacing w:after="0"/>
              <w:rPr>
                <w:sz w:val="14"/>
                <w:szCs w:val="14"/>
                <w:color w:val="auto"/>
              </w:rPr>
            </w:pPr>
          </w:p>
        </w:tc>
        <w:tc>
          <w:tcPr>
            <w:tcW w:w="1240" w:type="dxa"/>
            <w:vAlign w:val="bottom"/>
          </w:tcPr>
          <w:p>
            <w:pPr>
              <w:jc w:val="right"/>
              <w:ind w:right="1"/>
              <w:spacing w:after="0"/>
              <w:rPr>
                <w:sz w:val="20"/>
                <w:szCs w:val="20"/>
                <w:color w:val="auto"/>
              </w:rPr>
            </w:pPr>
            <w:r>
              <w:rPr>
                <w:rFonts w:ascii="Arial" w:cs="Arial" w:eastAsia="Arial" w:hAnsi="Arial"/>
                <w:sz w:val="14"/>
                <w:szCs w:val="14"/>
                <w:color w:val="auto"/>
              </w:rPr>
              <w:t>March 31,</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jc w:val="right"/>
              <w:ind w:right="3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8"/>
        </w:trPr>
        <w:tc>
          <w:tcPr>
            <w:tcW w:w="78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color w:val="auto"/>
              </w:rPr>
              <w:t>2013</w:t>
            </w:r>
          </w:p>
        </w:tc>
        <w:tc>
          <w:tcPr>
            <w:tcW w:w="5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24"/>
        </w:trPr>
        <w:tc>
          <w:tcPr>
            <w:tcW w:w="782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6"/>
                <w:szCs w:val="16"/>
                <w:color w:val="auto"/>
              </w:rPr>
              <w:t>Current:</w:t>
            </w: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6"/>
                <w:szCs w:val="16"/>
                <w:color w:val="auto"/>
              </w:rPr>
              <w:t>Due from SoCalGas</w:t>
            </w:r>
          </w:p>
        </w:tc>
        <w:tc>
          <w:tcPr>
            <w:tcW w:w="1240" w:type="dxa"/>
            <w:vAlign w:val="bottom"/>
          </w:tcPr>
          <w:p>
            <w:pPr>
              <w:jc w:val="right"/>
              <w:ind w:right="1061"/>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6"/>
                <w:szCs w:val="16"/>
                <w:color w:val="auto"/>
              </w:rPr>
              <w:t>Due from various affiliates</w:t>
            </w:r>
          </w:p>
        </w:tc>
        <w:tc>
          <w:tcPr>
            <w:tcW w:w="1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18"/>
                <w:szCs w:val="18"/>
                <w:color w:val="auto"/>
              </w:rPr>
            </w:pPr>
          </w:p>
        </w:tc>
        <w:tc>
          <w:tcPr>
            <w:tcW w:w="1240" w:type="dxa"/>
            <w:vAlign w:val="bottom"/>
            <w:tcBorders>
              <w:bottom w:val="single" w:sz="8" w:color="auto"/>
            </w:tcBorders>
          </w:tcPr>
          <w:p>
            <w:pPr>
              <w:jc w:val="right"/>
              <w:ind w:right="106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7820" w:type="dxa"/>
            <w:vAlign w:val="bottom"/>
          </w:tcPr>
          <w:p>
            <w:pPr>
              <w:ind w:left="180"/>
              <w:spacing w:after="0"/>
              <w:rPr>
                <w:sz w:val="20"/>
                <w:szCs w:val="20"/>
                <w:color w:val="auto"/>
              </w:rPr>
            </w:pPr>
            <w:r>
              <w:rPr>
                <w:rFonts w:ascii="Arial" w:cs="Arial" w:eastAsia="Arial" w:hAnsi="Arial"/>
                <w:sz w:val="16"/>
                <w:szCs w:val="16"/>
                <w:color w:val="auto"/>
              </w:rPr>
              <w:t>Due to Sempra Energy</w:t>
            </w:r>
          </w:p>
        </w:tc>
        <w:tc>
          <w:tcPr>
            <w:tcW w:w="1240" w:type="dxa"/>
            <w:vAlign w:val="bottom"/>
          </w:tcPr>
          <w:p>
            <w:pPr>
              <w:jc w:val="right"/>
              <w:ind w:right="1061"/>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24</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6"/>
                <w:szCs w:val="16"/>
                <w:color w:val="auto"/>
              </w:rPr>
              <w:t>Due to SoCalGas</w:t>
            </w:r>
          </w:p>
        </w:tc>
        <w:tc>
          <w:tcPr>
            <w:tcW w:w="1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18"/>
                <w:szCs w:val="18"/>
                <w:color w:val="auto"/>
              </w:rPr>
            </w:pPr>
          </w:p>
        </w:tc>
        <w:tc>
          <w:tcPr>
            <w:tcW w:w="1240" w:type="dxa"/>
            <w:vAlign w:val="bottom"/>
            <w:tcBorders>
              <w:bottom w:val="single" w:sz="8" w:color="auto"/>
            </w:tcBorders>
          </w:tcPr>
          <w:p>
            <w:pPr>
              <w:jc w:val="right"/>
              <w:ind w:right="106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35</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820" w:type="dxa"/>
            <w:vAlign w:val="bottom"/>
          </w:tcPr>
          <w:p>
            <w:pPr>
              <w:ind w:left="180"/>
              <w:spacing w:after="0"/>
              <w:rPr>
                <w:sz w:val="20"/>
                <w:szCs w:val="20"/>
                <w:color w:val="auto"/>
              </w:rPr>
            </w:pPr>
            <w:r>
              <w:rPr>
                <w:rFonts w:ascii="Arial" w:cs="Arial" w:eastAsia="Arial" w:hAnsi="Arial"/>
                <w:sz w:val="16"/>
                <w:szCs w:val="16"/>
                <w:color w:val="auto"/>
              </w:rPr>
              <w:t>Income taxes due (to) from Sempra Energy(1)</w:t>
            </w:r>
          </w:p>
        </w:tc>
        <w:tc>
          <w:tcPr>
            <w:tcW w:w="1240" w:type="dxa"/>
            <w:vAlign w:val="bottom"/>
            <w:tcBorders>
              <w:bottom w:val="single" w:sz="8" w:color="auto"/>
            </w:tcBorders>
          </w:tcPr>
          <w:p>
            <w:pPr>
              <w:jc w:val="right"/>
              <w:ind w:right="106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
        </w:trPr>
        <w:tc>
          <w:tcPr>
            <w:tcW w:w="7820" w:type="dxa"/>
            <w:vAlign w:val="bottom"/>
            <w:vMerge w:val="restart"/>
          </w:tcPr>
          <w:p>
            <w:pPr>
              <w:spacing w:after="0"/>
              <w:rPr>
                <w:sz w:val="20"/>
                <w:szCs w:val="20"/>
                <w:color w:val="auto"/>
              </w:rPr>
            </w:pPr>
            <w:r>
              <w:rPr>
                <w:rFonts w:ascii="Arial" w:cs="Arial" w:eastAsia="Arial" w:hAnsi="Arial"/>
                <w:sz w:val="16"/>
                <w:szCs w:val="16"/>
                <w:b w:val="1"/>
                <w:bCs w:val="1"/>
                <w:color w:val="auto"/>
              </w:rPr>
              <w:t>SoCalGas</w:t>
            </w: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78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6"/>
                <w:szCs w:val="16"/>
                <w:color w:val="auto"/>
              </w:rPr>
              <w:t>Current:</w:t>
            </w: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6"/>
                <w:szCs w:val="16"/>
                <w:color w:val="auto"/>
              </w:rPr>
              <w:t>Due from Sempra Energy</w:t>
            </w:r>
          </w:p>
        </w:tc>
        <w:tc>
          <w:tcPr>
            <w:tcW w:w="1240" w:type="dxa"/>
            <w:vAlign w:val="bottom"/>
          </w:tcPr>
          <w:p>
            <w:pPr>
              <w:jc w:val="right"/>
              <w:ind w:right="1061"/>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265</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6"/>
                <w:szCs w:val="16"/>
                <w:color w:val="auto"/>
              </w:rPr>
              <w:t>Due from SDG&amp;E</w:t>
            </w:r>
          </w:p>
        </w:tc>
        <w:tc>
          <w:tcPr>
            <w:tcW w:w="1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18"/>
                <w:szCs w:val="18"/>
                <w:color w:val="auto"/>
              </w:rPr>
            </w:pPr>
          </w:p>
        </w:tc>
        <w:tc>
          <w:tcPr>
            <w:tcW w:w="1240" w:type="dxa"/>
            <w:vAlign w:val="bottom"/>
            <w:tcBorders>
              <w:bottom w:val="single" w:sz="8" w:color="auto"/>
            </w:tcBorders>
          </w:tcPr>
          <w:p>
            <w:pPr>
              <w:jc w:val="right"/>
              <w:ind w:right="106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276</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820" w:type="dxa"/>
            <w:vAlign w:val="bottom"/>
          </w:tcPr>
          <w:p>
            <w:pPr>
              <w:ind w:left="180"/>
              <w:spacing w:after="0"/>
              <w:rPr>
                <w:sz w:val="20"/>
                <w:szCs w:val="20"/>
                <w:color w:val="auto"/>
              </w:rPr>
            </w:pPr>
            <w:r>
              <w:rPr>
                <w:rFonts w:ascii="Arial" w:cs="Arial" w:eastAsia="Arial" w:hAnsi="Arial"/>
                <w:sz w:val="16"/>
                <w:szCs w:val="16"/>
                <w:color w:val="auto"/>
              </w:rPr>
              <w:t>Due to SDG&amp;E</w:t>
            </w:r>
          </w:p>
        </w:tc>
        <w:tc>
          <w:tcPr>
            <w:tcW w:w="1240" w:type="dxa"/>
            <w:vAlign w:val="bottom"/>
            <w:tcBorders>
              <w:bottom w:val="single" w:sz="8" w:color="auto"/>
            </w:tcBorders>
          </w:tcPr>
          <w:p>
            <w:pPr>
              <w:jc w:val="right"/>
              <w:ind w:right="106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0" w:gutter="0" w:footer="0" w:header="0"/>
        </w:sectPr>
      </w:pPr>
    </w:p>
    <w:bookmarkStart w:id="22" w:name="page23"/>
    <w:bookmarkEnd w:id="22"/>
    <w:p>
      <w:pPr>
        <w:ind w:left="180"/>
        <w:spacing w:after="0"/>
        <w:tabs>
          <w:tab w:leader="none" w:pos="7800" w:val="left"/>
          <w:tab w:leader="none" w:pos="9240" w:val="left"/>
          <w:tab w:leader="none" w:pos="9740" w:val="left"/>
          <w:tab w:leader="none" w:pos="11180" w:val="left"/>
        </w:tabs>
        <w:rPr>
          <w:sz w:val="20"/>
          <w:szCs w:val="20"/>
          <w:color w:val="auto"/>
        </w:rPr>
      </w:pPr>
      <w:r>
        <w:rPr>
          <w:rFonts w:ascii="Arial" w:cs="Arial" w:eastAsia="Arial" w:hAnsi="Arial"/>
          <w:sz w:val="16"/>
          <w:szCs w:val="16"/>
          <w:color w:val="auto"/>
        </w:rPr>
        <w:t>Income taxes due from Sempra Energy(1)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93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5" w:lineRule="exact"/>
        <w:rPr>
          <w:sz w:val="20"/>
          <w:szCs w:val="20"/>
          <w:color w:val="auto"/>
        </w:rPr>
      </w:pPr>
    </w:p>
    <w:p>
      <w:pPr>
        <w:ind w:left="460" w:right="360" w:hanging="317"/>
        <w:spacing w:after="0" w:line="279" w:lineRule="auto"/>
        <w:tabs>
          <w:tab w:leader="none" w:pos="46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SDG&amp;E and SoCalGas are included in the consolidated income tax return of Sempra Energy and are allocated income tax expense from Sempra Energy in an amount equal to that which would result from the companies’ having always filed a separate return.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Revenues from unconsolidated affiliates at SDG&amp;E and SoCalGas are as follows:</w:t>
      </w:r>
    </w:p>
    <w:p>
      <w:pPr>
        <w:spacing w:after="0" w:line="200" w:lineRule="exact"/>
        <w:rPr>
          <w:sz w:val="20"/>
          <w:szCs w:val="20"/>
          <w:color w:val="auto"/>
        </w:rPr>
      </w:pPr>
    </w:p>
    <w:p>
      <w:pPr>
        <w:spacing w:after="0" w:line="305" w:lineRule="exact"/>
        <w:rPr>
          <w:sz w:val="20"/>
          <w:szCs w:val="20"/>
          <w:color w:val="auto"/>
        </w:rPr>
      </w:pPr>
    </w:p>
    <w:p>
      <w:pPr>
        <w:ind w:right="5240"/>
        <w:spacing w:after="0" w:line="261" w:lineRule="auto"/>
        <w:rPr>
          <w:sz w:val="20"/>
          <w:szCs w:val="20"/>
          <w:color w:val="auto"/>
        </w:rPr>
      </w:pPr>
      <w:r>
        <w:rPr>
          <w:rFonts w:ascii="Arial" w:cs="Arial" w:eastAsia="Arial" w:hAnsi="Arial"/>
          <w:sz w:val="16"/>
          <w:szCs w:val="16"/>
          <w:b w:val="1"/>
          <w:bCs w:val="1"/>
          <w:color w:val="auto"/>
        </w:rPr>
        <w:t xml:space="preserve">REVENUES FROM UNCONSOLIDATED AFFILIATES AT SDG&amp;E AND SOCALGAS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2317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58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Three months ended March 31,</w:t>
            </w:r>
          </w:p>
        </w:tc>
        <w:tc>
          <w:tcPr>
            <w:tcW w:w="1400" w:type="dxa"/>
            <w:vAlign w:val="bottom"/>
            <w:tcBorders>
              <w:bottom w:val="single" w:sz="8" w:color="auto"/>
            </w:tcBorders>
          </w:tcPr>
          <w:p>
            <w:pPr>
              <w:spacing w:after="0"/>
              <w:rPr>
                <w:sz w:val="14"/>
                <w:szCs w:val="14"/>
                <w:color w:val="auto"/>
              </w:rPr>
            </w:pPr>
          </w:p>
        </w:tc>
      </w:tr>
      <w:tr>
        <w:trPr>
          <w:trHeight w:val="223"/>
        </w:trPr>
        <w:tc>
          <w:tcPr>
            <w:tcW w:w="65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02"/>
              <w:spacing w:after="0"/>
              <w:rPr>
                <w:sz w:val="20"/>
                <w:szCs w:val="20"/>
                <w:color w:val="auto"/>
              </w:rPr>
            </w:pPr>
            <w:r>
              <w:rPr>
                <w:rFonts w:ascii="Arial" w:cs="Arial" w:eastAsia="Arial" w:hAnsi="Arial"/>
                <w:sz w:val="14"/>
                <w:szCs w:val="14"/>
                <w:color w:val="auto"/>
                <w:w w:val="96"/>
              </w:rPr>
              <w:t>2012</w:t>
            </w:r>
          </w:p>
        </w:tc>
      </w:tr>
      <w:tr>
        <w:trPr>
          <w:trHeight w:val="197"/>
        </w:trPr>
        <w:tc>
          <w:tcPr>
            <w:tcW w:w="6580" w:type="dxa"/>
            <w:vAlign w:val="bottom"/>
          </w:tcPr>
          <w:p>
            <w:pPr>
              <w:spacing w:after="0"/>
              <w:rPr>
                <w:sz w:val="20"/>
                <w:szCs w:val="20"/>
                <w:color w:val="auto"/>
              </w:rPr>
            </w:pPr>
            <w:r>
              <w:rPr>
                <w:rFonts w:ascii="Arial" w:cs="Arial" w:eastAsia="Arial" w:hAnsi="Arial"/>
                <w:sz w:val="16"/>
                <w:szCs w:val="16"/>
                <w:color w:val="auto"/>
              </w:rPr>
              <w:t>SDG&amp;E</w:t>
            </w:r>
          </w:p>
        </w:tc>
        <w:tc>
          <w:tcPr>
            <w:tcW w:w="1380" w:type="dxa"/>
            <w:vAlign w:val="bottom"/>
          </w:tcPr>
          <w:p>
            <w:pPr>
              <w:jc w:val="right"/>
              <w:ind w:right="1226"/>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2</w:t>
            </w:r>
          </w:p>
        </w:tc>
        <w:tc>
          <w:tcPr>
            <w:tcW w:w="98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09"/>
        </w:trPr>
        <w:tc>
          <w:tcPr>
            <w:tcW w:w="6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1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15</w:t>
            </w:r>
          </w:p>
        </w:tc>
        <w:tc>
          <w:tcPr>
            <w:tcW w:w="9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1"/>
        </w:trPr>
        <w:tc>
          <w:tcPr>
            <w:tcW w:w="65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on the Condensed Consolidated Statements of Operations consists of the following:</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260" w:type="dxa"/>
            <w:vAlign w:val="bottom"/>
          </w:tcPr>
          <w:p>
            <w:pPr>
              <w:spacing w:after="0"/>
              <w:rPr>
                <w:sz w:val="14"/>
                <w:szCs w:val="14"/>
                <w:color w:val="auto"/>
              </w:rPr>
            </w:pPr>
          </w:p>
        </w:tc>
        <w:tc>
          <w:tcPr>
            <w:tcW w:w="27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Three months ended March 31,</w:t>
            </w:r>
          </w:p>
        </w:tc>
        <w:tc>
          <w:tcPr>
            <w:tcW w:w="400" w:type="dxa"/>
            <w:vAlign w:val="bottom"/>
            <w:tcBorders>
              <w:bottom w:val="single" w:sz="8" w:color="auto"/>
            </w:tcBorders>
          </w:tcPr>
          <w:p>
            <w:pPr>
              <w:spacing w:after="0"/>
              <w:rPr>
                <w:sz w:val="14"/>
                <w:szCs w:val="14"/>
                <w:color w:val="auto"/>
              </w:rPr>
            </w:pPr>
          </w:p>
        </w:tc>
      </w:tr>
      <w:tr>
        <w:trPr>
          <w:trHeight w:val="223"/>
        </w:trPr>
        <w:tc>
          <w:tcPr>
            <w:tcW w:w="8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2012</w:t>
            </w:r>
          </w:p>
        </w:tc>
        <w:tc>
          <w:tcPr>
            <w:tcW w:w="400" w:type="dxa"/>
            <w:vAlign w:val="bottom"/>
            <w:tcBorders>
              <w:bottom w:val="single" w:sz="8" w:color="auto"/>
            </w:tcBorders>
          </w:tcPr>
          <w:p>
            <w:pPr>
              <w:spacing w:after="0"/>
              <w:rPr>
                <w:sz w:val="19"/>
                <w:szCs w:val="19"/>
                <w:color w:val="auto"/>
              </w:rPr>
            </w:pPr>
          </w:p>
        </w:tc>
      </w:tr>
      <w:tr>
        <w:trPr>
          <w:trHeight w:val="218"/>
        </w:trPr>
        <w:tc>
          <w:tcPr>
            <w:tcW w:w="826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195"/>
        </w:trPr>
        <w:tc>
          <w:tcPr>
            <w:tcW w:w="8260" w:type="dxa"/>
            <w:vAlign w:val="bottom"/>
          </w:tcPr>
          <w:p>
            <w:pPr>
              <w:spacing w:after="0"/>
              <w:rPr>
                <w:sz w:val="20"/>
                <w:szCs w:val="20"/>
                <w:color w:val="auto"/>
              </w:rPr>
            </w:pPr>
            <w:r>
              <w:rPr>
                <w:rFonts w:ascii="Arial" w:cs="Arial" w:eastAsia="Arial" w:hAnsi="Arial"/>
                <w:sz w:val="16"/>
                <w:szCs w:val="16"/>
                <w:color w:val="auto"/>
              </w:rPr>
              <w:t>Allowance for equity funds used during construction</w:t>
            </w:r>
          </w:p>
        </w:tc>
        <w:tc>
          <w:tcPr>
            <w:tcW w:w="1140" w:type="dxa"/>
            <w:vAlign w:val="bottom"/>
          </w:tcPr>
          <w:p>
            <w:pPr>
              <w:jc w:val="right"/>
              <w:ind w:right="98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140" w:type="dxa"/>
            <w:vAlign w:val="bottom"/>
          </w:tcPr>
          <w:p>
            <w:pPr>
              <w:jc w:val="right"/>
              <w:ind w:right="920"/>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8260" w:type="dxa"/>
            <w:vAlign w:val="bottom"/>
          </w:tcPr>
          <w:p>
            <w:pPr>
              <w:spacing w:after="0"/>
              <w:rPr>
                <w:sz w:val="20"/>
                <w:szCs w:val="20"/>
                <w:color w:val="auto"/>
              </w:rPr>
            </w:pPr>
            <w:r>
              <w:rPr>
                <w:rFonts w:ascii="Arial" w:cs="Arial" w:eastAsia="Arial" w:hAnsi="Arial"/>
                <w:sz w:val="16"/>
                <w:szCs w:val="16"/>
                <w:color w:val="auto"/>
              </w:rPr>
              <w:t>Investment gains(1)</w:t>
            </w:r>
          </w:p>
        </w:tc>
        <w:tc>
          <w:tcPr>
            <w:tcW w:w="1140" w:type="dxa"/>
            <w:vAlign w:val="bottom"/>
          </w:tcPr>
          <w:p>
            <w:pPr>
              <w:spacing w:after="0"/>
              <w:rPr>
                <w:sz w:val="18"/>
                <w:szCs w:val="18"/>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6"/>
        </w:trPr>
        <w:tc>
          <w:tcPr>
            <w:tcW w:w="8260" w:type="dxa"/>
            <w:vAlign w:val="bottom"/>
          </w:tcPr>
          <w:p>
            <w:pPr>
              <w:spacing w:after="0"/>
              <w:rPr>
                <w:sz w:val="20"/>
                <w:szCs w:val="20"/>
                <w:color w:val="auto"/>
              </w:rPr>
            </w:pPr>
            <w:r>
              <w:rPr>
                <w:rFonts w:ascii="Arial" w:cs="Arial" w:eastAsia="Arial" w:hAnsi="Arial"/>
                <w:sz w:val="16"/>
                <w:szCs w:val="16"/>
                <w:color w:val="auto"/>
              </w:rPr>
              <w:t>Gains on interest rate and foreign exchange instruments, net</w:t>
            </w:r>
          </w:p>
        </w:tc>
        <w:tc>
          <w:tcPr>
            <w:tcW w:w="1140" w:type="dxa"/>
            <w:vAlign w:val="bottom"/>
          </w:tcPr>
          <w:p>
            <w:pPr>
              <w:spacing w:after="0"/>
              <w:rPr>
                <w:sz w:val="18"/>
                <w:szCs w:val="18"/>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8260" w:type="dxa"/>
            <w:vAlign w:val="bottom"/>
          </w:tcPr>
          <w:p>
            <w:pPr>
              <w:spacing w:after="0"/>
              <w:rPr>
                <w:sz w:val="20"/>
                <w:szCs w:val="20"/>
                <w:color w:val="auto"/>
              </w:rPr>
            </w:pPr>
            <w:r>
              <w:rPr>
                <w:rFonts w:ascii="Arial" w:cs="Arial" w:eastAsia="Arial" w:hAnsi="Arial"/>
                <w:sz w:val="16"/>
                <w:szCs w:val="16"/>
                <w:color w:val="auto"/>
              </w:rPr>
              <w:t>Regulatory interest, net(2)</w:t>
            </w:r>
          </w:p>
        </w:tc>
        <w:tc>
          <w:tcPr>
            <w:tcW w:w="1140" w:type="dxa"/>
            <w:vAlign w:val="bottom"/>
          </w:tcPr>
          <w:p>
            <w:pPr>
              <w:spacing w:after="0"/>
              <w:rPr>
                <w:sz w:val="18"/>
                <w:szCs w:val="18"/>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8260" w:type="dxa"/>
            <w:vAlign w:val="bottom"/>
          </w:tcPr>
          <w:p>
            <w:pPr>
              <w:spacing w:after="0"/>
              <w:rPr>
                <w:sz w:val="20"/>
                <w:szCs w:val="20"/>
                <w:color w:val="auto"/>
              </w:rPr>
            </w:pPr>
            <w:r>
              <w:rPr>
                <w:rFonts w:ascii="Arial" w:cs="Arial" w:eastAsia="Arial" w:hAnsi="Arial"/>
                <w:sz w:val="16"/>
                <w:szCs w:val="16"/>
                <w:color w:val="auto"/>
              </w:rPr>
              <w:t>Sundry, net</w:t>
            </w:r>
          </w:p>
        </w:tc>
        <w:tc>
          <w:tcPr>
            <w:tcW w:w="1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189"/>
        </w:trPr>
        <w:tc>
          <w:tcPr>
            <w:tcW w:w="82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auto"/>
            </w:tcBorders>
          </w:tcPr>
          <w:p>
            <w:pPr>
              <w:jc w:val="right"/>
              <w:ind w:right="98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w:t>
            </w:r>
          </w:p>
        </w:tc>
        <w:tc>
          <w:tcPr>
            <w:tcW w:w="1140" w:type="dxa"/>
            <w:vAlign w:val="bottom"/>
            <w:tcBorders>
              <w:bottom w:val="single" w:sz="8" w:color="auto"/>
            </w:tcBorders>
          </w:tcPr>
          <w:p>
            <w:pPr>
              <w:jc w:val="right"/>
              <w:ind w:right="9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r>
      <w:tr>
        <w:trPr>
          <w:trHeight w:val="21"/>
        </w:trPr>
        <w:tc>
          <w:tcPr>
            <w:tcW w:w="8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11"/>
        </w:trPr>
        <w:tc>
          <w:tcPr>
            <w:tcW w:w="826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195"/>
        </w:trPr>
        <w:tc>
          <w:tcPr>
            <w:tcW w:w="8260" w:type="dxa"/>
            <w:vAlign w:val="bottom"/>
          </w:tcPr>
          <w:p>
            <w:pPr>
              <w:spacing w:after="0"/>
              <w:rPr>
                <w:sz w:val="20"/>
                <w:szCs w:val="20"/>
                <w:color w:val="auto"/>
              </w:rPr>
            </w:pPr>
            <w:r>
              <w:rPr>
                <w:rFonts w:ascii="Arial" w:cs="Arial" w:eastAsia="Arial" w:hAnsi="Arial"/>
                <w:sz w:val="16"/>
                <w:szCs w:val="16"/>
                <w:color w:val="auto"/>
              </w:rPr>
              <w:t>Allowance for equity funds used during construction</w:t>
            </w:r>
          </w:p>
        </w:tc>
        <w:tc>
          <w:tcPr>
            <w:tcW w:w="1140" w:type="dxa"/>
            <w:vAlign w:val="bottom"/>
          </w:tcPr>
          <w:p>
            <w:pPr>
              <w:jc w:val="right"/>
              <w:ind w:right="98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140" w:type="dxa"/>
            <w:vAlign w:val="bottom"/>
          </w:tcPr>
          <w:p>
            <w:pPr>
              <w:jc w:val="right"/>
              <w:ind w:right="920"/>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6"/>
        </w:trPr>
        <w:tc>
          <w:tcPr>
            <w:tcW w:w="8260" w:type="dxa"/>
            <w:vAlign w:val="bottom"/>
          </w:tcPr>
          <w:p>
            <w:pPr>
              <w:spacing w:after="0"/>
              <w:rPr>
                <w:sz w:val="20"/>
                <w:szCs w:val="20"/>
                <w:color w:val="auto"/>
              </w:rPr>
            </w:pPr>
            <w:r>
              <w:rPr>
                <w:rFonts w:ascii="Arial" w:cs="Arial" w:eastAsia="Arial" w:hAnsi="Arial"/>
                <w:sz w:val="16"/>
                <w:szCs w:val="16"/>
                <w:color w:val="auto"/>
              </w:rPr>
              <w:t>Regulatory interest, net(2)</w:t>
            </w:r>
          </w:p>
        </w:tc>
        <w:tc>
          <w:tcPr>
            <w:tcW w:w="1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82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auto"/>
            </w:tcBorders>
          </w:tcPr>
          <w:p>
            <w:pPr>
              <w:jc w:val="right"/>
              <w:ind w:right="98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w:t>
            </w:r>
          </w:p>
        </w:tc>
        <w:tc>
          <w:tcPr>
            <w:tcW w:w="1140" w:type="dxa"/>
            <w:vAlign w:val="bottom"/>
            <w:tcBorders>
              <w:bottom w:val="single" w:sz="8" w:color="auto"/>
            </w:tcBorders>
          </w:tcPr>
          <w:p>
            <w:pPr>
              <w:jc w:val="right"/>
              <w:ind w:right="9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1"/>
        </w:trPr>
        <w:tc>
          <w:tcPr>
            <w:tcW w:w="8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11"/>
        </w:trPr>
        <w:tc>
          <w:tcPr>
            <w:tcW w:w="826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195"/>
        </w:trPr>
        <w:tc>
          <w:tcPr>
            <w:tcW w:w="8260" w:type="dxa"/>
            <w:vAlign w:val="bottom"/>
          </w:tcPr>
          <w:p>
            <w:pPr>
              <w:spacing w:after="0"/>
              <w:rPr>
                <w:sz w:val="20"/>
                <w:szCs w:val="20"/>
                <w:color w:val="auto"/>
              </w:rPr>
            </w:pPr>
            <w:r>
              <w:rPr>
                <w:rFonts w:ascii="Arial" w:cs="Arial" w:eastAsia="Arial" w:hAnsi="Arial"/>
                <w:sz w:val="16"/>
                <w:szCs w:val="16"/>
                <w:color w:val="auto"/>
              </w:rPr>
              <w:t>Allowance for equity funds used during construction</w:t>
            </w:r>
          </w:p>
        </w:tc>
        <w:tc>
          <w:tcPr>
            <w:tcW w:w="1140" w:type="dxa"/>
            <w:vAlign w:val="bottom"/>
          </w:tcPr>
          <w:p>
            <w:pPr>
              <w:jc w:val="right"/>
              <w:ind w:right="98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140" w:type="dxa"/>
            <w:vAlign w:val="bottom"/>
          </w:tcPr>
          <w:p>
            <w:pPr>
              <w:jc w:val="right"/>
              <w:ind w:right="920"/>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8260" w:type="dxa"/>
            <w:vAlign w:val="bottom"/>
          </w:tcPr>
          <w:p>
            <w:pPr>
              <w:spacing w:after="0"/>
              <w:rPr>
                <w:sz w:val="20"/>
                <w:szCs w:val="20"/>
                <w:color w:val="auto"/>
              </w:rPr>
            </w:pPr>
            <w:r>
              <w:rPr>
                <w:rFonts w:ascii="Arial" w:cs="Arial" w:eastAsia="Arial" w:hAnsi="Arial"/>
                <w:sz w:val="16"/>
                <w:szCs w:val="16"/>
                <w:color w:val="auto"/>
              </w:rPr>
              <w:t>Sundry, net</w:t>
            </w:r>
          </w:p>
        </w:tc>
        <w:tc>
          <w:tcPr>
            <w:tcW w:w="1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89"/>
        </w:trPr>
        <w:tc>
          <w:tcPr>
            <w:tcW w:w="82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auto"/>
            </w:tcBorders>
          </w:tcPr>
          <w:p>
            <w:pPr>
              <w:jc w:val="right"/>
              <w:ind w:right="98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140" w:type="dxa"/>
            <w:vAlign w:val="bottom"/>
            <w:tcBorders>
              <w:bottom w:val="single" w:sz="8" w:color="auto"/>
            </w:tcBorders>
          </w:tcPr>
          <w:p>
            <w:pPr>
              <w:jc w:val="right"/>
              <w:ind w:right="9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1"/>
        </w:trPr>
        <w:tc>
          <w:tcPr>
            <w:tcW w:w="8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ind w:left="620" w:right="580" w:hanging="389"/>
        <w:spacing w:after="0" w:line="245" w:lineRule="auto"/>
        <w:tabs>
          <w:tab w:leader="none" w:pos="62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investment gains on dedicated assets in support of our executive retirement and deferred compensation plans. These amounts are partially offset by corresponding changes in compensation expense related to the plans.</w:t>
      </w:r>
    </w:p>
    <w:p>
      <w:pPr>
        <w:ind w:left="620" w:hanging="389"/>
        <w:spacing w:after="0"/>
        <w:tabs>
          <w:tab w:leader="none" w:pos="62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Interest on regulatory balancing accounts.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AND EFFECTIVE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36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4000" w:type="dxa"/>
            <w:vAlign w:val="bottom"/>
            <w:tcBorders>
              <w:bottom w:val="single" w:sz="8" w:color="auto"/>
            </w:tcBorders>
            <w:gridSpan w:val="3"/>
          </w:tcPr>
          <w:p>
            <w:pPr>
              <w:jc w:val="right"/>
              <w:ind w:right="305"/>
              <w:spacing w:after="0"/>
              <w:rPr>
                <w:sz w:val="20"/>
                <w:szCs w:val="20"/>
                <w:color w:val="auto"/>
              </w:rPr>
            </w:pPr>
            <w:r>
              <w:rPr>
                <w:rFonts w:ascii="Arial" w:cs="Arial" w:eastAsia="Arial" w:hAnsi="Arial"/>
                <w:sz w:val="14"/>
                <w:szCs w:val="14"/>
                <w:color w:val="auto"/>
              </w:rPr>
              <w:t>Three months ended March 31,</w:t>
            </w:r>
          </w:p>
        </w:tc>
        <w:tc>
          <w:tcPr>
            <w:tcW w:w="4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r>
      <w:tr>
        <w:trPr>
          <w:trHeight w:val="223"/>
        </w:trPr>
        <w:tc>
          <w:tcPr>
            <w:tcW w:w="336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185"/>
              <w:spacing w:after="0"/>
              <w:rPr>
                <w:sz w:val="20"/>
                <w:szCs w:val="20"/>
                <w:color w:val="auto"/>
              </w:rPr>
            </w:pPr>
            <w:r>
              <w:rPr>
                <w:rFonts w:ascii="Arial" w:cs="Arial" w:eastAsia="Arial" w:hAnsi="Arial"/>
                <w:sz w:val="14"/>
                <w:szCs w:val="14"/>
                <w:color w:val="auto"/>
              </w:rPr>
              <w:t>2013</w:t>
            </w:r>
          </w:p>
        </w:tc>
        <w:tc>
          <w:tcPr>
            <w:tcW w:w="6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1624"/>
              <w:spacing w:after="0"/>
              <w:rPr>
                <w:sz w:val="20"/>
                <w:szCs w:val="20"/>
                <w:color w:val="auto"/>
              </w:rPr>
            </w:pPr>
            <w:r>
              <w:rPr>
                <w:rFonts w:ascii="Arial" w:cs="Arial" w:eastAsia="Arial" w:hAnsi="Arial"/>
                <w:sz w:val="14"/>
                <w:szCs w:val="14"/>
                <w:color w:val="auto"/>
              </w:rPr>
              <w:t>2012</w:t>
            </w:r>
          </w:p>
        </w:tc>
      </w:tr>
      <w:tr>
        <w:trPr>
          <w:trHeight w:val="231"/>
        </w:trPr>
        <w:tc>
          <w:tcPr>
            <w:tcW w:w="3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80" w:type="dxa"/>
            <w:vAlign w:val="bottom"/>
          </w:tcPr>
          <w:p>
            <w:pPr>
              <w:jc w:val="center"/>
              <w:ind w:left="965"/>
              <w:spacing w:after="0"/>
              <w:rPr>
                <w:sz w:val="20"/>
                <w:szCs w:val="20"/>
                <w:color w:val="auto"/>
              </w:rPr>
            </w:pPr>
            <w:r>
              <w:rPr>
                <w:rFonts w:ascii="Arial" w:cs="Arial" w:eastAsia="Arial" w:hAnsi="Arial"/>
                <w:sz w:val="14"/>
                <w:szCs w:val="14"/>
                <w:color w:val="auto"/>
              </w:rPr>
              <w:t>Effective</w:t>
            </w:r>
          </w:p>
        </w:tc>
        <w:tc>
          <w:tcPr>
            <w:tcW w:w="6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rPr>
              <w:t>Effective</w:t>
            </w:r>
          </w:p>
        </w:tc>
      </w:tr>
      <w:tr>
        <w:trPr>
          <w:trHeight w:val="216"/>
        </w:trPr>
        <w:tc>
          <w:tcPr>
            <w:tcW w:w="3360" w:type="dxa"/>
            <w:vAlign w:val="bottom"/>
          </w:tcPr>
          <w:p>
            <w:pPr>
              <w:spacing w:after="0"/>
              <w:rPr>
                <w:sz w:val="18"/>
                <w:szCs w:val="18"/>
                <w:color w:val="auto"/>
              </w:rPr>
            </w:pPr>
          </w:p>
        </w:tc>
        <w:tc>
          <w:tcPr>
            <w:tcW w:w="1560" w:type="dxa"/>
            <w:vAlign w:val="bottom"/>
          </w:tcPr>
          <w:p>
            <w:pPr>
              <w:jc w:val="center"/>
              <w:ind w:left="605"/>
              <w:spacing w:after="0"/>
              <w:rPr>
                <w:sz w:val="20"/>
                <w:szCs w:val="20"/>
                <w:color w:val="auto"/>
              </w:rPr>
            </w:pPr>
            <w:r>
              <w:rPr>
                <w:rFonts w:ascii="Arial" w:cs="Arial" w:eastAsia="Arial" w:hAnsi="Arial"/>
                <w:sz w:val="14"/>
                <w:szCs w:val="14"/>
                <w:color w:val="auto"/>
                <w:w w:val="98"/>
              </w:rPr>
              <w:t>Income Tax</w:t>
            </w:r>
          </w:p>
        </w:tc>
        <w:tc>
          <w:tcPr>
            <w:tcW w:w="1880" w:type="dxa"/>
            <w:vAlign w:val="bottom"/>
          </w:tcPr>
          <w:p>
            <w:pPr>
              <w:jc w:val="center"/>
              <w:ind w:left="965"/>
              <w:spacing w:after="0"/>
              <w:rPr>
                <w:sz w:val="20"/>
                <w:szCs w:val="20"/>
                <w:color w:val="auto"/>
              </w:rPr>
            </w:pPr>
            <w:r>
              <w:rPr>
                <w:rFonts w:ascii="Arial" w:cs="Arial" w:eastAsia="Arial" w:hAnsi="Arial"/>
                <w:sz w:val="14"/>
                <w:szCs w:val="14"/>
                <w:color w:val="auto"/>
              </w:rPr>
              <w:t>Income</w:t>
            </w:r>
          </w:p>
        </w:tc>
        <w:tc>
          <w:tcPr>
            <w:tcW w:w="680" w:type="dxa"/>
            <w:vAlign w:val="bottom"/>
          </w:tcPr>
          <w:p>
            <w:pPr>
              <w:spacing w:after="0"/>
              <w:rPr>
                <w:sz w:val="18"/>
                <w:szCs w:val="18"/>
                <w:color w:val="auto"/>
              </w:rPr>
            </w:pPr>
          </w:p>
        </w:tc>
        <w:tc>
          <w:tcPr>
            <w:tcW w:w="1440" w:type="dxa"/>
            <w:vAlign w:val="bottom"/>
          </w:tcPr>
          <w:p>
            <w:pPr>
              <w:jc w:val="center"/>
              <w:ind w:left="545"/>
              <w:spacing w:after="0"/>
              <w:rPr>
                <w:sz w:val="20"/>
                <w:szCs w:val="20"/>
                <w:color w:val="auto"/>
              </w:rPr>
            </w:pPr>
            <w:r>
              <w:rPr>
                <w:rFonts w:ascii="Arial" w:cs="Arial" w:eastAsia="Arial" w:hAnsi="Arial"/>
                <w:sz w:val="14"/>
                <w:szCs w:val="14"/>
                <w:color w:val="auto"/>
              </w:rPr>
              <w:t>Income Tax</w:t>
            </w:r>
          </w:p>
        </w:tc>
        <w:tc>
          <w:tcPr>
            <w:tcW w:w="4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rPr>
              <w:t>Income</w:t>
            </w:r>
          </w:p>
        </w:tc>
      </w:tr>
      <w:tr>
        <w:trPr>
          <w:trHeight w:val="208"/>
        </w:trPr>
        <w:tc>
          <w:tcPr>
            <w:tcW w:w="3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left="605"/>
              <w:spacing w:after="0"/>
              <w:rPr>
                <w:sz w:val="20"/>
                <w:szCs w:val="20"/>
                <w:color w:val="auto"/>
              </w:rPr>
            </w:pPr>
            <w:r>
              <w:rPr>
                <w:rFonts w:ascii="Arial" w:cs="Arial" w:eastAsia="Arial" w:hAnsi="Arial"/>
                <w:sz w:val="14"/>
                <w:szCs w:val="14"/>
                <w:color w:val="auto"/>
              </w:rPr>
              <w:t>Expense</w:t>
            </w:r>
          </w:p>
        </w:tc>
        <w:tc>
          <w:tcPr>
            <w:tcW w:w="1880" w:type="dxa"/>
            <w:vAlign w:val="bottom"/>
            <w:tcBorders>
              <w:bottom w:val="single" w:sz="8" w:color="auto"/>
            </w:tcBorders>
          </w:tcPr>
          <w:p>
            <w:pPr>
              <w:jc w:val="center"/>
              <w:ind w:left="965"/>
              <w:spacing w:after="0"/>
              <w:rPr>
                <w:sz w:val="20"/>
                <w:szCs w:val="20"/>
                <w:color w:val="auto"/>
              </w:rPr>
            </w:pPr>
            <w:r>
              <w:rPr>
                <w:rFonts w:ascii="Arial" w:cs="Arial" w:eastAsia="Arial" w:hAnsi="Arial"/>
                <w:sz w:val="14"/>
                <w:szCs w:val="14"/>
                <w:color w:val="auto"/>
                <w:w w:val="98"/>
              </w:rPr>
              <w:t>Tax Rate</w:t>
            </w:r>
          </w:p>
        </w:tc>
        <w:tc>
          <w:tcPr>
            <w:tcW w:w="6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left="565"/>
              <w:spacing w:after="0"/>
              <w:rPr>
                <w:sz w:val="20"/>
                <w:szCs w:val="20"/>
                <w:color w:val="auto"/>
              </w:rPr>
            </w:pPr>
            <w:r>
              <w:rPr>
                <w:rFonts w:ascii="Arial" w:cs="Arial" w:eastAsia="Arial" w:hAnsi="Arial"/>
                <w:sz w:val="14"/>
                <w:szCs w:val="14"/>
                <w:color w:val="auto"/>
              </w:rPr>
              <w:t>Expense</w:t>
            </w:r>
          </w:p>
        </w:tc>
        <w:tc>
          <w:tcPr>
            <w:tcW w:w="4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Tax Rate</w:t>
            </w:r>
          </w:p>
        </w:tc>
      </w:tr>
      <w:tr>
        <w:trPr>
          <w:trHeight w:val="224"/>
        </w:trPr>
        <w:tc>
          <w:tcPr>
            <w:tcW w:w="336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1560" w:type="dxa"/>
            <w:vAlign w:val="bottom"/>
          </w:tcPr>
          <w:p>
            <w:pPr>
              <w:jc w:val="right"/>
              <w:ind w:right="1205"/>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445"/>
              <w:spacing w:after="0"/>
              <w:rPr>
                <w:sz w:val="20"/>
                <w:szCs w:val="20"/>
                <w:color w:val="auto"/>
              </w:rPr>
            </w:pPr>
            <w:r>
              <w:rPr>
                <w:rFonts w:ascii="Arial" w:cs="Arial" w:eastAsia="Arial" w:hAnsi="Arial"/>
                <w:sz w:val="16"/>
                <w:szCs w:val="16"/>
                <w:color w:val="auto"/>
              </w:rPr>
              <w:t>178</w:t>
            </w:r>
          </w:p>
        </w:tc>
        <w:tc>
          <w:tcPr>
            <w:tcW w:w="680" w:type="dxa"/>
            <w:vAlign w:val="bottom"/>
          </w:tcPr>
          <w:p>
            <w:pPr>
              <w:ind w:left="120"/>
              <w:spacing w:after="0"/>
              <w:rPr>
                <w:sz w:val="20"/>
                <w:szCs w:val="20"/>
                <w:color w:val="auto"/>
              </w:rPr>
            </w:pPr>
            <w:r>
              <w:rPr>
                <w:rFonts w:ascii="Arial" w:cs="Arial" w:eastAsia="Arial" w:hAnsi="Arial"/>
                <w:sz w:val="16"/>
                <w:szCs w:val="16"/>
                <w:color w:val="auto"/>
              </w:rPr>
              <w:t>51 %</w:t>
            </w:r>
          </w:p>
        </w:tc>
        <w:tc>
          <w:tcPr>
            <w:tcW w:w="1440" w:type="dxa"/>
            <w:vAlign w:val="bottom"/>
          </w:tcPr>
          <w:p>
            <w:pPr>
              <w:jc w:val="right"/>
              <w:ind w:right="1105"/>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117</w:t>
            </w:r>
          </w:p>
        </w:tc>
        <w:tc>
          <w:tcPr>
            <w:tcW w:w="2100" w:type="dxa"/>
            <w:vAlign w:val="bottom"/>
          </w:tcPr>
          <w:p>
            <w:pPr>
              <w:ind w:left="1580"/>
              <w:spacing w:after="0"/>
              <w:rPr>
                <w:sz w:val="20"/>
                <w:szCs w:val="20"/>
                <w:color w:val="auto"/>
              </w:rPr>
            </w:pPr>
            <w:r>
              <w:rPr>
                <w:rFonts w:ascii="Arial" w:cs="Arial" w:eastAsia="Arial" w:hAnsi="Arial"/>
                <w:sz w:val="16"/>
                <w:szCs w:val="16"/>
                <w:color w:val="auto"/>
              </w:rPr>
              <w:t>33 %</w:t>
            </w:r>
          </w:p>
        </w:tc>
      </w:tr>
      <w:tr>
        <w:trPr>
          <w:trHeight w:val="216"/>
        </w:trPr>
        <w:tc>
          <w:tcPr>
            <w:tcW w:w="3360" w:type="dxa"/>
            <w:vAlign w:val="bottom"/>
          </w:tcPr>
          <w:p>
            <w:pPr>
              <w:spacing w:after="0"/>
              <w:rPr>
                <w:sz w:val="20"/>
                <w:szCs w:val="20"/>
                <w:color w:val="auto"/>
              </w:rPr>
            </w:pPr>
            <w:r>
              <w:rPr>
                <w:rFonts w:ascii="Arial" w:cs="Arial" w:eastAsia="Arial" w:hAnsi="Arial"/>
                <w:sz w:val="16"/>
                <w:szCs w:val="16"/>
                <w:color w:val="auto"/>
              </w:rPr>
              <w:t>SDG&amp;E</w:t>
            </w:r>
          </w:p>
        </w:tc>
        <w:tc>
          <w:tcPr>
            <w:tcW w:w="1560" w:type="dxa"/>
            <w:vAlign w:val="bottom"/>
          </w:tcPr>
          <w:p>
            <w:pPr>
              <w:spacing w:after="0"/>
              <w:rPr>
                <w:sz w:val="18"/>
                <w:szCs w:val="18"/>
                <w:color w:val="auto"/>
              </w:rPr>
            </w:pPr>
          </w:p>
        </w:tc>
        <w:tc>
          <w:tcPr>
            <w:tcW w:w="1880" w:type="dxa"/>
            <w:vAlign w:val="bottom"/>
          </w:tcPr>
          <w:p>
            <w:pPr>
              <w:jc w:val="right"/>
              <w:ind w:right="1445"/>
              <w:spacing w:after="0"/>
              <w:rPr>
                <w:sz w:val="20"/>
                <w:szCs w:val="20"/>
                <w:color w:val="auto"/>
              </w:rPr>
            </w:pPr>
            <w:r>
              <w:rPr>
                <w:rFonts w:ascii="Arial" w:cs="Arial" w:eastAsia="Arial" w:hAnsi="Arial"/>
                <w:sz w:val="16"/>
                <w:szCs w:val="16"/>
                <w:color w:val="auto"/>
              </w:rPr>
              <w:t>51</w:t>
            </w:r>
          </w:p>
        </w:tc>
        <w:tc>
          <w:tcPr>
            <w:tcW w:w="680" w:type="dxa"/>
            <w:vAlign w:val="bottom"/>
          </w:tcPr>
          <w:p>
            <w:pPr>
              <w:ind w:left="120"/>
              <w:spacing w:after="0"/>
              <w:rPr>
                <w:sz w:val="20"/>
                <w:szCs w:val="20"/>
                <w:color w:val="auto"/>
              </w:rPr>
            </w:pPr>
            <w:r>
              <w:rPr>
                <w:rFonts w:ascii="Arial" w:cs="Arial" w:eastAsia="Arial" w:hAnsi="Arial"/>
                <w:sz w:val="16"/>
                <w:szCs w:val="16"/>
                <w:color w:val="auto"/>
              </w:rPr>
              <w:t>39</w:t>
            </w:r>
          </w:p>
        </w:tc>
        <w:tc>
          <w:tcPr>
            <w:tcW w:w="14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60</w:t>
            </w:r>
          </w:p>
        </w:tc>
        <w:tc>
          <w:tcPr>
            <w:tcW w:w="2100" w:type="dxa"/>
            <w:vAlign w:val="bottom"/>
          </w:tcPr>
          <w:p>
            <w:pPr>
              <w:ind w:left="1580"/>
              <w:spacing w:after="0"/>
              <w:rPr>
                <w:sz w:val="20"/>
                <w:szCs w:val="20"/>
                <w:color w:val="auto"/>
              </w:rPr>
            </w:pPr>
            <w:r>
              <w:rPr>
                <w:rFonts w:ascii="Arial" w:cs="Arial" w:eastAsia="Arial" w:hAnsi="Arial"/>
                <w:sz w:val="16"/>
                <w:szCs w:val="16"/>
                <w:color w:val="auto"/>
              </w:rPr>
              <w:t>35</w:t>
            </w:r>
          </w:p>
        </w:tc>
      </w:tr>
      <w:tr>
        <w:trPr>
          <w:trHeight w:val="209"/>
        </w:trPr>
        <w:tc>
          <w:tcPr>
            <w:tcW w:w="3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15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1445"/>
              <w:spacing w:after="0"/>
              <w:rPr>
                <w:sz w:val="20"/>
                <w:szCs w:val="20"/>
                <w:color w:val="auto"/>
              </w:rPr>
            </w:pPr>
            <w:r>
              <w:rPr>
                <w:rFonts w:ascii="Arial" w:cs="Arial" w:eastAsia="Arial" w:hAnsi="Arial"/>
                <w:sz w:val="16"/>
                <w:szCs w:val="16"/>
                <w:color w:val="auto"/>
              </w:rPr>
              <w:t>24</w:t>
            </w: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34</w:t>
            </w:r>
          </w:p>
        </w:tc>
        <w:tc>
          <w:tcPr>
            <w:tcW w:w="14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2100" w:type="dxa"/>
            <w:vAlign w:val="bottom"/>
            <w:tcBorders>
              <w:bottom w:val="single" w:sz="8" w:color="auto"/>
            </w:tcBorders>
          </w:tcPr>
          <w:p>
            <w:pPr>
              <w:ind w:left="1580"/>
              <w:spacing w:after="0"/>
              <w:rPr>
                <w:sz w:val="20"/>
                <w:szCs w:val="20"/>
                <w:color w:val="auto"/>
              </w:rPr>
            </w:pPr>
            <w:r>
              <w:rPr>
                <w:rFonts w:ascii="Arial" w:cs="Arial" w:eastAsia="Arial" w:hAnsi="Arial"/>
                <w:sz w:val="16"/>
                <w:szCs w:val="16"/>
                <w:color w:val="auto"/>
              </w:rPr>
              <w:t>38</w:t>
            </w:r>
          </w:p>
        </w:tc>
      </w:tr>
      <w:tr>
        <w:trPr>
          <w:trHeight w:val="21"/>
        </w:trPr>
        <w:tc>
          <w:tcPr>
            <w:tcW w:w="3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Changes in Effective Income Tax Rates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higher effective income tax rate in the three months ended March 31, 2013 was primarily due to:</w:t>
      </w:r>
    </w:p>
    <w:p>
      <w:pPr>
        <w:spacing w:after="0" w:line="252" w:lineRule="exact"/>
        <w:rPr>
          <w:sz w:val="20"/>
          <w:szCs w:val="20"/>
          <w:color w:val="auto"/>
        </w:rPr>
      </w:pPr>
    </w:p>
    <w:p>
      <w:pPr>
        <w:ind w:left="340" w:right="20" w:hanging="188"/>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$63 million income tax expense resulting from a corporate reorganization in connection with the IEnova stock offerings, which we discuss above in “Sale of Noncontrolling Interests;”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lower income tax expense due to Mexican currency translation and inflation adjustments;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income tax benefit in 2013 resulting from changes made in the second half of 2012 in the income tax treatment of certain repairs expenditures that are</w:t>
      </w:r>
    </w:p>
    <w:p>
      <w:pPr>
        <w:sectPr>
          <w:pgSz w:w="11900" w:h="16838" w:orient="portrait"/>
          <w:cols w:equalWidth="0" w:num="1">
            <w:col w:w="11420"/>
          </w:cols>
          <w:pgMar w:left="240" w:top="141" w:right="239" w:bottom="0" w:gutter="0" w:footer="0" w:header="0"/>
        </w:sectPr>
      </w:pPr>
    </w:p>
    <w:bookmarkStart w:id="23" w:name="page24"/>
    <w:bookmarkEnd w:id="23"/>
    <w:p>
      <w:pPr>
        <w:jc w:val="both"/>
        <w:ind w:left="340"/>
        <w:spacing w:after="0" w:line="257" w:lineRule="auto"/>
        <w:rPr>
          <w:sz w:val="20"/>
          <w:szCs w:val="20"/>
          <w:color w:val="auto"/>
        </w:rPr>
      </w:pPr>
      <w:r>
        <w:rPr>
          <w:rFonts w:ascii="Arial" w:cs="Arial" w:eastAsia="Arial" w:hAnsi="Arial"/>
          <w:sz w:val="18"/>
          <w:szCs w:val="18"/>
          <w:color w:val="auto"/>
        </w:rPr>
        <w:t>capitalized for financial statement purposes. The change in income tax treatment of certain repairs expenditures for electric transmission and distribution assets was made pursuant to an Internal Revenue Service (IRS) Revenue Procedure providing a safe harbor for deducting certain repairs expenditures from taxable income when incurred for tax years beginning on or after January 1, 2011. The change in income tax treatment of certain repairs expenditures for gas plant assets was made pursuant to an IRS Revenue Procedure which allows, under an Internal Revenue Code (IRC) section, for such expenditures to be deducted from taxable income when incurred.</w:t>
      </w:r>
    </w:p>
    <w:p>
      <w:pPr>
        <w:spacing w:after="0" w:line="21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Sempra Energy, SDG&amp;E and SoCalGas record income taxes for interim periods utilizing a forecasted effective tax rate anticipated for the full year, as required by U.S. GAAP. The income tax effect of items that can be reliably forecasted are factored into the forecasted effective tax rate and their impact is spread proportionately over the year. The forecasted items, anticipated on a full year basis, may include, among others, self-developed software expenditures, repairs to certain utility plant fixed assets, renewable energy income tax credits, deferred income tax benefits related to renewable energy projects, exclusions from taxable income of the equity portion of AFUDC, and depreciation on a certain portion of utility plant assets. Items that cannot be reliably forecasted (e.g., adjustments related to prior years’ income tax items, Mexican currency translation and inflation adjustments, deferred income tax benefit associated with the impairment of a book investment, etc.) are recorded in the interim period in which they actually occur, which can result in variability to income tax expense.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higher effective income tax rate in the three months ended March 31, 2013 was primarily due to:</w:t>
      </w:r>
    </w:p>
    <w:p>
      <w:pPr>
        <w:spacing w:after="0" w:line="252" w:lineRule="exact"/>
        <w:rPr>
          <w:sz w:val="20"/>
          <w:szCs w:val="20"/>
          <w:color w:val="auto"/>
        </w:rPr>
      </w:pPr>
    </w:p>
    <w:p>
      <w:pPr>
        <w:ind w:left="340" w:hanging="188"/>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Otay Mesa VIE, which we discuss below;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lower exclusions from taxable income of the equity portion of AFUDC;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line="342"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income tax benefit in 2013 resulting from a change made in the third quarter of 2012 in the income tax treatment of certain repairs expenditures for electric transmission and distribution assets that are capitalized for financial statement purposes, as we discuss above for Sempra Energy Consolidated.</w:t>
      </w:r>
    </w:p>
    <w:p>
      <w:pPr>
        <w:spacing w:after="0" w:line="151"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The results for Sempra Energy Consolidated and SDG&amp;E include Otay Mesa VIE, which is not included in Sempra Energy’s federal or state income tax returns but is consolidated for financial statement purposes, and therefore, Sempra Energy Consolidated’s and SDG&amp;E’s effective income tax rates are impacted by the VIE’s stand-alone effective income tax rate. In the first quarter of 2013, Otay Mesa VIE had a pretax loss compared to pretax income in 2012, on which no tax benefit or expense, respectively, was recorded by Otay Mesa VIE. We discuss Otay Mesa VIE above in “Variable Interest Entities.”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SoCalGas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lower effective income tax rate in the three months ended March 31, 2013 was primarily due to:</w:t>
      </w:r>
    </w:p>
    <w:p>
      <w:pPr>
        <w:spacing w:after="0" w:line="252" w:lineRule="exact"/>
        <w:rPr>
          <w:sz w:val="20"/>
          <w:szCs w:val="20"/>
          <w:color w:val="auto"/>
        </w:rPr>
      </w:pPr>
    </w:p>
    <w:p>
      <w:pPr>
        <w:ind w:left="340" w:hanging="188"/>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income tax benefit in 2013 resulting from a change made in the fourth quarter of 2012 in the income tax treatment of certain repairs expenditures for gas assets that are capitalized for financial statement purposes, as we discuss above for Sempra Energy Consolidated; </w:t>
      </w:r>
      <w:r>
        <w:rPr>
          <w:rFonts w:ascii="Arial" w:cs="Arial" w:eastAsia="Arial" w:hAnsi="Arial"/>
          <w:sz w:val="17"/>
          <w:szCs w:val="17"/>
          <w:b w:val="1"/>
          <w:bCs w:val="1"/>
          <w:color w:val="auto"/>
        </w:rPr>
        <w:t>offset by</w:t>
      </w:r>
    </w:p>
    <w:p>
      <w:pPr>
        <w:spacing w:after="0" w:line="173" w:lineRule="exact"/>
        <w:rPr>
          <w:rFonts w:ascii="Arial" w:cs="Arial" w:eastAsia="Arial" w:hAnsi="Arial"/>
          <w:sz w:val="17"/>
          <w:szCs w:val="17"/>
          <w:color w:val="auto"/>
        </w:rPr>
      </w:pPr>
    </w:p>
    <w:p>
      <w:pPr>
        <w:ind w:left="340" w:hanging="188"/>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book depreciation over income tax depreciation related to a certain portion of utility plant fixed assets;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lower deductions for self-developed software costs.</w:t>
      </w:r>
    </w:p>
    <w:p>
      <w:pPr>
        <w:spacing w:after="0" w:line="25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California Public Utilities Commission (CPUC) requires flow-through rate-making treatment for the current income tax benefit or expense arising from certain property-related and other temporary differences between the treatment for financial reporting and income tax, which will reverse over time. Under the regulatory accounting treatment required for these flow-through temporary differences, deferred income taxes are not recorded to deferred income tax expense, but rather to a regulatory asset or liability. As a result, changes in the relative size of these items compared to pretax income, from period to period, can cause variations in the effective income tax rate. The following items are subject to flow-through treatment:</w:t>
      </w:r>
    </w:p>
    <w:p>
      <w:pPr>
        <w:spacing w:after="0" w:line="200" w:lineRule="exact"/>
        <w:rPr>
          <w:sz w:val="20"/>
          <w:szCs w:val="20"/>
          <w:color w:val="auto"/>
        </w:rPr>
      </w:pPr>
    </w:p>
    <w:p>
      <w:pPr>
        <w:ind w:left="340" w:hanging="188"/>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repairs expenditures related to a certain portion of utility plant fixed assets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equity portion of AFUDC</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portion of the cost of removal of utility plant assets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self-developed software expenditures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depreciation on a certain portion of utility plant fixed assets</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provide additional information about our accounting for income taxes in Notes 1 and 7 of the Notes to Consolidated Financial Statements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2637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NOTE 6. DEBT AND CREDIT FACILITIES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COMMITTED LINES OF CREDIT</w:t>
      </w:r>
    </w:p>
    <w:p>
      <w:pPr>
        <w:spacing w:after="0" w:line="24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At March 31, 2013, Sempra Energy Consolidated had an aggregate of $4.1 billion in committed lines of credit to provide liquidity and to support commercial paper, the major components of which we detail below. Available unused credit on these lines at March 31, 2013 was $3.3 billion.</w:t>
      </w:r>
    </w:p>
    <w:p>
      <w:pPr>
        <w:sectPr>
          <w:pgSz w:w="11900" w:h="16838" w:orient="portrait"/>
          <w:cols w:equalWidth="0" w:num="1">
            <w:col w:w="11420"/>
          </w:cols>
          <w:pgMar w:left="240" w:top="125" w:right="239" w:bottom="0" w:gutter="0" w:footer="0" w:header="0"/>
        </w:sectPr>
      </w:pPr>
    </w:p>
    <w:bookmarkStart w:id="24" w:name="page25"/>
    <w:bookmarkEnd w:id="24"/>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4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Sempra Energy has a $1.067 billion, five-year syndicated revolving credit agreement expiring in March 2017. Citibank, N.A. serves as administrative agent for the syndicate of 24 lenders. No single lender has greater than a 7-percent share.</w:t>
      </w:r>
    </w:p>
    <w:p>
      <w:pPr>
        <w:spacing w:after="0" w:line="19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Borrowings bear interest at benchmark rates plus a margin that varies with market index rates and Sempra Energy’s credit ratings. The facility requires Sempra Energy to maintain a ratio of total indebtedness to total capitalization (as defined in the agreement) of no more than 65 percent at the end of each quarter. At March 31, 2013, Sempra Energy was in compliance with this and all other financial covenants under the credit facility. The facility also provides for issuance of up to $635 million of letters of credit on behalf of Sempra Energy with the amount of borrowings otherwise available under the facility reduced by the amount of outstanding letters of credit.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2013, Sempra Energy had $34 million of letters of credit outstanding supported by the facility.</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Global</w:t>
      </w:r>
    </w:p>
    <w:p>
      <w:pPr>
        <w:spacing w:after="0" w:line="24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Sempra Global has a $2.189 billion, five-year syndicated revolving credit agreement expiring in March 2017. Citibank, N.A. serves as administrative agent for the syndicate of 25 lenders. No single lender has greater than a 7-percent share.</w:t>
      </w:r>
    </w:p>
    <w:p>
      <w:pPr>
        <w:spacing w:after="0" w:line="19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Sempra Energy guarantees Sempra Global’s obligations under the credit facility. Borrowings bear interest at benchmark rates plus a margin that varies with market index rates and Sempra Energy’s credit ratings. The facility requires Sempra Energy to maintain a ratio of total indebtedness to total capitalization (as defined in the agreement) of no more than 65 percent at the end of each quarter.</w:t>
      </w:r>
    </w:p>
    <w:p>
      <w:pPr>
        <w:spacing w:after="0" w:line="2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March 31, 2013, Sempra Global had $747 million of commercial paper outstanding supported by the facility. At December 31, 2012, $300 million of commercial paper outstanding was classified as long-term debt based on management’s intent and ability to maintain this level of borrowing on a long-term basis either supported by this credit facility or by issuing long-term debt. This classification has no impact on cash flows. As a result of issuances of long-term debt in the three months ended March 31, 2013, as we discuss below, none of the commercial paper outstanding at March 31, 2013 is classified as long-term debt.</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California Utilities</w:t>
      </w:r>
    </w:p>
    <w:p>
      <w:pPr>
        <w:spacing w:after="0" w:line="24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SDG&amp;E and SoCalGas have a combined $877 million, five-year syndicated revolving credit agreement expiring in March 2017. JPMorgan Chase Bank, N.A. serves as administrative agent for the syndicate of 24 lenders. No single lender has greater than a 7-percent share. The agreement permits each utility to individually borrow up to $658 million, subject to a combined limit of $877 million for both utilities. It also provides for the issuance of letters of credit on behalf of each utility subject to a combined letter of credit commitment of $200 million for both utilities. The amount of borrowings otherwise available under the facility is reduced by the amount of outstanding letters of credit.</w:t>
      </w:r>
    </w:p>
    <w:p>
      <w:pPr>
        <w:spacing w:after="0" w:line="215"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Borrowings under the facility bear interest at benchmark rates plus a margin that varies with market index rates and the borrowing utility’s credit ratings. The agreement requires each utility to maintain a ratio of total indebtedness to total capitalization (as defined in the agreement) of no more than 65 percent at the end of each quarter. At March 31, 2013, the California Utilities were in compliance with this and all other financial covenants under the credit facility.</w:t>
      </w:r>
    </w:p>
    <w:p>
      <w:pPr>
        <w:spacing w:after="0" w:line="17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Each utility’s obligations under the agreement are individual obligations, and a default by one utility would not constitute a default by the other utility or preclude borrowings by, or the issuance of letters of credit on behalf of, the other utility.</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At March 31, 2013, SDG&amp;E and SoCalGas had no outstanding borrowings supported by the facility. Available unused credit on the line at March 31, 2013 was $658 million at both SDG&amp;E and SoCalGas, subject to the combined limit on the facility of $877 million.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RBS Sempra Commodities</w:t>
      </w:r>
    </w:p>
    <w:p>
      <w:pPr>
        <w:spacing w:after="0" w:line="24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As we discuss in Note 4, in 2010 and early 2011, Sempra Energy, RBS and RBS Sempra Commodities sold substantially all of the businesses and assets within the partnership in four separate transactions. In connection with each of these transactions, the buyers were, subject to certain qualifications, obligated to replace any guarantees that we had issued in connection with the applicable businesses sold with guarantees of their own. The buyers have substantially completed this process with regard to all existing, open positions, except for one remaining position expected to terminate by January 2014. For those guarantees which have not been replaced, the buyers are obligated to indemnify us in accordance with the applicable transaction documents for any claims or losses in connection with the guarantees that we issued associated with the businesses sold. We provide additional information in Note 4.</w:t>
      </w:r>
    </w:p>
    <w:p>
      <w:pPr>
        <w:spacing w:after="0" w:line="19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At March 31, 2013, RBS Sempra Commodities no longer requires significant working capital support. However, we have provided back-up guarantees for a portion of RBS Sempra Commodities’ remaining trading obligations. A few of these back-up guarantees may continue for a prolonged period of time. RBS has fully indemnified us for any claims or losses in connection with these arrangements, with the exception of those obligations for which JP Morgan has agreed to indemnify us. We discuss the indemnification release in Note 4. We discuss additional matters related to our investment in RBS Sempra Commodities in Note 10.</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Guarantees</w:t>
      </w:r>
    </w:p>
    <w:p>
      <w:pPr>
        <w:spacing w:after="0" w:line="24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Sempra Renewables and BP Wind Energy currently hold 50-percent interests in the Flat Ridge 2 Wind Farm. The project obtained construction financing in December 2012, and proceeds from the loans were used to return $148 million of each owner’s joint venture investment in 2012. After completion of the</w:t>
      </w:r>
    </w:p>
    <w:p>
      <w:pPr>
        <w:sectPr>
          <w:pgSz w:w="11900" w:h="16894" w:orient="portrait"/>
          <w:cols w:equalWidth="0" w:num="1">
            <w:col w:w="11420"/>
          </w:cols>
          <w:pgMar w:left="240" w:top="366" w:right="239" w:bottom="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project in March 2013, the construction financing was converted into permanent financing consisting of a term loan and a fixed-rate note. The term loan of</w:t>
      </w:r>
    </w:p>
    <w:p>
      <w:pPr>
        <w:spacing w:after="0" w:line="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$242 million expires in June 2023 and the fixed-rate note of $110 million expires in June 2035. The financing agreement requires Sempra Renewables and BP Wind Energy, severally for each partner’s 50-percent interest, to return cash to the project in the event that the project does not meet certain cash flow criteria or in the event that the project’s debt service, operation and maintenance and firm transmission and production tax credits reserve accounts are not maintained at specific thresholds. Sempra Renewables recorded a liability of $3 million in the first quarter of 2013 for the fair value of its obligations associated with the cash flow requirements, which constitutes a guarantee. The liability is being amortized over its expected life. The outstanding loans are not guaranteed by the partners.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WEIGHTED AVERAGE INTEREST RATES</w:t>
      </w:r>
    </w:p>
    <w:p>
      <w:pPr>
        <w:spacing w:after="0" w:line="247"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weighted average interest rates on the total short-term debt outstanding at Sempra Energy were 0.64 percent and 0.72 percent at March 31, 2013 and December 31, 2012, respectively. The weighted average interest rates at Sempra Energy at December 31, 2012 include interest rates for commercial paper borrowings classified as long-term, as we discuss above.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w:t>
      </w:r>
    </w:p>
    <w:p>
      <w:pPr>
        <w:spacing w:after="0" w:line="24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On February 14, 2013, IEnova publicly offered and sold in Mexico $306 million (U.S. dollar equivalent) of 6.3-percent notes maturing in 2023 with a U.S. dollar equivalent rate of 4.12 percent after entering into a cross-currency swap for U.S. dollars at the time of issuance. IEnova also publicly offered and sold in Mexico $102 million (U.S. dollar equivalent) of variable rate notes, maturing in 2018, which after a floating-to-fixed cross-currency swap for U.S. dollars at the time of issuance, carry a U.S. dollar equivalent rate of 2.66 percent. The notes and related interest are denominated in Mexican pesos, and the interest rate for the variable rate notes is based on the Interbank Equilibrium Interest Rate plus 30 basis points. IEnova used $357 million of the proceeds of the notes for the repayment of intercompany debt, including accrued interest, primarily to other Sempra Energy consolidated foreign entities.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discuss our fair value interest rate swaps and interest rate swaps to hedge cash flows in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637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color w:val="auto"/>
        </w:rPr>
        <w:t>NOTE 7. DERIVATIVE FINANCIAL INSTRUMENTS</w:t>
      </w:r>
    </w:p>
    <w:p>
      <w:pPr>
        <w:spacing w:after="0" w:line="200" w:lineRule="exact"/>
        <w:rPr>
          <w:sz w:val="20"/>
          <w:szCs w:val="20"/>
          <w:color w:val="auto"/>
        </w:rPr>
      </w:pPr>
    </w:p>
    <w:p>
      <w:pPr>
        <w:spacing w:after="0" w:line="262"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We use derivative instruments primarily to manage exposures arising in the normal course of business. Our principal exposures are commodity market risk and benchmark interest rate risk. We may also manage foreign exchange rate exposures using derivatives. Our use of derivatives for these risks is integrated into the economic management of our anticipated revenues, anticipated expenses, assets and liabilities. Derivatives may be effective in mitigating these risks</w:t>
      </w:r>
    </w:p>
    <w:p>
      <w:pPr>
        <w:jc w:val="both"/>
        <w:ind w:right="460" w:firstLine="8"/>
        <w:spacing w:after="0" w:line="255"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that could lead to declines in anticipated revenues or increases in anticipated expenses, or (2) that our asset values may fall or our liabilities increase. Accordingly, our derivative activity summarized below generally represents an impact that is intended to offset associated revenues, expenses, assets or liabilities that are not presented below.</w:t>
      </w:r>
    </w:p>
    <w:p>
      <w:pPr>
        <w:spacing w:after="0" w:line="2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record all derivatives at fair value on the Condensed Consolidated Balance Sheets. We designate each derivative as (1) a cash flow hedge, (2) a fair value hedge, or (3) undesignated. Depending on the applicability of hedge accounting and, for the California Utilities and other operations subject to regulatory accounting, the requirement to pass impacts through to customers, the impact of derivative instruments may be offset in other comprehensive income (cash flow hedge), on the balance sheet (fair value hedges and regulatory offsets), or recognized in earnings. We classify cash flows from the settlements of derivative instruments as operating activities on the Condensed Consolidated Statements of Cash Flows.</w:t>
      </w:r>
    </w:p>
    <w:p>
      <w:pPr>
        <w:spacing w:after="0" w:line="2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certain cases, we apply the normal purchase or sale exception to derivative accounting and have other commodity contracts that are not derivatives. These contracts are not recorded at fair value and are therefore excluded from the disclosures below.</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 ACCOUNTING</w:t>
      </w:r>
    </w:p>
    <w:p>
      <w:pPr>
        <w:spacing w:after="0" w:line="2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may designate a derivative as a cash flow hedging instrument if it effectively converts anticipated revenues or expenses to a fixed dollar amount. We may utilize cash flow hedge accounting for derivative commodity instruments, foreign currency instruments and interest rate instruments. Designating cash flow hedges is dependent on the business context in which the instrument is being used, the effectiveness of the instrument in offsetting the risk that a given future revenue or expense item may vary, and other criteria.</w:t>
      </w:r>
    </w:p>
    <w:p>
      <w:pPr>
        <w:spacing w:after="0" w:line="21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may designate an interest rate derivative as a fair value hedging instrument if it effectively converts our own debt from a fixed interest rate to a variable rate. The combination of the derivative and debt instruments results in fixing that portion of the fair value of the debt that is related to benchmark interest rates. Designating fair value hedges is dependent on the instrument being used, the effectiveness of the instrument in offsetting changes in the fair value of our debt instruments, and other criteria.</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DERIVATIVES</w:t>
      </w:r>
    </w:p>
    <w:p>
      <w:pPr>
        <w:spacing w:after="0" w:line="247"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Our market risk is primarily related to natural gas and electricity price volatility and the specific physical locations where we transact. We use energy derivatives to manage these risks. The use of energy derivatives in our various businesses depends on the particular energy market, and the operating and</w:t>
      </w:r>
    </w:p>
    <w:p>
      <w:pPr>
        <w:sectPr>
          <w:pgSz w:w="11900" w:h="16838" w:orient="portrait"/>
          <w:cols w:equalWidth="0" w:num="1">
            <w:col w:w="11420"/>
          </w:cols>
          <w:pgMar w:left="240" w:top="125" w:right="239" w:bottom="0" w:gutter="0" w:footer="0" w:header="0"/>
        </w:sectPr>
      </w:pPr>
    </w:p>
    <w:bookmarkStart w:id="26" w:name="page27"/>
    <w:bookmarkEnd w:id="26"/>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regulatory environments applicable to the business.</w:t>
      </w:r>
    </w:p>
    <w:p>
      <w:pPr>
        <w:spacing w:after="0" w:line="252" w:lineRule="exact"/>
        <w:rPr>
          <w:sz w:val="20"/>
          <w:szCs w:val="20"/>
          <w:color w:val="auto"/>
        </w:rPr>
      </w:pPr>
    </w:p>
    <w:p>
      <w:pPr>
        <w:jc w:val="both"/>
        <w:ind w:left="340" w:hanging="188"/>
        <w:spacing w:after="0" w:line="255"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California Utilities use natural gas energy derivatives, on their customers’ behalf, with the objective of managing price risk and basis risks, and lowering natural gas costs. These derivatives include fixed price natural gas positions, options, and basis risk instruments, which are either exchange-traded or over-the-counter financial instruments. This activity is governed by risk management and transacting activity plans that have been filed with and approved by the CPUC. Natural gas derivative activities are recorded as commodity costs that are offset by regulatory account balances and are recovered in rates. Net commodity cost impacts on the Condensed Consolidated Statements of Operations are reflected in Cost of Electric Fuel and Purchased Power or in Cost of Natural Gas.</w:t>
      </w:r>
    </w:p>
    <w:p>
      <w:pPr>
        <w:spacing w:after="0" w:line="220" w:lineRule="exact"/>
        <w:rPr>
          <w:rFonts w:ascii="Arial" w:cs="Arial" w:eastAsia="Arial" w:hAnsi="Arial"/>
          <w:sz w:val="18"/>
          <w:szCs w:val="18"/>
          <w:color w:val="auto"/>
        </w:rPr>
      </w:pPr>
    </w:p>
    <w:p>
      <w:pPr>
        <w:jc w:val="both"/>
        <w:ind w:left="340" w:hanging="188"/>
        <w:spacing w:after="0" w:line="259"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SDG&amp;E is allocated and may purchase congestion revenue rights (CRRs), which serve to reduce the regional electricity price volatility risk that may result from local transmission capacity constraints. Unrealized gains and losses do not impact earnings, as they are offset by regulatory account balances. Realized gains and losses associated with CRRs are recorded in Cost of Electric Fuel and Purchased Power, which is recoverable in rates, on the Condensed Consolidated Statements of Operations.</w:t>
      </w:r>
    </w:p>
    <w:p>
      <w:pPr>
        <w:spacing w:after="0" w:line="213" w:lineRule="exact"/>
        <w:rPr>
          <w:rFonts w:ascii="Arial" w:cs="Arial" w:eastAsia="Arial" w:hAnsi="Arial"/>
          <w:sz w:val="18"/>
          <w:szCs w:val="18"/>
          <w:color w:val="auto"/>
        </w:rPr>
      </w:pPr>
    </w:p>
    <w:p>
      <w:pPr>
        <w:jc w:val="both"/>
        <w:ind w:left="340" w:hanging="188"/>
        <w:spacing w:after="0" w:line="272"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Sempra Mexico and Sempra Natural Gas may use natural gas and electricity derivatives, as appropriate, to optimize the earnings of their assets which support the following businesses: liquefied natural gas (LNG), natural gas transportation, power generation, and Sempra Natural Gas’ storage. Gains and losses associated with undesignated derivatives are recognized in Energy-Related Businesses Revenues or in Cost of Natural Gas, Electric Fuel and Purchased Power on the Condensed Consolidated Statements of Operations. Certain of these derivatives may also be designated as cash flow hedges. Sempra Mexico also uses natural gas energy derivatives with the objective of managing price risk and lowering natural gas prices at its Mexican distribution operations. These derivatives, which are recorded as commodity costs that are offset by regulatory account balances and recovered in rates, are recognized in Cost of Natural Gas on the Condensed Consolidated Statements of Operations.</w:t>
      </w:r>
    </w:p>
    <w:p>
      <w:pPr>
        <w:spacing w:after="0" w:line="204" w:lineRule="exact"/>
        <w:rPr>
          <w:rFonts w:ascii="Arial" w:cs="Arial" w:eastAsia="Arial" w:hAnsi="Arial"/>
          <w:sz w:val="17"/>
          <w:szCs w:val="17"/>
          <w:color w:val="auto"/>
        </w:rPr>
      </w:pPr>
    </w:p>
    <w:p>
      <w:pPr>
        <w:ind w:left="340" w:hanging="188"/>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From time to time, our various businesses, including the California Utilities, may use other energy derivatives to hedge exposures such as the price of vehicle fuel.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summarize net energy derivative volumes as of March 31, 2013 and December 31, 2012 as follows: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ENERGY DERIVATIVE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660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Segment and Commodity</w:t>
            </w:r>
          </w:p>
        </w:tc>
        <w:tc>
          <w:tcPr>
            <w:tcW w:w="4180" w:type="dxa"/>
            <w:vAlign w:val="bottom"/>
            <w:tcBorders>
              <w:bottom w:val="single" w:sz="8" w:color="auto"/>
            </w:tcBorders>
          </w:tcPr>
          <w:p>
            <w:pPr>
              <w:jc w:val="right"/>
              <w:ind w:right="1040"/>
              <w:spacing w:after="0"/>
              <w:rPr>
                <w:sz w:val="20"/>
                <w:szCs w:val="20"/>
                <w:color w:val="auto"/>
              </w:rPr>
            </w:pPr>
            <w:r>
              <w:rPr>
                <w:rFonts w:ascii="Arial" w:cs="Arial" w:eastAsia="Arial" w:hAnsi="Arial"/>
                <w:sz w:val="14"/>
                <w:szCs w:val="14"/>
                <w:color w:val="auto"/>
              </w:rPr>
              <w:t>March 31, 2013</w:t>
            </w:r>
          </w:p>
        </w:tc>
        <w:tc>
          <w:tcPr>
            <w:tcW w:w="2900" w:type="dxa"/>
            <w:vAlign w:val="bottom"/>
            <w:tcBorders>
              <w:bottom w:val="single" w:sz="8" w:color="auto"/>
            </w:tcBorders>
          </w:tcPr>
          <w:p>
            <w:pPr>
              <w:jc w:val="right"/>
              <w:ind w:right="1220"/>
              <w:spacing w:after="0"/>
              <w:rPr>
                <w:sz w:val="20"/>
                <w:szCs w:val="20"/>
                <w:color w:val="auto"/>
              </w:rPr>
            </w:pPr>
            <w:r>
              <w:rPr>
                <w:rFonts w:ascii="Arial" w:cs="Arial" w:eastAsia="Arial" w:hAnsi="Arial"/>
                <w:sz w:val="14"/>
                <w:szCs w:val="14"/>
                <w:color w:val="auto"/>
              </w:rPr>
              <w:t>December 31, 2012</w:t>
            </w:r>
          </w:p>
        </w:tc>
      </w:tr>
      <w:tr>
        <w:trPr>
          <w:trHeight w:val="224"/>
        </w:trPr>
        <w:tc>
          <w:tcPr>
            <w:tcW w:w="4340" w:type="dxa"/>
            <w:vAlign w:val="bottom"/>
          </w:tcPr>
          <w:p>
            <w:pPr>
              <w:spacing w:after="0"/>
              <w:rPr>
                <w:sz w:val="20"/>
                <w:szCs w:val="20"/>
                <w:color w:val="auto"/>
              </w:rPr>
            </w:pPr>
            <w:r>
              <w:rPr>
                <w:rFonts w:ascii="Arial" w:cs="Arial" w:eastAsia="Arial" w:hAnsi="Arial"/>
                <w:sz w:val="16"/>
                <w:szCs w:val="16"/>
                <w:color w:val="auto"/>
              </w:rPr>
              <w:t>California Utilities:</w:t>
            </w:r>
          </w:p>
        </w:tc>
        <w:tc>
          <w:tcPr>
            <w:tcW w:w="418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210"/>
        </w:trPr>
        <w:tc>
          <w:tcPr>
            <w:tcW w:w="4340" w:type="dxa"/>
            <w:vAlign w:val="bottom"/>
          </w:tcPr>
          <w:p>
            <w:pPr>
              <w:ind w:left="180"/>
              <w:spacing w:after="0"/>
              <w:rPr>
                <w:sz w:val="20"/>
                <w:szCs w:val="20"/>
                <w:color w:val="auto"/>
              </w:rPr>
            </w:pPr>
            <w:r>
              <w:rPr>
                <w:rFonts w:ascii="Arial" w:cs="Arial" w:eastAsia="Arial" w:hAnsi="Arial"/>
                <w:sz w:val="16"/>
                <w:szCs w:val="16"/>
                <w:color w:val="auto"/>
              </w:rPr>
              <w:t>SDG&amp;E:</w:t>
            </w:r>
          </w:p>
        </w:tc>
        <w:tc>
          <w:tcPr>
            <w:tcW w:w="418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189"/>
        </w:trPr>
        <w:tc>
          <w:tcPr>
            <w:tcW w:w="4340" w:type="dxa"/>
            <w:vAlign w:val="bottom"/>
          </w:tcPr>
          <w:p>
            <w:pPr>
              <w:ind w:left="360"/>
              <w:spacing w:after="0"/>
              <w:rPr>
                <w:sz w:val="20"/>
                <w:szCs w:val="20"/>
                <w:color w:val="auto"/>
              </w:rPr>
            </w:pPr>
            <w:r>
              <w:rPr>
                <w:rFonts w:ascii="Arial" w:cs="Arial" w:eastAsia="Arial" w:hAnsi="Arial"/>
                <w:sz w:val="16"/>
                <w:szCs w:val="16"/>
                <w:color w:val="auto"/>
              </w:rPr>
              <w:t>Natural gas</w:t>
            </w:r>
          </w:p>
        </w:tc>
        <w:tc>
          <w:tcPr>
            <w:tcW w:w="4180" w:type="dxa"/>
            <w:vAlign w:val="bottom"/>
          </w:tcPr>
          <w:p>
            <w:pPr>
              <w:jc w:val="right"/>
              <w:ind w:right="240"/>
              <w:spacing w:after="0"/>
              <w:rPr>
                <w:sz w:val="20"/>
                <w:szCs w:val="20"/>
                <w:color w:val="auto"/>
              </w:rPr>
            </w:pPr>
            <w:r>
              <w:rPr>
                <w:rFonts w:ascii="Arial" w:cs="Arial" w:eastAsia="Arial" w:hAnsi="Arial"/>
                <w:sz w:val="16"/>
                <w:szCs w:val="16"/>
                <w:color w:val="auto"/>
              </w:rPr>
              <w:t>25 million MMBtu</w:t>
            </w:r>
          </w:p>
        </w:tc>
        <w:tc>
          <w:tcPr>
            <w:tcW w:w="2900" w:type="dxa"/>
            <w:vAlign w:val="bottom"/>
          </w:tcPr>
          <w:p>
            <w:pPr>
              <w:jc w:val="right"/>
              <w:ind w:right="400"/>
              <w:spacing w:after="0"/>
              <w:rPr>
                <w:sz w:val="20"/>
                <w:szCs w:val="20"/>
                <w:color w:val="auto"/>
              </w:rPr>
            </w:pPr>
            <w:r>
              <w:rPr>
                <w:rFonts w:ascii="Arial" w:cs="Arial" w:eastAsia="Arial" w:hAnsi="Arial"/>
                <w:sz w:val="16"/>
                <w:szCs w:val="16"/>
                <w:color w:val="auto"/>
              </w:rPr>
              <w:t>25 million MMBtu</w:t>
            </w:r>
            <w:r>
              <w:rPr>
                <w:rFonts w:ascii="Arial" w:cs="Arial" w:eastAsia="Arial" w:hAnsi="Arial"/>
                <w:sz w:val="14"/>
                <w:szCs w:val="14"/>
                <w:color w:val="auto"/>
              </w:rPr>
              <w:t>(1)</w:t>
            </w:r>
          </w:p>
        </w:tc>
      </w:tr>
      <w:tr>
        <w:trPr>
          <w:trHeight w:val="202"/>
        </w:trPr>
        <w:tc>
          <w:tcPr>
            <w:tcW w:w="4340" w:type="dxa"/>
            <w:vAlign w:val="bottom"/>
          </w:tcPr>
          <w:p>
            <w:pPr>
              <w:ind w:left="360"/>
              <w:spacing w:after="0"/>
              <w:rPr>
                <w:sz w:val="20"/>
                <w:szCs w:val="20"/>
                <w:color w:val="auto"/>
              </w:rPr>
            </w:pPr>
            <w:r>
              <w:rPr>
                <w:rFonts w:ascii="Arial" w:cs="Arial" w:eastAsia="Arial" w:hAnsi="Arial"/>
                <w:sz w:val="16"/>
                <w:szCs w:val="16"/>
                <w:color w:val="auto"/>
              </w:rPr>
              <w:t>Congestion revenue rights</w:t>
            </w:r>
          </w:p>
        </w:tc>
        <w:tc>
          <w:tcPr>
            <w:tcW w:w="4180" w:type="dxa"/>
            <w:vAlign w:val="bottom"/>
          </w:tcPr>
          <w:p>
            <w:pPr>
              <w:jc w:val="right"/>
              <w:ind w:right="240"/>
              <w:spacing w:after="0"/>
              <w:rPr>
                <w:sz w:val="20"/>
                <w:szCs w:val="20"/>
                <w:color w:val="auto"/>
              </w:rPr>
            </w:pPr>
            <w:r>
              <w:rPr>
                <w:rFonts w:ascii="Arial" w:cs="Arial" w:eastAsia="Arial" w:hAnsi="Arial"/>
                <w:sz w:val="16"/>
                <w:szCs w:val="16"/>
                <w:color w:val="auto"/>
              </w:rPr>
              <w:t>26 million MWh</w:t>
            </w:r>
          </w:p>
        </w:tc>
        <w:tc>
          <w:tcPr>
            <w:tcW w:w="2900" w:type="dxa"/>
            <w:vAlign w:val="bottom"/>
          </w:tcPr>
          <w:p>
            <w:pPr>
              <w:jc w:val="right"/>
              <w:ind w:right="400"/>
              <w:spacing w:after="0"/>
              <w:rPr>
                <w:sz w:val="20"/>
                <w:szCs w:val="20"/>
                <w:color w:val="auto"/>
              </w:rPr>
            </w:pPr>
            <w:r>
              <w:rPr>
                <w:rFonts w:ascii="Arial" w:cs="Arial" w:eastAsia="Arial" w:hAnsi="Arial"/>
                <w:sz w:val="16"/>
                <w:szCs w:val="16"/>
                <w:color w:val="auto"/>
              </w:rPr>
              <w:t>30 million MWh</w:t>
            </w:r>
            <w:r>
              <w:rPr>
                <w:rFonts w:ascii="Arial" w:cs="Arial" w:eastAsia="Arial" w:hAnsi="Arial"/>
                <w:sz w:val="14"/>
                <w:szCs w:val="14"/>
                <w:color w:val="auto"/>
              </w:rPr>
              <w:t>(2)</w:t>
            </w:r>
          </w:p>
        </w:tc>
      </w:tr>
      <w:tr>
        <w:trPr>
          <w:trHeight w:val="209"/>
        </w:trPr>
        <w:tc>
          <w:tcPr>
            <w:tcW w:w="4340" w:type="dxa"/>
            <w:vAlign w:val="bottom"/>
          </w:tcPr>
          <w:p>
            <w:pPr>
              <w:ind w:left="180"/>
              <w:spacing w:after="0"/>
              <w:rPr>
                <w:sz w:val="20"/>
                <w:szCs w:val="20"/>
                <w:color w:val="auto"/>
              </w:rPr>
            </w:pPr>
            <w:r>
              <w:rPr>
                <w:rFonts w:ascii="Arial" w:cs="Arial" w:eastAsia="Arial" w:hAnsi="Arial"/>
                <w:sz w:val="16"/>
                <w:szCs w:val="16"/>
                <w:color w:val="auto"/>
              </w:rPr>
              <w:t>SoCalGas - natural gas</w:t>
            </w:r>
          </w:p>
        </w:tc>
        <w:tc>
          <w:tcPr>
            <w:tcW w:w="4180" w:type="dxa"/>
            <w:vAlign w:val="bottom"/>
          </w:tcPr>
          <w:p>
            <w:pPr>
              <w:jc w:val="right"/>
              <w:ind w:right="240"/>
              <w:spacing w:after="0"/>
              <w:rPr>
                <w:sz w:val="20"/>
                <w:szCs w:val="20"/>
                <w:color w:val="auto"/>
              </w:rPr>
            </w:pPr>
            <w:r>
              <w:rPr>
                <w:rFonts w:ascii="Arial" w:cs="Arial" w:eastAsia="Arial" w:hAnsi="Arial"/>
                <w:sz w:val="16"/>
                <w:szCs w:val="16"/>
                <w:color w:val="auto"/>
              </w:rPr>
              <w:t>2 million MMBtu</w:t>
            </w:r>
          </w:p>
        </w:tc>
        <w:tc>
          <w:tcPr>
            <w:tcW w:w="2900" w:type="dxa"/>
            <w:vAlign w:val="bottom"/>
          </w:tcPr>
          <w:p>
            <w:pPr>
              <w:jc w:val="right"/>
              <w:ind w:right="620"/>
              <w:spacing w:after="0"/>
              <w:rPr>
                <w:sz w:val="20"/>
                <w:szCs w:val="20"/>
                <w:color w:val="auto"/>
              </w:rPr>
            </w:pPr>
            <w:r>
              <w:rPr>
                <w:rFonts w:ascii="Arial" w:cs="Arial" w:eastAsia="Arial" w:hAnsi="Arial"/>
                <w:sz w:val="16"/>
                <w:szCs w:val="16"/>
                <w:color w:val="auto"/>
              </w:rPr>
              <w:t>―</w:t>
            </w:r>
          </w:p>
        </w:tc>
      </w:tr>
      <w:tr>
        <w:trPr>
          <w:trHeight w:val="432"/>
        </w:trPr>
        <w:tc>
          <w:tcPr>
            <w:tcW w:w="4340" w:type="dxa"/>
            <w:vAlign w:val="bottom"/>
          </w:tcPr>
          <w:p>
            <w:pPr>
              <w:spacing w:after="0"/>
              <w:rPr>
                <w:sz w:val="20"/>
                <w:szCs w:val="20"/>
                <w:color w:val="auto"/>
              </w:rPr>
            </w:pPr>
            <w:r>
              <w:rPr>
                <w:rFonts w:ascii="Arial" w:cs="Arial" w:eastAsia="Arial" w:hAnsi="Arial"/>
                <w:sz w:val="16"/>
                <w:szCs w:val="16"/>
                <w:color w:val="auto"/>
              </w:rPr>
              <w:t>Energy-Related Businesses:</w:t>
            </w:r>
          </w:p>
        </w:tc>
        <w:tc>
          <w:tcPr>
            <w:tcW w:w="418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16"/>
        </w:trPr>
        <w:tc>
          <w:tcPr>
            <w:tcW w:w="4340" w:type="dxa"/>
            <w:vAlign w:val="bottom"/>
          </w:tcPr>
          <w:p>
            <w:pPr>
              <w:ind w:left="180"/>
              <w:spacing w:after="0"/>
              <w:rPr>
                <w:sz w:val="20"/>
                <w:szCs w:val="20"/>
                <w:color w:val="auto"/>
              </w:rPr>
            </w:pPr>
            <w:r>
              <w:rPr>
                <w:rFonts w:ascii="Arial" w:cs="Arial" w:eastAsia="Arial" w:hAnsi="Arial"/>
                <w:sz w:val="16"/>
                <w:szCs w:val="16"/>
                <w:color w:val="auto"/>
              </w:rPr>
              <w:t>Sempra Natural Gas:</w:t>
            </w:r>
          </w:p>
        </w:tc>
        <w:tc>
          <w:tcPr>
            <w:tcW w:w="418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16"/>
        </w:trPr>
        <w:tc>
          <w:tcPr>
            <w:tcW w:w="4340" w:type="dxa"/>
            <w:vAlign w:val="bottom"/>
          </w:tcPr>
          <w:p>
            <w:pPr>
              <w:ind w:left="360"/>
              <w:spacing w:after="0"/>
              <w:rPr>
                <w:sz w:val="20"/>
                <w:szCs w:val="20"/>
                <w:color w:val="auto"/>
              </w:rPr>
            </w:pPr>
            <w:r>
              <w:rPr>
                <w:rFonts w:ascii="Arial" w:cs="Arial" w:eastAsia="Arial" w:hAnsi="Arial"/>
                <w:sz w:val="16"/>
                <w:szCs w:val="16"/>
                <w:color w:val="auto"/>
              </w:rPr>
              <w:t>Electric power</w:t>
            </w:r>
          </w:p>
        </w:tc>
        <w:tc>
          <w:tcPr>
            <w:tcW w:w="4180" w:type="dxa"/>
            <w:vAlign w:val="bottom"/>
          </w:tcPr>
          <w:p>
            <w:pPr>
              <w:jc w:val="right"/>
              <w:ind w:right="240"/>
              <w:spacing w:after="0"/>
              <w:rPr>
                <w:sz w:val="20"/>
                <w:szCs w:val="20"/>
                <w:color w:val="auto"/>
              </w:rPr>
            </w:pPr>
            <w:r>
              <w:rPr>
                <w:rFonts w:ascii="Arial" w:cs="Arial" w:eastAsia="Arial" w:hAnsi="Arial"/>
                <w:sz w:val="16"/>
                <w:szCs w:val="16"/>
                <w:color w:val="auto"/>
              </w:rPr>
              <w:t>2 million MWh</w:t>
            </w:r>
          </w:p>
        </w:tc>
        <w:tc>
          <w:tcPr>
            <w:tcW w:w="2900" w:type="dxa"/>
            <w:vAlign w:val="bottom"/>
          </w:tcPr>
          <w:p>
            <w:pPr>
              <w:jc w:val="right"/>
              <w:ind w:right="560"/>
              <w:spacing w:after="0"/>
              <w:rPr>
                <w:sz w:val="20"/>
                <w:szCs w:val="20"/>
                <w:color w:val="auto"/>
              </w:rPr>
            </w:pPr>
            <w:r>
              <w:rPr>
                <w:rFonts w:ascii="Arial" w:cs="Arial" w:eastAsia="Arial" w:hAnsi="Arial"/>
                <w:sz w:val="16"/>
                <w:szCs w:val="16"/>
                <w:color w:val="auto"/>
              </w:rPr>
              <w:t>1 million MWh</w:t>
            </w:r>
          </w:p>
        </w:tc>
      </w:tr>
      <w:tr>
        <w:trPr>
          <w:trHeight w:val="216"/>
        </w:trPr>
        <w:tc>
          <w:tcPr>
            <w:tcW w:w="4340" w:type="dxa"/>
            <w:vAlign w:val="bottom"/>
          </w:tcPr>
          <w:p>
            <w:pPr>
              <w:ind w:left="360"/>
              <w:spacing w:after="0"/>
              <w:rPr>
                <w:sz w:val="20"/>
                <w:szCs w:val="20"/>
                <w:color w:val="auto"/>
              </w:rPr>
            </w:pPr>
            <w:r>
              <w:rPr>
                <w:rFonts w:ascii="Arial" w:cs="Arial" w:eastAsia="Arial" w:hAnsi="Arial"/>
                <w:sz w:val="16"/>
                <w:szCs w:val="16"/>
                <w:color w:val="auto"/>
              </w:rPr>
              <w:t>Natural gas</w:t>
            </w:r>
          </w:p>
        </w:tc>
        <w:tc>
          <w:tcPr>
            <w:tcW w:w="4180" w:type="dxa"/>
            <w:vAlign w:val="bottom"/>
          </w:tcPr>
          <w:p>
            <w:pPr>
              <w:jc w:val="right"/>
              <w:ind w:right="240"/>
              <w:spacing w:after="0"/>
              <w:rPr>
                <w:sz w:val="20"/>
                <w:szCs w:val="20"/>
                <w:color w:val="auto"/>
              </w:rPr>
            </w:pPr>
            <w:r>
              <w:rPr>
                <w:rFonts w:ascii="Arial" w:cs="Arial" w:eastAsia="Arial" w:hAnsi="Arial"/>
                <w:sz w:val="16"/>
                <w:szCs w:val="16"/>
                <w:color w:val="auto"/>
              </w:rPr>
              <w:t>27 million MMBtu</w:t>
            </w:r>
          </w:p>
        </w:tc>
        <w:tc>
          <w:tcPr>
            <w:tcW w:w="2900" w:type="dxa"/>
            <w:vAlign w:val="bottom"/>
          </w:tcPr>
          <w:p>
            <w:pPr>
              <w:jc w:val="right"/>
              <w:ind w:right="560"/>
              <w:spacing w:after="0"/>
              <w:rPr>
                <w:sz w:val="20"/>
                <w:szCs w:val="20"/>
                <w:color w:val="auto"/>
              </w:rPr>
            </w:pPr>
            <w:r>
              <w:rPr>
                <w:rFonts w:ascii="Arial" w:cs="Arial" w:eastAsia="Arial" w:hAnsi="Arial"/>
                <w:sz w:val="16"/>
                <w:szCs w:val="16"/>
                <w:color w:val="auto"/>
              </w:rPr>
              <w:t>36 million MMBtu</w:t>
            </w:r>
          </w:p>
        </w:tc>
      </w:tr>
      <w:tr>
        <w:trPr>
          <w:trHeight w:val="209"/>
        </w:trPr>
        <w:tc>
          <w:tcPr>
            <w:tcW w:w="43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Sempra Mexico - natural gas</w:t>
            </w:r>
          </w:p>
        </w:tc>
        <w:tc>
          <w:tcPr>
            <w:tcW w:w="418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1 million MMBtu</w:t>
            </w:r>
          </w:p>
        </w:tc>
        <w:tc>
          <w:tcPr>
            <w:tcW w:w="290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color w:val="auto"/>
              </w:rPr>
              <w:t>1 million MMBtu</w:t>
            </w:r>
          </w:p>
        </w:tc>
      </w:tr>
      <w:tr>
        <w:trPr>
          <w:trHeight w:val="21"/>
        </w:trPr>
        <w:tc>
          <w:tcPr>
            <w:tcW w:w="4340" w:type="dxa"/>
            <w:vAlign w:val="bottom"/>
            <w:tcBorders>
              <w:bottom w:val="single" w:sz="8" w:color="auto"/>
            </w:tcBorders>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r>
    </w:tbl>
    <w:p>
      <w:pPr>
        <w:spacing w:after="0" w:line="18" w:lineRule="exact"/>
        <w:rPr>
          <w:sz w:val="20"/>
          <w:szCs w:val="20"/>
          <w:color w:val="auto"/>
        </w:rPr>
      </w:pPr>
    </w:p>
    <w:p>
      <w:pPr>
        <w:ind w:left="620" w:hanging="389"/>
        <w:spacing w:after="0"/>
        <w:tabs>
          <w:tab w:leader="none" w:pos="620"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Million British thermal units</w:t>
      </w:r>
    </w:p>
    <w:p>
      <w:pPr>
        <w:spacing w:after="0" w:line="28" w:lineRule="exact"/>
        <w:rPr>
          <w:rFonts w:ascii="Arial" w:cs="Arial" w:eastAsia="Arial" w:hAnsi="Arial"/>
          <w:sz w:val="14"/>
          <w:szCs w:val="14"/>
          <w:i w:val="1"/>
          <w:iCs w:val="1"/>
          <w:color w:val="auto"/>
        </w:rPr>
      </w:pPr>
    </w:p>
    <w:p>
      <w:pPr>
        <w:ind w:left="620" w:hanging="389"/>
        <w:spacing w:after="0"/>
        <w:tabs>
          <w:tab w:leader="none" w:pos="620"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Megawatt hours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addition to the amounts noted above, we frequently use commodity derivatives to manage risks associated with the physical locations of our customers, assets and other contractual obligations, such as natural gas purchases and sales.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DERIVATIVES</w:t>
      </w:r>
    </w:p>
    <w:p>
      <w:pPr>
        <w:spacing w:after="0" w:line="24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are exposed to interest rates primarily as a result of our current and expected use of financing. We periodically enter into interest rate derivative agreements intended to moderate our exposure to interest rates and to lower our overall costs of borrowing. We utilize interest rate swaps typically designated as fair value hedges, as a means to achieve our targeted level of variable rate debt as a percent of total debt. In addition, we may utilize interest rate swaps, which are typically designated as cash flow hedges, to lock in interest rates on outstanding debt or in anticipation of future financings.</w:t>
      </w:r>
    </w:p>
    <w:p>
      <w:pPr>
        <w:spacing w:after="0" w:line="1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Interest rate derivatives are utilized by the California Utilities as well as by other Sempra Energy subsidiaries. Although the California Utilities generally recover borrowing costs in rates over time, the use of interest rate derivatives is subject to certain regulatory constraints, and the impact of interest rate derivatives may not be recovered from customers as timely as described above with regard to natural gas derivatives. Accordingly, interest rate derivatives are generally accounted for as hedges at the California Utilities, as well as at the rest of Sempra Energy’s subsidiaries. Separately, Otay Mesa VIE has entered into interest rate swap agreements to moderate its exposure to interest rate changes. This activity was designated as a cash flow hedge as of April 1, 2011.</w:t>
      </w:r>
    </w:p>
    <w:p>
      <w:pPr>
        <w:spacing w:after="0" w:line="200" w:lineRule="exact"/>
        <w:rPr>
          <w:sz w:val="20"/>
          <w:szCs w:val="20"/>
          <w:color w:val="auto"/>
        </w:rPr>
      </w:pPr>
    </w:p>
    <w:p>
      <w:pPr>
        <w:spacing w:after="0" w:line="22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net notional amounts of our interest rate derivatives, excluding the cross-currency swaps discussed below, as of March 31, 2013 and December 31, 2012 were: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color w:val="auto"/>
              </w:rPr>
              <w:t>March 31, 2013</w:t>
            </w:r>
          </w:p>
        </w:tc>
        <w:tc>
          <w:tcPr>
            <w:tcW w:w="1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December 31, 2012</w:t>
            </w:r>
          </w:p>
        </w:tc>
        <w:tc>
          <w:tcPr>
            <w:tcW w:w="1220" w:type="dxa"/>
            <w:vAlign w:val="bottom"/>
            <w:tcBorders>
              <w:bottom w:val="single" w:sz="8" w:color="auto"/>
            </w:tcBorders>
          </w:tcPr>
          <w:p>
            <w:pPr>
              <w:spacing w:after="0"/>
              <w:rPr>
                <w:sz w:val="14"/>
                <w:szCs w:val="14"/>
                <w:color w:val="auto"/>
              </w:rPr>
            </w:pPr>
          </w:p>
        </w:tc>
      </w:tr>
      <w:tr>
        <w:trPr>
          <w:trHeight w:val="223"/>
        </w:trPr>
        <w:tc>
          <w:tcPr>
            <w:tcW w:w="4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945"/>
              <w:spacing w:after="0"/>
              <w:rPr>
                <w:sz w:val="20"/>
                <w:szCs w:val="20"/>
                <w:color w:val="auto"/>
              </w:rPr>
            </w:pPr>
            <w:r>
              <w:rPr>
                <w:rFonts w:ascii="Arial" w:cs="Arial" w:eastAsia="Arial" w:hAnsi="Arial"/>
                <w:sz w:val="14"/>
                <w:szCs w:val="14"/>
                <w:color w:val="auto"/>
              </w:rPr>
              <w:t>Notional Debt</w:t>
            </w:r>
          </w:p>
        </w:tc>
        <w:tc>
          <w:tcPr>
            <w:tcW w:w="1460" w:type="dxa"/>
            <w:vAlign w:val="bottom"/>
            <w:tcBorders>
              <w:bottom w:val="single" w:sz="8" w:color="auto"/>
            </w:tcBorders>
          </w:tcPr>
          <w:p>
            <w:pPr>
              <w:jc w:val="right"/>
              <w:ind w:right="683"/>
              <w:spacing w:after="0"/>
              <w:rPr>
                <w:sz w:val="20"/>
                <w:szCs w:val="20"/>
                <w:color w:val="auto"/>
              </w:rPr>
            </w:pPr>
            <w:r>
              <w:rPr>
                <w:rFonts w:ascii="Arial" w:cs="Arial" w:eastAsia="Arial" w:hAnsi="Arial"/>
                <w:sz w:val="14"/>
                <w:szCs w:val="14"/>
                <w:color w:val="auto"/>
              </w:rPr>
              <w:t>Maturities</w:t>
            </w:r>
          </w:p>
        </w:tc>
        <w:tc>
          <w:tcPr>
            <w:tcW w:w="3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1025"/>
              <w:spacing w:after="0"/>
              <w:rPr>
                <w:sz w:val="20"/>
                <w:szCs w:val="20"/>
                <w:color w:val="auto"/>
              </w:rPr>
            </w:pPr>
            <w:r>
              <w:rPr>
                <w:rFonts w:ascii="Arial" w:cs="Arial" w:eastAsia="Arial" w:hAnsi="Arial"/>
                <w:sz w:val="14"/>
                <w:szCs w:val="14"/>
                <w:color w:val="auto"/>
              </w:rPr>
              <w:t>Notional Debt</w:t>
            </w:r>
          </w:p>
        </w:tc>
        <w:tc>
          <w:tcPr>
            <w:tcW w:w="12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color w:val="auto"/>
              </w:rPr>
              <w:t>Maturities</w:t>
            </w:r>
          </w:p>
        </w:tc>
      </w:tr>
      <w:tr>
        <w:trPr>
          <w:trHeight w:val="218"/>
        </w:trPr>
        <w:tc>
          <w:tcPr>
            <w:tcW w:w="4020" w:type="dxa"/>
            <w:vAlign w:val="bottom"/>
          </w:tcPr>
          <w:p>
            <w:pPr>
              <w:jc w:val="right"/>
              <w:ind w:right="1819"/>
              <w:spacing w:after="0"/>
              <w:rPr>
                <w:sz w:val="20"/>
                <w:szCs w:val="20"/>
                <w:color w:val="auto"/>
              </w:rPr>
            </w:pPr>
            <w:r>
              <w:rPr>
                <w:rFonts w:ascii="Arial" w:cs="Arial" w:eastAsia="Arial" w:hAnsi="Arial"/>
                <w:sz w:val="16"/>
                <w:szCs w:val="16"/>
                <w:color w:val="auto"/>
              </w:rPr>
              <w:t>Sempra Energy Consolidated</w:t>
            </w:r>
          </w:p>
        </w:tc>
        <w:tc>
          <w:tcPr>
            <w:tcW w:w="5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95"/>
        </w:trPr>
        <w:tc>
          <w:tcPr>
            <w:tcW w:w="4020" w:type="dxa"/>
            <w:vAlign w:val="bottom"/>
          </w:tcPr>
          <w:p>
            <w:pPr>
              <w:jc w:val="right"/>
              <w:ind w:right="1819"/>
              <w:spacing w:after="0"/>
              <w:rPr>
                <w:sz w:val="20"/>
                <w:szCs w:val="20"/>
                <w:color w:val="auto"/>
              </w:rPr>
            </w:pPr>
            <w:r>
              <w:rPr>
                <w:rFonts w:ascii="Arial" w:cs="Arial" w:eastAsia="Arial" w:hAnsi="Arial"/>
                <w:sz w:val="16"/>
                <w:szCs w:val="16"/>
                <w:color w:val="auto"/>
              </w:rPr>
              <w:t>Cash flow hedges(1)</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425"/>
              <w:spacing w:after="0"/>
              <w:rPr>
                <w:sz w:val="20"/>
                <w:szCs w:val="20"/>
                <w:color w:val="auto"/>
              </w:rPr>
            </w:pPr>
            <w:r>
              <w:rPr>
                <w:rFonts w:ascii="Arial" w:cs="Arial" w:eastAsia="Arial" w:hAnsi="Arial"/>
                <w:sz w:val="16"/>
                <w:szCs w:val="16"/>
                <w:color w:val="auto"/>
              </w:rPr>
              <w:t>436</w:t>
            </w:r>
          </w:p>
        </w:tc>
        <w:tc>
          <w:tcPr>
            <w:tcW w:w="1460" w:type="dxa"/>
            <w:vAlign w:val="bottom"/>
          </w:tcPr>
          <w:p>
            <w:pPr>
              <w:jc w:val="right"/>
              <w:ind w:right="123"/>
              <w:spacing w:after="0"/>
              <w:rPr>
                <w:sz w:val="20"/>
                <w:szCs w:val="20"/>
                <w:color w:val="auto"/>
              </w:rPr>
            </w:pPr>
            <w:r>
              <w:rPr>
                <w:rFonts w:ascii="Arial" w:cs="Arial" w:eastAsia="Arial" w:hAnsi="Arial"/>
                <w:sz w:val="16"/>
                <w:szCs w:val="16"/>
                <w:color w:val="auto"/>
              </w:rPr>
              <w:t>2013-2028</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485"/>
              <w:spacing w:after="0"/>
              <w:rPr>
                <w:sz w:val="20"/>
                <w:szCs w:val="20"/>
                <w:color w:val="auto"/>
              </w:rPr>
            </w:pPr>
            <w:r>
              <w:rPr>
                <w:rFonts w:ascii="Arial" w:cs="Arial" w:eastAsia="Arial" w:hAnsi="Arial"/>
                <w:sz w:val="16"/>
                <w:szCs w:val="16"/>
                <w:color w:val="auto"/>
              </w:rPr>
              <w:t>439</w:t>
            </w:r>
          </w:p>
        </w:tc>
        <w:tc>
          <w:tcPr>
            <w:tcW w:w="1220" w:type="dxa"/>
            <w:vAlign w:val="bottom"/>
          </w:tcPr>
          <w:p>
            <w:pPr>
              <w:jc w:val="right"/>
              <w:spacing w:after="0"/>
              <w:rPr>
                <w:sz w:val="20"/>
                <w:szCs w:val="20"/>
                <w:color w:val="auto"/>
              </w:rPr>
            </w:pPr>
            <w:r>
              <w:rPr>
                <w:rFonts w:ascii="Arial" w:cs="Arial" w:eastAsia="Arial" w:hAnsi="Arial"/>
                <w:sz w:val="16"/>
                <w:szCs w:val="16"/>
                <w:color w:val="auto"/>
              </w:rPr>
              <w:t>2013-2028</w:t>
            </w:r>
          </w:p>
        </w:tc>
      </w:tr>
    </w:tbl>
    <w:p>
      <w:pPr>
        <w:sectPr>
          <w:pgSz w:w="11900" w:h="16918" w:orient="portrait"/>
          <w:cols w:equalWidth="0" w:num="1">
            <w:col w:w="11420"/>
          </w:cols>
          <w:pgMar w:left="240" w:top="125" w:right="239" w:bottom="0" w:gutter="0" w:footer="0" w:header="0"/>
        </w:sectPr>
      </w:pPr>
    </w:p>
    <w:bookmarkStart w:id="27" w:name="page28"/>
    <w:bookmarkEnd w:id="27"/>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60" w:type="dxa"/>
            <w:vAlign w:val="bottom"/>
          </w:tcPr>
          <w:p>
            <w:pPr>
              <w:ind w:left="640"/>
              <w:spacing w:after="0"/>
              <w:rPr>
                <w:sz w:val="20"/>
                <w:szCs w:val="20"/>
                <w:color w:val="auto"/>
              </w:rPr>
            </w:pPr>
            <w:r>
              <w:rPr>
                <w:rFonts w:ascii="Arial" w:cs="Arial" w:eastAsia="Arial" w:hAnsi="Arial"/>
                <w:sz w:val="16"/>
                <w:szCs w:val="16"/>
                <w:color w:val="auto"/>
              </w:rPr>
              <w:t>Fair value hedges</w:t>
            </w:r>
          </w:p>
        </w:tc>
        <w:tc>
          <w:tcPr>
            <w:tcW w:w="2580" w:type="dxa"/>
            <w:vAlign w:val="bottom"/>
          </w:tcPr>
          <w:p>
            <w:pPr>
              <w:jc w:val="right"/>
              <w:ind w:right="419"/>
              <w:spacing w:after="0"/>
              <w:rPr>
                <w:sz w:val="20"/>
                <w:szCs w:val="20"/>
                <w:color w:val="auto"/>
              </w:rPr>
            </w:pPr>
            <w:r>
              <w:rPr>
                <w:rFonts w:ascii="Arial" w:cs="Arial" w:eastAsia="Arial" w:hAnsi="Arial"/>
                <w:sz w:val="16"/>
                <w:szCs w:val="16"/>
                <w:color w:val="auto"/>
              </w:rPr>
              <w:t>500</w:t>
            </w:r>
          </w:p>
        </w:tc>
        <w:tc>
          <w:tcPr>
            <w:tcW w:w="2100" w:type="dxa"/>
            <w:vAlign w:val="bottom"/>
          </w:tcPr>
          <w:p>
            <w:pPr>
              <w:jc w:val="right"/>
              <w:ind w:right="759"/>
              <w:spacing w:after="0"/>
              <w:rPr>
                <w:sz w:val="20"/>
                <w:szCs w:val="20"/>
                <w:color w:val="auto"/>
              </w:rPr>
            </w:pPr>
            <w:r>
              <w:rPr>
                <w:rFonts w:ascii="Arial" w:cs="Arial" w:eastAsia="Arial" w:hAnsi="Arial"/>
                <w:sz w:val="16"/>
                <w:szCs w:val="16"/>
                <w:color w:val="auto"/>
              </w:rPr>
              <w:t>2013-2016</w:t>
            </w:r>
          </w:p>
        </w:tc>
        <w:tc>
          <w:tcPr>
            <w:tcW w:w="1600" w:type="dxa"/>
            <w:vAlign w:val="bottom"/>
          </w:tcPr>
          <w:p>
            <w:pPr>
              <w:jc w:val="right"/>
              <w:ind w:right="419"/>
              <w:spacing w:after="0"/>
              <w:rPr>
                <w:sz w:val="20"/>
                <w:szCs w:val="20"/>
                <w:color w:val="auto"/>
              </w:rPr>
            </w:pPr>
            <w:r>
              <w:rPr>
                <w:rFonts w:ascii="Arial" w:cs="Arial" w:eastAsia="Arial" w:hAnsi="Arial"/>
                <w:sz w:val="16"/>
                <w:szCs w:val="16"/>
                <w:color w:val="auto"/>
              </w:rPr>
              <w:t>500</w:t>
            </w:r>
          </w:p>
        </w:tc>
        <w:tc>
          <w:tcPr>
            <w:tcW w:w="1280" w:type="dxa"/>
            <w:vAlign w:val="bottom"/>
          </w:tcPr>
          <w:p>
            <w:pPr>
              <w:jc w:val="right"/>
              <w:spacing w:after="0"/>
              <w:rPr>
                <w:sz w:val="20"/>
                <w:szCs w:val="20"/>
                <w:color w:val="auto"/>
              </w:rPr>
            </w:pPr>
            <w:r>
              <w:rPr>
                <w:rFonts w:ascii="Arial" w:cs="Arial" w:eastAsia="Arial" w:hAnsi="Arial"/>
                <w:sz w:val="16"/>
                <w:szCs w:val="16"/>
                <w:color w:val="auto"/>
              </w:rPr>
              <w:t>2013-2016</w:t>
            </w:r>
          </w:p>
        </w:tc>
      </w:tr>
      <w:tr>
        <w:trPr>
          <w:trHeight w:val="216"/>
        </w:trPr>
        <w:tc>
          <w:tcPr>
            <w:tcW w:w="3860" w:type="dxa"/>
            <w:vAlign w:val="bottom"/>
          </w:tcPr>
          <w:p>
            <w:pPr>
              <w:spacing w:after="0"/>
              <w:rPr>
                <w:sz w:val="20"/>
                <w:szCs w:val="20"/>
                <w:color w:val="auto"/>
              </w:rPr>
            </w:pPr>
            <w:r>
              <w:rPr>
                <w:rFonts w:ascii="Arial" w:cs="Arial" w:eastAsia="Arial" w:hAnsi="Arial"/>
                <w:sz w:val="16"/>
                <w:szCs w:val="16"/>
                <w:color w:val="auto"/>
              </w:rPr>
              <w:t>SDG&amp;E</w:t>
            </w:r>
          </w:p>
        </w:tc>
        <w:tc>
          <w:tcPr>
            <w:tcW w:w="2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9"/>
        </w:trPr>
        <w:tc>
          <w:tcPr>
            <w:tcW w:w="386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Cash flow hedge(1)</w:t>
            </w:r>
          </w:p>
        </w:tc>
        <w:tc>
          <w:tcPr>
            <w:tcW w:w="25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342</w:t>
            </w:r>
          </w:p>
        </w:tc>
        <w:tc>
          <w:tcPr>
            <w:tcW w:w="210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2019</w:t>
            </w:r>
          </w:p>
        </w:tc>
        <w:tc>
          <w:tcPr>
            <w:tcW w:w="1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345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w:t>
            </w:r>
          </w:p>
        </w:tc>
      </w:tr>
      <w:tr>
        <w:trPr>
          <w:trHeight w:val="21"/>
        </w:trPr>
        <w:tc>
          <w:tcPr>
            <w:tcW w:w="386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ind w:left="640" w:hanging="403"/>
        <w:spacing w:after="0"/>
        <w:tabs>
          <w:tab w:leader="none" w:pos="64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interest rate derivatives relate to Otay Mesa VIE.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DERIVATIVES</w:t>
      </w:r>
    </w:p>
    <w:p>
      <w:pPr>
        <w:spacing w:after="0" w:line="24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are exposed to exchange rate movements at our Mexican subsidiaries, which have U.S. dollar denominated cash balances, receivables and payables (monetary assets and liabilities) that give rise to Mexican currency exchange rate movements for Mexican income tax purposes. These subsidiaries also have deferred income tax assets and liabilities that are denominated in the Mexican peso, which must be translated into U.S. dollars for financial reporting purposes. From time to time, we may utilize short-term foreign currency derivatives at our subsidiaries and at the consolidated level as a means to manage the risk of exposure to significant fluctuations in our income tax expense from these impacts. We may also utilize cross-currency swaps to hedge exposure related to Mexican peso-denominated debt at our Mexican subsidiaries. On February 14, 2013, Sempra Mexico entered into cross-currency swap agreements, which were designated as cash flow hedges. We discuss the notional amount of the cross-currency swaps in Note 6.</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PRESENTATION</w:t>
      </w:r>
    </w:p>
    <w:p>
      <w:pPr>
        <w:spacing w:after="0" w:line="2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Each Condensed Consolidated Balance Sheet reflects the offsetting of net derivative positions and cash collateral with the same counterparty when management believes a legal right of offset exists. The following tables provide the fair values of derivative instruments on the Condensed Consolidated Balance Sheets as of March 31, 2013 and December 31, 2012, including the amount of cash collateral receivables that were not offset, as the cash collateral is in excess of liability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640"/>
        <w:spacing w:after="0" w:line="261" w:lineRule="auto"/>
        <w:rPr>
          <w:sz w:val="20"/>
          <w:szCs w:val="20"/>
          <w:color w:val="auto"/>
        </w:rPr>
      </w:pPr>
      <w:r>
        <w:rPr>
          <w:rFonts w:ascii="Arial" w:cs="Arial" w:eastAsia="Arial" w:hAnsi="Arial"/>
          <w:sz w:val="16"/>
          <w:szCs w:val="16"/>
          <w:b w:val="1"/>
          <w:bCs w:val="1"/>
          <w:color w:val="auto"/>
        </w:rPr>
        <w:t xml:space="preserve">DERIVATIVE INSTRUMENTS ON THE CONDENSED CONSOLIDATED BALANCE SHEETS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2317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50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3"/>
          </w:tcPr>
          <w:p>
            <w:pPr>
              <w:jc w:val="right"/>
              <w:ind w:right="1081"/>
              <w:spacing w:after="0" w:line="158" w:lineRule="exact"/>
              <w:rPr>
                <w:sz w:val="20"/>
                <w:szCs w:val="20"/>
                <w:color w:val="auto"/>
              </w:rPr>
            </w:pPr>
            <w:r>
              <w:rPr>
                <w:rFonts w:ascii="Arial" w:cs="Arial" w:eastAsia="Arial" w:hAnsi="Arial"/>
                <w:sz w:val="14"/>
                <w:szCs w:val="14"/>
                <w:color w:val="auto"/>
              </w:rPr>
              <w:t>March 31, 2013</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231"/>
        </w:trPr>
        <w:tc>
          <w:tcPr>
            <w:tcW w:w="5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center"/>
              <w:ind w:right="61"/>
              <w:spacing w:after="0"/>
              <w:rPr>
                <w:sz w:val="20"/>
                <w:szCs w:val="20"/>
                <w:color w:val="auto"/>
              </w:rPr>
            </w:pPr>
            <w:r>
              <w:rPr>
                <w:rFonts w:ascii="Arial" w:cs="Arial" w:eastAsia="Arial" w:hAnsi="Arial"/>
                <w:sz w:val="14"/>
                <w:szCs w:val="14"/>
                <w:color w:val="auto"/>
              </w:rPr>
              <w:t>Deferred</w:t>
            </w:r>
          </w:p>
        </w:tc>
      </w:tr>
      <w:tr>
        <w:trPr>
          <w:trHeight w:val="216"/>
        </w:trPr>
        <w:tc>
          <w:tcPr>
            <w:tcW w:w="5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center"/>
              <w:ind w:right="81"/>
              <w:spacing w:after="0"/>
              <w:rPr>
                <w:sz w:val="20"/>
                <w:szCs w:val="20"/>
                <w:color w:val="auto"/>
              </w:rPr>
            </w:pPr>
            <w:r>
              <w:rPr>
                <w:rFonts w:ascii="Arial" w:cs="Arial" w:eastAsia="Arial" w:hAnsi="Arial"/>
                <w:sz w:val="14"/>
                <w:szCs w:val="14"/>
                <w:color w:val="auto"/>
              </w:rPr>
              <w:t>credits</w:t>
            </w:r>
          </w:p>
        </w:tc>
      </w:tr>
      <w:tr>
        <w:trPr>
          <w:trHeight w:val="216"/>
        </w:trPr>
        <w:tc>
          <w:tcPr>
            <w:tcW w:w="5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center"/>
              <w:ind w:right="101"/>
              <w:spacing w:after="0"/>
              <w:rPr>
                <w:sz w:val="20"/>
                <w:szCs w:val="20"/>
                <w:color w:val="auto"/>
              </w:rPr>
            </w:pPr>
            <w:r>
              <w:rPr>
                <w:rFonts w:ascii="Arial" w:cs="Arial" w:eastAsia="Arial" w:hAnsi="Arial"/>
                <w:sz w:val="14"/>
                <w:szCs w:val="14"/>
                <w:color w:val="auto"/>
              </w:rPr>
              <w:t>Current</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center"/>
              <w:ind w:right="101"/>
              <w:spacing w:after="0"/>
              <w:rPr>
                <w:sz w:val="20"/>
                <w:szCs w:val="20"/>
                <w:color w:val="auto"/>
              </w:rPr>
            </w:pPr>
            <w:r>
              <w:rPr>
                <w:rFonts w:ascii="Arial" w:cs="Arial" w:eastAsia="Arial" w:hAnsi="Arial"/>
                <w:sz w:val="14"/>
                <w:szCs w:val="14"/>
                <w:color w:val="auto"/>
              </w:rPr>
              <w:t>Current</w:t>
            </w:r>
          </w:p>
        </w:tc>
        <w:tc>
          <w:tcPr>
            <w:tcW w:w="340" w:type="dxa"/>
            <w:vAlign w:val="bottom"/>
          </w:tcPr>
          <w:p>
            <w:pPr>
              <w:spacing w:after="0"/>
              <w:rPr>
                <w:sz w:val="18"/>
                <w:szCs w:val="18"/>
                <w:color w:val="auto"/>
              </w:rPr>
            </w:pPr>
          </w:p>
        </w:tc>
        <w:tc>
          <w:tcPr>
            <w:tcW w:w="1180" w:type="dxa"/>
            <w:vAlign w:val="bottom"/>
          </w:tcPr>
          <w:p>
            <w:pPr>
              <w:jc w:val="center"/>
              <w:ind w:right="81"/>
              <w:spacing w:after="0"/>
              <w:rPr>
                <w:sz w:val="20"/>
                <w:szCs w:val="20"/>
                <w:color w:val="auto"/>
              </w:rPr>
            </w:pPr>
            <w:r>
              <w:rPr>
                <w:rFonts w:ascii="Arial" w:cs="Arial" w:eastAsia="Arial" w:hAnsi="Arial"/>
                <w:sz w:val="14"/>
                <w:szCs w:val="14"/>
                <w:color w:val="auto"/>
              </w:rPr>
              <w:t>and other</w:t>
            </w:r>
          </w:p>
        </w:tc>
      </w:tr>
      <w:tr>
        <w:trPr>
          <w:trHeight w:val="216"/>
        </w:trPr>
        <w:tc>
          <w:tcPr>
            <w:tcW w:w="5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center"/>
              <w:ind w:right="121"/>
              <w:spacing w:after="0"/>
              <w:rPr>
                <w:sz w:val="20"/>
                <w:szCs w:val="20"/>
                <w:color w:val="auto"/>
              </w:rPr>
            </w:pPr>
            <w:r>
              <w:rPr>
                <w:rFonts w:ascii="Arial" w:cs="Arial" w:eastAsia="Arial" w:hAnsi="Arial"/>
                <w:sz w:val="14"/>
                <w:szCs w:val="14"/>
                <w:color w:val="auto"/>
              </w:rPr>
              <w:t>assets:</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center"/>
              <w:ind w:right="101"/>
              <w:spacing w:after="0"/>
              <w:rPr>
                <w:sz w:val="20"/>
                <w:szCs w:val="20"/>
                <w:color w:val="auto"/>
              </w:rPr>
            </w:pPr>
            <w:r>
              <w:rPr>
                <w:rFonts w:ascii="Arial" w:cs="Arial" w:eastAsia="Arial" w:hAnsi="Arial"/>
                <w:sz w:val="14"/>
                <w:szCs w:val="14"/>
                <w:color w:val="auto"/>
              </w:rPr>
              <w:t>liabilities:</w:t>
            </w:r>
          </w:p>
        </w:tc>
        <w:tc>
          <w:tcPr>
            <w:tcW w:w="340" w:type="dxa"/>
            <w:vAlign w:val="bottom"/>
          </w:tcPr>
          <w:p>
            <w:pPr>
              <w:spacing w:after="0"/>
              <w:rPr>
                <w:sz w:val="18"/>
                <w:szCs w:val="18"/>
                <w:color w:val="auto"/>
              </w:rPr>
            </w:pPr>
          </w:p>
        </w:tc>
        <w:tc>
          <w:tcPr>
            <w:tcW w:w="1180" w:type="dxa"/>
            <w:vAlign w:val="bottom"/>
          </w:tcPr>
          <w:p>
            <w:pPr>
              <w:jc w:val="center"/>
              <w:ind w:right="81"/>
              <w:spacing w:after="0"/>
              <w:rPr>
                <w:sz w:val="20"/>
                <w:szCs w:val="20"/>
                <w:color w:val="auto"/>
              </w:rPr>
            </w:pPr>
            <w:r>
              <w:rPr>
                <w:rFonts w:ascii="Arial" w:cs="Arial" w:eastAsia="Arial" w:hAnsi="Arial"/>
                <w:sz w:val="14"/>
                <w:szCs w:val="14"/>
                <w:color w:val="auto"/>
              </w:rPr>
              <w:t>liabilities:</w:t>
            </w:r>
          </w:p>
        </w:tc>
      </w:tr>
      <w:tr>
        <w:trPr>
          <w:trHeight w:val="216"/>
        </w:trPr>
        <w:tc>
          <w:tcPr>
            <w:tcW w:w="5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center"/>
              <w:ind w:right="121"/>
              <w:spacing w:after="0"/>
              <w:rPr>
                <w:sz w:val="20"/>
                <w:szCs w:val="20"/>
                <w:color w:val="auto"/>
              </w:rPr>
            </w:pPr>
            <w:r>
              <w:rPr>
                <w:rFonts w:ascii="Arial" w:cs="Arial" w:eastAsia="Arial" w:hAnsi="Arial"/>
                <w:sz w:val="14"/>
                <w:szCs w:val="14"/>
                <w:color w:val="auto"/>
              </w:rPr>
              <w:t>Fixed-price</w:t>
            </w:r>
          </w:p>
        </w:tc>
        <w:tc>
          <w:tcPr>
            <w:tcW w:w="320" w:type="dxa"/>
            <w:vAlign w:val="bottom"/>
          </w:tcPr>
          <w:p>
            <w:pPr>
              <w:spacing w:after="0"/>
              <w:rPr>
                <w:sz w:val="18"/>
                <w:szCs w:val="18"/>
                <w:color w:val="auto"/>
              </w:rPr>
            </w:pPr>
          </w:p>
        </w:tc>
        <w:tc>
          <w:tcPr>
            <w:tcW w:w="1280" w:type="dxa"/>
            <w:vAlign w:val="bottom"/>
          </w:tcPr>
          <w:p>
            <w:pPr>
              <w:jc w:val="center"/>
              <w:ind w:right="141"/>
              <w:spacing w:after="0"/>
              <w:rPr>
                <w:sz w:val="20"/>
                <w:szCs w:val="20"/>
                <w:color w:val="auto"/>
              </w:rPr>
            </w:pPr>
            <w:r>
              <w:rPr>
                <w:rFonts w:ascii="Arial" w:cs="Arial" w:eastAsia="Arial" w:hAnsi="Arial"/>
                <w:sz w:val="14"/>
                <w:szCs w:val="14"/>
                <w:color w:val="auto"/>
              </w:rPr>
              <w:t>Investments</w:t>
            </w:r>
          </w:p>
        </w:tc>
        <w:tc>
          <w:tcPr>
            <w:tcW w:w="280" w:type="dxa"/>
            <w:vAlign w:val="bottom"/>
          </w:tcPr>
          <w:p>
            <w:pPr>
              <w:spacing w:after="0"/>
              <w:rPr>
                <w:sz w:val="18"/>
                <w:szCs w:val="18"/>
                <w:color w:val="auto"/>
              </w:rPr>
            </w:pPr>
          </w:p>
        </w:tc>
        <w:tc>
          <w:tcPr>
            <w:tcW w:w="1300" w:type="dxa"/>
            <w:vAlign w:val="bottom"/>
          </w:tcPr>
          <w:p>
            <w:pPr>
              <w:jc w:val="center"/>
              <w:ind w:right="101"/>
              <w:spacing w:after="0"/>
              <w:rPr>
                <w:sz w:val="20"/>
                <w:szCs w:val="20"/>
                <w:color w:val="auto"/>
              </w:rPr>
            </w:pPr>
            <w:r>
              <w:rPr>
                <w:rFonts w:ascii="Arial" w:cs="Arial" w:eastAsia="Arial" w:hAnsi="Arial"/>
                <w:sz w:val="14"/>
                <w:szCs w:val="14"/>
                <w:color w:val="auto"/>
              </w:rPr>
              <w:t>Fixed-price</w:t>
            </w:r>
          </w:p>
        </w:tc>
        <w:tc>
          <w:tcPr>
            <w:tcW w:w="340" w:type="dxa"/>
            <w:vAlign w:val="bottom"/>
          </w:tcPr>
          <w:p>
            <w:pPr>
              <w:spacing w:after="0"/>
              <w:rPr>
                <w:sz w:val="18"/>
                <w:szCs w:val="18"/>
                <w:color w:val="auto"/>
              </w:rPr>
            </w:pPr>
          </w:p>
        </w:tc>
        <w:tc>
          <w:tcPr>
            <w:tcW w:w="1180" w:type="dxa"/>
            <w:vAlign w:val="bottom"/>
          </w:tcPr>
          <w:p>
            <w:pPr>
              <w:jc w:val="center"/>
              <w:ind w:right="81"/>
              <w:spacing w:after="0"/>
              <w:rPr>
                <w:sz w:val="20"/>
                <w:szCs w:val="20"/>
                <w:color w:val="auto"/>
              </w:rPr>
            </w:pPr>
            <w:r>
              <w:rPr>
                <w:rFonts w:ascii="Arial" w:cs="Arial" w:eastAsia="Arial" w:hAnsi="Arial"/>
                <w:sz w:val="14"/>
                <w:szCs w:val="14"/>
                <w:color w:val="auto"/>
              </w:rPr>
              <w:t>Fixed-price</w:t>
            </w:r>
          </w:p>
        </w:tc>
      </w:tr>
      <w:tr>
        <w:trPr>
          <w:trHeight w:val="216"/>
        </w:trPr>
        <w:tc>
          <w:tcPr>
            <w:tcW w:w="5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center"/>
              <w:ind w:right="121"/>
              <w:spacing w:after="0"/>
              <w:rPr>
                <w:sz w:val="20"/>
                <w:szCs w:val="20"/>
                <w:color w:val="auto"/>
              </w:rPr>
            </w:pPr>
            <w:r>
              <w:rPr>
                <w:rFonts w:ascii="Arial" w:cs="Arial" w:eastAsia="Arial" w:hAnsi="Arial"/>
                <w:sz w:val="14"/>
                <w:szCs w:val="14"/>
                <w:color w:val="auto"/>
              </w:rPr>
              <w:t>contracts</w:t>
            </w:r>
          </w:p>
        </w:tc>
        <w:tc>
          <w:tcPr>
            <w:tcW w:w="320" w:type="dxa"/>
            <w:vAlign w:val="bottom"/>
          </w:tcPr>
          <w:p>
            <w:pPr>
              <w:spacing w:after="0"/>
              <w:rPr>
                <w:sz w:val="18"/>
                <w:szCs w:val="18"/>
                <w:color w:val="auto"/>
              </w:rPr>
            </w:pPr>
          </w:p>
        </w:tc>
        <w:tc>
          <w:tcPr>
            <w:tcW w:w="1280" w:type="dxa"/>
            <w:vAlign w:val="bottom"/>
          </w:tcPr>
          <w:p>
            <w:pPr>
              <w:jc w:val="center"/>
              <w:ind w:right="161"/>
              <w:spacing w:after="0"/>
              <w:rPr>
                <w:sz w:val="20"/>
                <w:szCs w:val="20"/>
                <w:color w:val="auto"/>
              </w:rPr>
            </w:pPr>
            <w:r>
              <w:rPr>
                <w:rFonts w:ascii="Arial" w:cs="Arial" w:eastAsia="Arial" w:hAnsi="Arial"/>
                <w:sz w:val="14"/>
                <w:szCs w:val="14"/>
                <w:color w:val="auto"/>
              </w:rPr>
              <w:t>and other</w:t>
            </w:r>
          </w:p>
        </w:tc>
        <w:tc>
          <w:tcPr>
            <w:tcW w:w="280" w:type="dxa"/>
            <w:vAlign w:val="bottom"/>
          </w:tcPr>
          <w:p>
            <w:pPr>
              <w:spacing w:after="0"/>
              <w:rPr>
                <w:sz w:val="18"/>
                <w:szCs w:val="18"/>
                <w:color w:val="auto"/>
              </w:rPr>
            </w:pPr>
          </w:p>
        </w:tc>
        <w:tc>
          <w:tcPr>
            <w:tcW w:w="1300" w:type="dxa"/>
            <w:vAlign w:val="bottom"/>
          </w:tcPr>
          <w:p>
            <w:pPr>
              <w:jc w:val="center"/>
              <w:ind w:right="121"/>
              <w:spacing w:after="0"/>
              <w:rPr>
                <w:sz w:val="20"/>
                <w:szCs w:val="20"/>
                <w:color w:val="auto"/>
              </w:rPr>
            </w:pPr>
            <w:r>
              <w:rPr>
                <w:rFonts w:ascii="Arial" w:cs="Arial" w:eastAsia="Arial" w:hAnsi="Arial"/>
                <w:sz w:val="14"/>
                <w:szCs w:val="14"/>
                <w:color w:val="auto"/>
              </w:rPr>
              <w:t>contracts</w:t>
            </w:r>
          </w:p>
        </w:tc>
        <w:tc>
          <w:tcPr>
            <w:tcW w:w="340" w:type="dxa"/>
            <w:vAlign w:val="bottom"/>
          </w:tcPr>
          <w:p>
            <w:pPr>
              <w:spacing w:after="0"/>
              <w:rPr>
                <w:sz w:val="18"/>
                <w:szCs w:val="18"/>
                <w:color w:val="auto"/>
              </w:rPr>
            </w:pPr>
          </w:p>
        </w:tc>
        <w:tc>
          <w:tcPr>
            <w:tcW w:w="1180" w:type="dxa"/>
            <w:vAlign w:val="bottom"/>
          </w:tcPr>
          <w:p>
            <w:pPr>
              <w:jc w:val="center"/>
              <w:ind w:right="81"/>
              <w:spacing w:after="0"/>
              <w:rPr>
                <w:sz w:val="20"/>
                <w:szCs w:val="20"/>
                <w:color w:val="auto"/>
              </w:rPr>
            </w:pPr>
            <w:r>
              <w:rPr>
                <w:rFonts w:ascii="Arial" w:cs="Arial" w:eastAsia="Arial" w:hAnsi="Arial"/>
                <w:sz w:val="14"/>
                <w:szCs w:val="14"/>
                <w:color w:val="auto"/>
              </w:rPr>
              <w:t>contracts</w:t>
            </w:r>
          </w:p>
        </w:tc>
      </w:tr>
      <w:tr>
        <w:trPr>
          <w:trHeight w:val="216"/>
        </w:trPr>
        <w:tc>
          <w:tcPr>
            <w:tcW w:w="5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center"/>
              <w:ind w:right="121"/>
              <w:spacing w:after="0"/>
              <w:rPr>
                <w:sz w:val="20"/>
                <w:szCs w:val="20"/>
                <w:color w:val="auto"/>
              </w:rPr>
            </w:pPr>
            <w:r>
              <w:rPr>
                <w:rFonts w:ascii="Arial" w:cs="Arial" w:eastAsia="Arial" w:hAnsi="Arial"/>
                <w:sz w:val="14"/>
                <w:szCs w:val="14"/>
                <w:color w:val="auto"/>
              </w:rPr>
              <w:t>and other</w:t>
            </w:r>
          </w:p>
        </w:tc>
        <w:tc>
          <w:tcPr>
            <w:tcW w:w="320" w:type="dxa"/>
            <w:vAlign w:val="bottom"/>
          </w:tcPr>
          <w:p>
            <w:pPr>
              <w:spacing w:after="0"/>
              <w:rPr>
                <w:sz w:val="18"/>
                <w:szCs w:val="18"/>
                <w:color w:val="auto"/>
              </w:rPr>
            </w:pPr>
          </w:p>
        </w:tc>
        <w:tc>
          <w:tcPr>
            <w:tcW w:w="1280" w:type="dxa"/>
            <w:vAlign w:val="bottom"/>
          </w:tcPr>
          <w:p>
            <w:pPr>
              <w:jc w:val="center"/>
              <w:ind w:right="141"/>
              <w:spacing w:after="0"/>
              <w:rPr>
                <w:sz w:val="20"/>
                <w:szCs w:val="20"/>
                <w:color w:val="auto"/>
              </w:rPr>
            </w:pPr>
            <w:r>
              <w:rPr>
                <w:rFonts w:ascii="Arial" w:cs="Arial" w:eastAsia="Arial" w:hAnsi="Arial"/>
                <w:sz w:val="14"/>
                <w:szCs w:val="14"/>
                <w:color w:val="auto"/>
              </w:rPr>
              <w:t>assets:</w:t>
            </w:r>
          </w:p>
        </w:tc>
        <w:tc>
          <w:tcPr>
            <w:tcW w:w="280" w:type="dxa"/>
            <w:vAlign w:val="bottom"/>
          </w:tcPr>
          <w:p>
            <w:pPr>
              <w:spacing w:after="0"/>
              <w:rPr>
                <w:sz w:val="18"/>
                <w:szCs w:val="18"/>
                <w:color w:val="auto"/>
              </w:rPr>
            </w:pPr>
          </w:p>
        </w:tc>
        <w:tc>
          <w:tcPr>
            <w:tcW w:w="1300" w:type="dxa"/>
            <w:vAlign w:val="bottom"/>
          </w:tcPr>
          <w:p>
            <w:pPr>
              <w:jc w:val="center"/>
              <w:ind w:right="101"/>
              <w:spacing w:after="0"/>
              <w:rPr>
                <w:sz w:val="20"/>
                <w:szCs w:val="20"/>
                <w:color w:val="auto"/>
              </w:rPr>
            </w:pPr>
            <w:r>
              <w:rPr>
                <w:rFonts w:ascii="Arial" w:cs="Arial" w:eastAsia="Arial" w:hAnsi="Arial"/>
                <w:sz w:val="14"/>
                <w:szCs w:val="14"/>
                <w:color w:val="auto"/>
              </w:rPr>
              <w:t>and other</w:t>
            </w:r>
          </w:p>
        </w:tc>
        <w:tc>
          <w:tcPr>
            <w:tcW w:w="340" w:type="dxa"/>
            <w:vAlign w:val="bottom"/>
          </w:tcPr>
          <w:p>
            <w:pPr>
              <w:spacing w:after="0"/>
              <w:rPr>
                <w:sz w:val="18"/>
                <w:szCs w:val="18"/>
                <w:color w:val="auto"/>
              </w:rPr>
            </w:pPr>
          </w:p>
        </w:tc>
        <w:tc>
          <w:tcPr>
            <w:tcW w:w="1180" w:type="dxa"/>
            <w:vAlign w:val="bottom"/>
          </w:tcPr>
          <w:p>
            <w:pPr>
              <w:jc w:val="center"/>
              <w:ind w:right="81"/>
              <w:spacing w:after="0"/>
              <w:rPr>
                <w:sz w:val="20"/>
                <w:szCs w:val="20"/>
                <w:color w:val="auto"/>
              </w:rPr>
            </w:pPr>
            <w:r>
              <w:rPr>
                <w:rFonts w:ascii="Arial" w:cs="Arial" w:eastAsia="Arial" w:hAnsi="Arial"/>
                <w:sz w:val="14"/>
                <w:szCs w:val="14"/>
                <w:color w:val="auto"/>
              </w:rPr>
              <w:t>and other</w:t>
            </w:r>
          </w:p>
        </w:tc>
      </w:tr>
      <w:tr>
        <w:trPr>
          <w:trHeight w:val="208"/>
        </w:trPr>
        <w:tc>
          <w:tcPr>
            <w:tcW w:w="50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rPr>
              <w:t>derivatives(1)</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color w:val="auto"/>
              </w:rPr>
              <w:t>Sundry</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rPr>
              <w:t>derivatives(2)</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derivatives</w:t>
            </w:r>
          </w:p>
        </w:tc>
      </w:tr>
      <w:tr>
        <w:trPr>
          <w:trHeight w:val="224"/>
        </w:trPr>
        <w:tc>
          <w:tcPr>
            <w:tcW w:w="506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0"/>
        </w:trPr>
        <w:tc>
          <w:tcPr>
            <w:tcW w:w="5060" w:type="dxa"/>
            <w:vAlign w:val="bottom"/>
          </w:tcPr>
          <w:p>
            <w:pPr>
              <w:spacing w:after="0"/>
              <w:rPr>
                <w:sz w:val="20"/>
                <w:szCs w:val="20"/>
                <w:color w:val="auto"/>
              </w:rPr>
            </w:pPr>
            <w:r>
              <w:rPr>
                <w:rFonts w:ascii="Arial" w:cs="Arial" w:eastAsia="Arial" w:hAnsi="Arial"/>
                <w:sz w:val="16"/>
                <w:szCs w:val="16"/>
                <w:color w:val="auto"/>
              </w:rPr>
              <w:t>Derivatives designated as hedging instruments: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95"/>
        </w:trPr>
        <w:tc>
          <w:tcPr>
            <w:tcW w:w="5060" w:type="dxa"/>
            <w:vAlign w:val="bottom"/>
          </w:tcPr>
          <w:p>
            <w:pPr>
              <w:ind w:left="180"/>
              <w:spacing w:after="0"/>
              <w:rPr>
                <w:sz w:val="20"/>
                <w:szCs w:val="20"/>
                <w:color w:val="auto"/>
              </w:rPr>
            </w:pPr>
            <w:r>
              <w:rPr>
                <w:rFonts w:ascii="Arial" w:cs="Arial" w:eastAsia="Arial" w:hAnsi="Arial"/>
                <w:sz w:val="16"/>
                <w:szCs w:val="16"/>
                <w:color w:val="auto"/>
              </w:rPr>
              <w:t>Interest rate and foreign exchange instruments(3)</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13</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6"/>
        </w:trPr>
        <w:tc>
          <w:tcPr>
            <w:tcW w:w="5060" w:type="dxa"/>
            <w:vAlign w:val="bottom"/>
          </w:tcPr>
          <w:p>
            <w:pPr>
              <w:spacing w:after="0"/>
              <w:rPr>
                <w:sz w:val="20"/>
                <w:szCs w:val="20"/>
                <w:color w:val="auto"/>
              </w:rPr>
            </w:pPr>
            <w:r>
              <w:rPr>
                <w:rFonts w:ascii="Arial" w:cs="Arial" w:eastAsia="Arial" w:hAnsi="Arial"/>
                <w:sz w:val="16"/>
                <w:szCs w:val="16"/>
                <w:color w:val="auto"/>
              </w:rPr>
              <w:t>Derivatives not designated as hedging instruments: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Interest rate and foreign exchange instruments</w:t>
            </w:r>
          </w:p>
        </w:tc>
        <w:tc>
          <w:tcPr>
            <w:tcW w:w="36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320" w:type="dxa"/>
            <w:vAlign w:val="bottom"/>
          </w:tcPr>
          <w:p>
            <w:pPr>
              <w:spacing w:after="0"/>
              <w:rPr>
                <w:sz w:val="18"/>
                <w:szCs w:val="18"/>
                <w:color w:val="auto"/>
              </w:rPr>
            </w:pP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37</w:t>
            </w:r>
          </w:p>
        </w:tc>
        <w:tc>
          <w:tcPr>
            <w:tcW w:w="28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(7)</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Commodity contracts not subject to rate recovery:</w:t>
            </w:r>
          </w:p>
        </w:tc>
        <w:tc>
          <w:tcPr>
            <w:tcW w:w="36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76</w:t>
            </w:r>
          </w:p>
        </w:tc>
        <w:tc>
          <w:tcPr>
            <w:tcW w:w="320" w:type="dxa"/>
            <w:vAlign w:val="bottom"/>
          </w:tcPr>
          <w:p>
            <w:pPr>
              <w:spacing w:after="0"/>
              <w:rPr>
                <w:sz w:val="18"/>
                <w:szCs w:val="18"/>
                <w:color w:val="auto"/>
              </w:rPr>
            </w:pP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(104)</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(71)</w:t>
            </w:r>
          </w:p>
        </w:tc>
        <w:tc>
          <w:tcPr>
            <w:tcW w:w="32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(13)</w:t>
            </w:r>
          </w:p>
        </w:tc>
        <w:tc>
          <w:tcPr>
            <w:tcW w:w="28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71</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cash collateral</w:t>
            </w:r>
          </w:p>
        </w:tc>
        <w:tc>
          <w:tcPr>
            <w:tcW w:w="36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18</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30</w:t>
            </w:r>
          </w:p>
        </w:tc>
        <w:tc>
          <w:tcPr>
            <w:tcW w:w="320" w:type="dxa"/>
            <w:vAlign w:val="bottom"/>
          </w:tcPr>
          <w:p>
            <w:pPr>
              <w:spacing w:after="0"/>
              <w:rPr>
                <w:sz w:val="18"/>
                <w:szCs w:val="18"/>
                <w:color w:val="auto"/>
              </w:rPr>
            </w:pP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34</w:t>
            </w:r>
          </w:p>
        </w:tc>
        <w:tc>
          <w:tcPr>
            <w:tcW w:w="28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(20)</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(6)</w:t>
            </w:r>
          </w:p>
        </w:tc>
        <w:tc>
          <w:tcPr>
            <w:tcW w:w="320" w:type="dxa"/>
            <w:vAlign w:val="bottom"/>
          </w:tcPr>
          <w:p>
            <w:pPr>
              <w:spacing w:after="0"/>
              <w:rPr>
                <w:sz w:val="18"/>
                <w:szCs w:val="18"/>
                <w:color w:val="auto"/>
              </w:rPr>
            </w:pP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6</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cash collateral</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24"/>
        </w:trPr>
        <w:tc>
          <w:tcPr>
            <w:tcW w:w="5060" w:type="dxa"/>
            <w:vAlign w:val="bottom"/>
          </w:tcPr>
          <w:p>
            <w:pPr>
              <w:ind w:left="180"/>
              <w:spacing w:after="0"/>
              <w:rPr>
                <w:sz w:val="20"/>
                <w:szCs w:val="20"/>
                <w:color w:val="auto"/>
              </w:rPr>
            </w:pPr>
            <w:r>
              <w:rPr>
                <w:rFonts w:ascii="Arial" w:cs="Arial" w:eastAsia="Arial" w:hAnsi="Arial"/>
                <w:sz w:val="16"/>
                <w:szCs w:val="16"/>
                <w:color w:val="auto"/>
              </w:rPr>
              <w:t>Net amounts presented on the balance sheet</w:t>
            </w:r>
          </w:p>
        </w:tc>
        <w:tc>
          <w:tcPr>
            <w:tcW w:w="360" w:type="dxa"/>
            <w:vAlign w:val="bottom"/>
          </w:tcPr>
          <w:p>
            <w:pPr>
              <w:spacing w:after="0"/>
              <w:rPr>
                <w:sz w:val="19"/>
                <w:szCs w:val="19"/>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44</w:t>
            </w:r>
          </w:p>
        </w:tc>
        <w:tc>
          <w:tcPr>
            <w:tcW w:w="32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86</w:t>
            </w:r>
          </w:p>
        </w:tc>
        <w:tc>
          <w:tcPr>
            <w:tcW w:w="280" w:type="dxa"/>
            <w:vAlign w:val="bottom"/>
          </w:tcPr>
          <w:p>
            <w:pPr>
              <w:spacing w:after="0"/>
              <w:rPr>
                <w:sz w:val="19"/>
                <w:szCs w:val="19"/>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(44)</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Additional margin posted for commodity contracts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not subject to rate recovery</w:t>
            </w:r>
          </w:p>
        </w:tc>
        <w:tc>
          <w:tcPr>
            <w:tcW w:w="36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20</w:t>
            </w:r>
          </w:p>
        </w:tc>
        <w:tc>
          <w:tcPr>
            <w:tcW w:w="320" w:type="dxa"/>
            <w:vAlign w:val="bottom"/>
          </w:tcPr>
          <w:p>
            <w:pPr>
              <w:spacing w:after="0"/>
              <w:rPr>
                <w:sz w:val="18"/>
                <w:szCs w:val="18"/>
                <w:color w:val="auto"/>
              </w:rPr>
            </w:pP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Additional margin posted for commodity contracts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subject to rate recovery</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24</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0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86</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r>
      <w:tr>
        <w:trPr>
          <w:trHeight w:val="21"/>
        </w:trPr>
        <w:tc>
          <w:tcPr>
            <w:tcW w:w="5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7"/>
        </w:trPr>
        <w:tc>
          <w:tcPr>
            <w:tcW w:w="506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5060" w:type="dxa"/>
            <w:vAlign w:val="bottom"/>
          </w:tcPr>
          <w:p>
            <w:pPr>
              <w:spacing w:after="0"/>
              <w:rPr>
                <w:sz w:val="20"/>
                <w:szCs w:val="20"/>
                <w:color w:val="auto"/>
              </w:rPr>
            </w:pPr>
            <w:r>
              <w:rPr>
                <w:rFonts w:ascii="Arial" w:cs="Arial" w:eastAsia="Arial" w:hAnsi="Arial"/>
                <w:sz w:val="16"/>
                <w:szCs w:val="16"/>
                <w:color w:val="auto"/>
              </w:rPr>
              <w:t>Derivatives designated as hedging instruments: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95"/>
        </w:trPr>
        <w:tc>
          <w:tcPr>
            <w:tcW w:w="5060" w:type="dxa"/>
            <w:vAlign w:val="bottom"/>
          </w:tcPr>
          <w:p>
            <w:pPr>
              <w:ind w:left="180"/>
              <w:spacing w:after="0"/>
              <w:rPr>
                <w:sz w:val="20"/>
                <w:szCs w:val="20"/>
                <w:color w:val="auto"/>
              </w:rPr>
            </w:pPr>
            <w:r>
              <w:rPr>
                <w:rFonts w:ascii="Arial" w:cs="Arial" w:eastAsia="Arial" w:hAnsi="Arial"/>
                <w:sz w:val="16"/>
                <w:szCs w:val="16"/>
                <w:color w:val="auto"/>
              </w:rPr>
              <w:t>Interest rate instruments(3)</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6"/>
        </w:trPr>
        <w:tc>
          <w:tcPr>
            <w:tcW w:w="5060" w:type="dxa"/>
            <w:vAlign w:val="bottom"/>
          </w:tcPr>
          <w:p>
            <w:pPr>
              <w:spacing w:after="0"/>
              <w:rPr>
                <w:sz w:val="20"/>
                <w:szCs w:val="20"/>
                <w:color w:val="auto"/>
              </w:rPr>
            </w:pPr>
            <w:r>
              <w:rPr>
                <w:rFonts w:ascii="Arial" w:cs="Arial" w:eastAsia="Arial" w:hAnsi="Arial"/>
                <w:sz w:val="16"/>
                <w:szCs w:val="16"/>
                <w:color w:val="auto"/>
              </w:rPr>
              <w:t>Derivatives not designated as hedging instruments: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27</w:t>
            </w:r>
          </w:p>
        </w:tc>
        <w:tc>
          <w:tcPr>
            <w:tcW w:w="320" w:type="dxa"/>
            <w:vAlign w:val="bottom"/>
          </w:tcPr>
          <w:p>
            <w:pPr>
              <w:spacing w:after="0"/>
              <w:rPr>
                <w:sz w:val="18"/>
                <w:szCs w:val="18"/>
                <w:color w:val="auto"/>
              </w:rPr>
            </w:pP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34</w:t>
            </w:r>
          </w:p>
        </w:tc>
        <w:tc>
          <w:tcPr>
            <w:tcW w:w="28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(18)</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320" w:type="dxa"/>
            <w:vAlign w:val="bottom"/>
          </w:tcPr>
          <w:p>
            <w:pPr>
              <w:spacing w:after="0"/>
              <w:rPr>
                <w:sz w:val="18"/>
                <w:szCs w:val="18"/>
                <w:color w:val="auto"/>
              </w:rPr>
            </w:pP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cash collateral</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24"/>
        </w:trPr>
        <w:tc>
          <w:tcPr>
            <w:tcW w:w="5060" w:type="dxa"/>
            <w:vAlign w:val="bottom"/>
          </w:tcPr>
          <w:p>
            <w:pPr>
              <w:ind w:left="180"/>
              <w:spacing w:after="0"/>
              <w:rPr>
                <w:sz w:val="20"/>
                <w:szCs w:val="20"/>
                <w:color w:val="auto"/>
              </w:rPr>
            </w:pPr>
            <w:r>
              <w:rPr>
                <w:rFonts w:ascii="Arial" w:cs="Arial" w:eastAsia="Arial" w:hAnsi="Arial"/>
                <w:sz w:val="16"/>
                <w:szCs w:val="16"/>
                <w:color w:val="auto"/>
              </w:rPr>
              <w:t>Net amounts presented on the balance sheet</w:t>
            </w:r>
          </w:p>
        </w:tc>
        <w:tc>
          <w:tcPr>
            <w:tcW w:w="360" w:type="dxa"/>
            <w:vAlign w:val="bottom"/>
          </w:tcPr>
          <w:p>
            <w:pPr>
              <w:spacing w:after="0"/>
              <w:rPr>
                <w:sz w:val="19"/>
                <w:szCs w:val="19"/>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22</w:t>
            </w:r>
          </w:p>
        </w:tc>
        <w:tc>
          <w:tcPr>
            <w:tcW w:w="32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34</w:t>
            </w:r>
          </w:p>
        </w:tc>
        <w:tc>
          <w:tcPr>
            <w:tcW w:w="280" w:type="dxa"/>
            <w:vAlign w:val="bottom"/>
          </w:tcPr>
          <w:p>
            <w:pPr>
              <w:spacing w:after="0"/>
              <w:rPr>
                <w:sz w:val="19"/>
                <w:szCs w:val="19"/>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(20)</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Additional margin posted for commodity contracts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not subject to rate recovery(4)</w:t>
            </w:r>
          </w:p>
        </w:tc>
        <w:tc>
          <w:tcPr>
            <w:tcW w:w="36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Additional margin posted for commodity contracts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subject to rate recovery</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22</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0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r>
      <w:tr>
        <w:trPr>
          <w:trHeight w:val="21"/>
        </w:trPr>
        <w:tc>
          <w:tcPr>
            <w:tcW w:w="5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7"/>
        </w:trPr>
        <w:tc>
          <w:tcPr>
            <w:tcW w:w="506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5060" w:type="dxa"/>
            <w:vAlign w:val="bottom"/>
          </w:tcPr>
          <w:p>
            <w:pPr>
              <w:spacing w:after="0"/>
              <w:rPr>
                <w:sz w:val="20"/>
                <w:szCs w:val="20"/>
                <w:color w:val="auto"/>
              </w:rPr>
            </w:pPr>
            <w:r>
              <w:rPr>
                <w:rFonts w:ascii="Arial" w:cs="Arial" w:eastAsia="Arial" w:hAnsi="Arial"/>
                <w:sz w:val="16"/>
                <w:szCs w:val="16"/>
                <w:color w:val="auto"/>
              </w:rPr>
              <w:t>Derivatives not designated as hedging instruments: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95"/>
        </w:trPr>
        <w:tc>
          <w:tcPr>
            <w:tcW w:w="506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cash collateral</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ectPr>
          <w:pgSz w:w="11900" w:h="16843" w:orient="portrait"/>
          <w:cols w:equalWidth="0" w:num="1">
            <w:col w:w="11420"/>
          </w:cols>
          <w:pgMar w:left="240" w:top="384" w:right="239" w:bottom="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60" w:type="dxa"/>
            <w:vAlign w:val="bottom"/>
          </w:tcPr>
          <w:p>
            <w:pPr>
              <w:ind w:left="180"/>
              <w:spacing w:after="0"/>
              <w:rPr>
                <w:sz w:val="20"/>
                <w:szCs w:val="20"/>
                <w:color w:val="auto"/>
              </w:rPr>
            </w:pPr>
            <w:r>
              <w:rPr>
                <w:rFonts w:ascii="Arial" w:cs="Arial" w:eastAsia="Arial" w:hAnsi="Arial"/>
                <w:sz w:val="16"/>
                <w:szCs w:val="16"/>
                <w:color w:val="auto"/>
              </w:rPr>
              <w:t>Net amounts presented on the balance sheet</w:t>
            </w:r>
          </w:p>
        </w:tc>
        <w:tc>
          <w:tcPr>
            <w:tcW w:w="840" w:type="dxa"/>
            <w:vAlign w:val="bottom"/>
          </w:tcPr>
          <w:p>
            <w:pPr>
              <w:spacing w:after="0"/>
              <w:rPr>
                <w:sz w:val="16"/>
                <w:szCs w:val="16"/>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760" w:type="dxa"/>
            <w:vAlign w:val="bottom"/>
          </w:tcPr>
          <w:p>
            <w:pPr>
              <w:spacing w:after="0"/>
              <w:rPr>
                <w:sz w:val="16"/>
                <w:szCs w:val="16"/>
                <w:color w:val="auto"/>
              </w:rPr>
            </w:pPr>
          </w:p>
        </w:tc>
        <w:tc>
          <w:tcPr>
            <w:tcW w:w="1600" w:type="dxa"/>
            <w:vAlign w:val="bottom"/>
          </w:tcPr>
          <w:p>
            <w:pPr>
              <w:ind w:left="560"/>
              <w:spacing w:after="0"/>
              <w:rPr>
                <w:sz w:val="20"/>
                <w:szCs w:val="20"/>
                <w:color w:val="auto"/>
              </w:rPr>
            </w:pPr>
            <w:r>
              <w:rPr>
                <w:rFonts w:ascii="Arial" w:cs="Arial" w:eastAsia="Arial" w:hAnsi="Arial"/>
                <w:sz w:val="16"/>
                <w:szCs w:val="16"/>
                <w:color w:val="auto"/>
              </w:rPr>
              <w:t>―</w:t>
            </w:r>
          </w:p>
        </w:tc>
        <w:tc>
          <w:tcPr>
            <w:tcW w:w="1580" w:type="dxa"/>
            <w:vAlign w:val="bottom"/>
          </w:tcPr>
          <w:p>
            <w:pPr>
              <w:ind w:left="560"/>
              <w:spacing w:after="0"/>
              <w:rPr>
                <w:sz w:val="20"/>
                <w:szCs w:val="20"/>
                <w:color w:val="auto"/>
              </w:rPr>
            </w:pPr>
            <w:r>
              <w:rPr>
                <w:rFonts w:ascii="Arial" w:cs="Arial" w:eastAsia="Arial" w:hAnsi="Arial"/>
                <w:sz w:val="16"/>
                <w:szCs w:val="16"/>
                <w:color w:val="auto"/>
              </w:rPr>
              <w:t>―</w:t>
            </w:r>
          </w:p>
        </w:tc>
        <w:tc>
          <w:tcPr>
            <w:tcW w:w="780" w:type="dxa"/>
            <w:vAlign w:val="bottom"/>
          </w:tcPr>
          <w:p>
            <w:pPr>
              <w:ind w:left="580"/>
              <w:spacing w:after="0"/>
              <w:rPr>
                <w:sz w:val="20"/>
                <w:szCs w:val="20"/>
                <w:color w:val="auto"/>
              </w:rPr>
            </w:pPr>
            <w:r>
              <w:rPr>
                <w:rFonts w:ascii="Arial" w:cs="Arial" w:eastAsia="Arial" w:hAnsi="Arial"/>
                <w:sz w:val="16"/>
                <w:szCs w:val="16"/>
                <w:color w:val="auto"/>
              </w:rPr>
              <w:t>―</w:t>
            </w:r>
          </w:p>
        </w:tc>
      </w:tr>
      <w:tr>
        <w:trPr>
          <w:trHeight w:val="243"/>
        </w:trPr>
        <w:tc>
          <w:tcPr>
            <w:tcW w:w="5060" w:type="dxa"/>
            <w:vAlign w:val="bottom"/>
          </w:tcPr>
          <w:p>
            <w:pPr>
              <w:ind w:left="180"/>
              <w:spacing w:after="0"/>
              <w:rPr>
                <w:sz w:val="20"/>
                <w:szCs w:val="20"/>
                <w:color w:val="auto"/>
              </w:rPr>
            </w:pPr>
            <w:r>
              <w:rPr>
                <w:rFonts w:ascii="Arial" w:cs="Arial" w:eastAsia="Arial" w:hAnsi="Arial"/>
                <w:sz w:val="16"/>
                <w:szCs w:val="16"/>
                <w:color w:val="auto"/>
              </w:rPr>
              <w:t>Additional margin posted for commodity contracts</w:t>
            </w: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not subject to rate recovery(4)</w:t>
            </w:r>
          </w:p>
        </w:tc>
        <w:tc>
          <w:tcPr>
            <w:tcW w:w="8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760" w:type="dxa"/>
            <w:vAlign w:val="bottom"/>
          </w:tcPr>
          <w:p>
            <w:pPr>
              <w:spacing w:after="0"/>
              <w:rPr>
                <w:sz w:val="18"/>
                <w:szCs w:val="18"/>
                <w:color w:val="auto"/>
              </w:rPr>
            </w:pPr>
          </w:p>
        </w:tc>
        <w:tc>
          <w:tcPr>
            <w:tcW w:w="1600" w:type="dxa"/>
            <w:vAlign w:val="bottom"/>
          </w:tcPr>
          <w:p>
            <w:pPr>
              <w:ind w:left="560"/>
              <w:spacing w:after="0"/>
              <w:rPr>
                <w:sz w:val="20"/>
                <w:szCs w:val="20"/>
                <w:color w:val="auto"/>
              </w:rPr>
            </w:pPr>
            <w:r>
              <w:rPr>
                <w:rFonts w:ascii="Arial" w:cs="Arial" w:eastAsia="Arial" w:hAnsi="Arial"/>
                <w:sz w:val="16"/>
                <w:szCs w:val="16"/>
                <w:color w:val="auto"/>
              </w:rPr>
              <w:t>―</w:t>
            </w:r>
          </w:p>
        </w:tc>
        <w:tc>
          <w:tcPr>
            <w:tcW w:w="1580" w:type="dxa"/>
            <w:vAlign w:val="bottom"/>
          </w:tcPr>
          <w:p>
            <w:pPr>
              <w:ind w:left="560"/>
              <w:spacing w:after="0"/>
              <w:rPr>
                <w:sz w:val="20"/>
                <w:szCs w:val="20"/>
                <w:color w:val="auto"/>
              </w:rPr>
            </w:pPr>
            <w:r>
              <w:rPr>
                <w:rFonts w:ascii="Arial" w:cs="Arial" w:eastAsia="Arial" w:hAnsi="Arial"/>
                <w:sz w:val="16"/>
                <w:szCs w:val="16"/>
                <w:color w:val="auto"/>
              </w:rPr>
              <w:t>―</w:t>
            </w:r>
          </w:p>
        </w:tc>
        <w:tc>
          <w:tcPr>
            <w:tcW w:w="780" w:type="dxa"/>
            <w:vAlign w:val="bottom"/>
          </w:tcPr>
          <w:p>
            <w:pPr>
              <w:ind w:left="580"/>
              <w:spacing w:after="0"/>
              <w:rPr>
                <w:sz w:val="20"/>
                <w:szCs w:val="20"/>
                <w:color w:val="auto"/>
              </w:rPr>
            </w:pPr>
            <w:r>
              <w:rPr>
                <w:rFonts w:ascii="Arial" w:cs="Arial" w:eastAsia="Arial" w:hAnsi="Arial"/>
                <w:sz w:val="16"/>
                <w:szCs w:val="16"/>
                <w:color w:val="auto"/>
              </w:rPr>
              <w:t>―</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Additional margin posted for commodity contracts</w:t>
            </w: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subject to rate recovery</w:t>
            </w:r>
          </w:p>
        </w:tc>
        <w:tc>
          <w:tcPr>
            <w:tcW w:w="8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7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r>
      <w:tr>
        <w:trPr>
          <w:trHeight w:val="189"/>
        </w:trPr>
        <w:tc>
          <w:tcPr>
            <w:tcW w:w="50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w:t>
            </w:r>
          </w:p>
        </w:tc>
        <w:tc>
          <w:tcPr>
            <w:tcW w:w="8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7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   $</w:t>
            </w:r>
          </w:p>
        </w:tc>
        <w:tc>
          <w:tcPr>
            <w:tcW w:w="158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   $</w:t>
            </w: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r>
      <w:tr>
        <w:trPr>
          <w:trHeight w:val="21"/>
        </w:trPr>
        <w:tc>
          <w:tcPr>
            <w:tcW w:w="50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ind w:left="520" w:hanging="343"/>
        <w:spacing w:after="0"/>
        <w:tabs>
          <w:tab w:leader="none" w:pos="52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Assets: Other for SoCalGas.</w:t>
      </w:r>
    </w:p>
    <w:p>
      <w:pPr>
        <w:spacing w:after="0" w:line="55" w:lineRule="exact"/>
        <w:rPr>
          <w:rFonts w:ascii="Arial" w:cs="Arial" w:eastAsia="Arial" w:hAnsi="Arial"/>
          <w:sz w:val="14"/>
          <w:szCs w:val="14"/>
          <w:i w:val="1"/>
          <w:iCs w:val="1"/>
          <w:color w:val="auto"/>
        </w:rPr>
      </w:pPr>
    </w:p>
    <w:p>
      <w:pPr>
        <w:ind w:left="520" w:hanging="343"/>
        <w:spacing w:after="0"/>
        <w:tabs>
          <w:tab w:leader="none" w:pos="52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Liabilities: Other for SoCalGas.</w:t>
      </w:r>
    </w:p>
    <w:p>
      <w:pPr>
        <w:spacing w:after="0" w:line="15" w:lineRule="exact"/>
        <w:rPr>
          <w:rFonts w:ascii="Arial" w:cs="Arial" w:eastAsia="Arial" w:hAnsi="Arial"/>
          <w:sz w:val="14"/>
          <w:szCs w:val="14"/>
          <w:i w:val="1"/>
          <w:iCs w:val="1"/>
          <w:color w:val="auto"/>
        </w:rPr>
      </w:pPr>
    </w:p>
    <w:p>
      <w:pPr>
        <w:ind w:left="520" w:hanging="343"/>
        <w:spacing w:after="0"/>
        <w:tabs>
          <w:tab w:leader="none" w:pos="52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amounts relate to Otay Mesa VIE.</w:t>
      </w:r>
    </w:p>
    <w:p>
      <w:pPr>
        <w:spacing w:after="0" w:line="1" w:lineRule="exact"/>
        <w:rPr>
          <w:rFonts w:ascii="Arial" w:cs="Arial" w:eastAsia="Arial" w:hAnsi="Arial"/>
          <w:sz w:val="14"/>
          <w:szCs w:val="14"/>
          <w:i w:val="1"/>
          <w:iCs w:val="1"/>
          <w:color w:val="auto"/>
        </w:rPr>
      </w:pPr>
    </w:p>
    <w:p>
      <w:pPr>
        <w:ind w:left="520" w:hanging="343"/>
        <w:spacing w:after="0"/>
        <w:tabs>
          <w:tab w:leader="none" w:pos="52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Includes cash collateral not offset related to a negligible amount of commodity contracts not subject to rate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640"/>
        <w:spacing w:after="0" w:line="261" w:lineRule="auto"/>
        <w:rPr>
          <w:sz w:val="20"/>
          <w:szCs w:val="20"/>
          <w:color w:val="auto"/>
        </w:rPr>
      </w:pPr>
      <w:r>
        <w:rPr>
          <w:rFonts w:ascii="Arial" w:cs="Arial" w:eastAsia="Arial" w:hAnsi="Arial"/>
          <w:sz w:val="16"/>
          <w:szCs w:val="16"/>
          <w:b w:val="1"/>
          <w:bCs w:val="1"/>
          <w:color w:val="auto"/>
        </w:rPr>
        <w:t xml:space="preserve">DERIVATIVE INSTRUMENTS ON THE CONDENSED CONSOLIDATED BALANCE SHEETS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2228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50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3"/>
          </w:tcPr>
          <w:p>
            <w:pPr>
              <w:jc w:val="right"/>
              <w:ind w:right="941"/>
              <w:spacing w:after="0" w:line="158" w:lineRule="exact"/>
              <w:rPr>
                <w:sz w:val="20"/>
                <w:szCs w:val="20"/>
                <w:color w:val="auto"/>
              </w:rPr>
            </w:pPr>
            <w:r>
              <w:rPr>
                <w:rFonts w:ascii="Arial" w:cs="Arial" w:eastAsia="Arial" w:hAnsi="Arial"/>
                <w:sz w:val="14"/>
                <w:szCs w:val="14"/>
                <w:color w:val="auto"/>
              </w:rPr>
              <w:t>December 31, 2012</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231"/>
        </w:trPr>
        <w:tc>
          <w:tcPr>
            <w:tcW w:w="5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center"/>
              <w:ind w:right="61"/>
              <w:spacing w:after="0"/>
              <w:rPr>
                <w:sz w:val="20"/>
                <w:szCs w:val="20"/>
                <w:color w:val="auto"/>
              </w:rPr>
            </w:pPr>
            <w:r>
              <w:rPr>
                <w:rFonts w:ascii="Arial" w:cs="Arial" w:eastAsia="Arial" w:hAnsi="Arial"/>
                <w:sz w:val="14"/>
                <w:szCs w:val="14"/>
                <w:color w:val="auto"/>
              </w:rPr>
              <w:t>Deferred</w:t>
            </w:r>
          </w:p>
        </w:tc>
      </w:tr>
      <w:tr>
        <w:trPr>
          <w:trHeight w:val="216"/>
        </w:trPr>
        <w:tc>
          <w:tcPr>
            <w:tcW w:w="5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center"/>
              <w:ind w:right="81"/>
              <w:spacing w:after="0"/>
              <w:rPr>
                <w:sz w:val="20"/>
                <w:szCs w:val="20"/>
                <w:color w:val="auto"/>
              </w:rPr>
            </w:pPr>
            <w:r>
              <w:rPr>
                <w:rFonts w:ascii="Arial" w:cs="Arial" w:eastAsia="Arial" w:hAnsi="Arial"/>
                <w:sz w:val="14"/>
                <w:szCs w:val="14"/>
                <w:color w:val="auto"/>
              </w:rPr>
              <w:t>credits</w:t>
            </w:r>
          </w:p>
        </w:tc>
      </w:tr>
      <w:tr>
        <w:trPr>
          <w:trHeight w:val="216"/>
        </w:trPr>
        <w:tc>
          <w:tcPr>
            <w:tcW w:w="5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center"/>
              <w:ind w:right="101"/>
              <w:spacing w:after="0"/>
              <w:rPr>
                <w:sz w:val="20"/>
                <w:szCs w:val="20"/>
                <w:color w:val="auto"/>
              </w:rPr>
            </w:pPr>
            <w:r>
              <w:rPr>
                <w:rFonts w:ascii="Arial" w:cs="Arial" w:eastAsia="Arial" w:hAnsi="Arial"/>
                <w:sz w:val="14"/>
                <w:szCs w:val="14"/>
                <w:color w:val="auto"/>
              </w:rPr>
              <w:t>Current</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center"/>
              <w:ind w:right="101"/>
              <w:spacing w:after="0"/>
              <w:rPr>
                <w:sz w:val="20"/>
                <w:szCs w:val="20"/>
                <w:color w:val="auto"/>
              </w:rPr>
            </w:pPr>
            <w:r>
              <w:rPr>
                <w:rFonts w:ascii="Arial" w:cs="Arial" w:eastAsia="Arial" w:hAnsi="Arial"/>
                <w:sz w:val="14"/>
                <w:szCs w:val="14"/>
                <w:color w:val="auto"/>
              </w:rPr>
              <w:t>Current</w:t>
            </w:r>
          </w:p>
        </w:tc>
        <w:tc>
          <w:tcPr>
            <w:tcW w:w="340" w:type="dxa"/>
            <w:vAlign w:val="bottom"/>
          </w:tcPr>
          <w:p>
            <w:pPr>
              <w:spacing w:after="0"/>
              <w:rPr>
                <w:sz w:val="18"/>
                <w:szCs w:val="18"/>
                <w:color w:val="auto"/>
              </w:rPr>
            </w:pPr>
          </w:p>
        </w:tc>
        <w:tc>
          <w:tcPr>
            <w:tcW w:w="1180" w:type="dxa"/>
            <w:vAlign w:val="bottom"/>
          </w:tcPr>
          <w:p>
            <w:pPr>
              <w:jc w:val="center"/>
              <w:ind w:right="81"/>
              <w:spacing w:after="0"/>
              <w:rPr>
                <w:sz w:val="20"/>
                <w:szCs w:val="20"/>
                <w:color w:val="auto"/>
              </w:rPr>
            </w:pPr>
            <w:r>
              <w:rPr>
                <w:rFonts w:ascii="Arial" w:cs="Arial" w:eastAsia="Arial" w:hAnsi="Arial"/>
                <w:sz w:val="14"/>
                <w:szCs w:val="14"/>
                <w:color w:val="auto"/>
              </w:rPr>
              <w:t>and other</w:t>
            </w:r>
          </w:p>
        </w:tc>
      </w:tr>
      <w:tr>
        <w:trPr>
          <w:trHeight w:val="216"/>
        </w:trPr>
        <w:tc>
          <w:tcPr>
            <w:tcW w:w="5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center"/>
              <w:ind w:right="121"/>
              <w:spacing w:after="0"/>
              <w:rPr>
                <w:sz w:val="20"/>
                <w:szCs w:val="20"/>
                <w:color w:val="auto"/>
              </w:rPr>
            </w:pPr>
            <w:r>
              <w:rPr>
                <w:rFonts w:ascii="Arial" w:cs="Arial" w:eastAsia="Arial" w:hAnsi="Arial"/>
                <w:sz w:val="14"/>
                <w:szCs w:val="14"/>
                <w:color w:val="auto"/>
              </w:rPr>
              <w:t>assets:</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center"/>
              <w:ind w:right="101"/>
              <w:spacing w:after="0"/>
              <w:rPr>
                <w:sz w:val="20"/>
                <w:szCs w:val="20"/>
                <w:color w:val="auto"/>
              </w:rPr>
            </w:pPr>
            <w:r>
              <w:rPr>
                <w:rFonts w:ascii="Arial" w:cs="Arial" w:eastAsia="Arial" w:hAnsi="Arial"/>
                <w:sz w:val="14"/>
                <w:szCs w:val="14"/>
                <w:color w:val="auto"/>
              </w:rPr>
              <w:t>liabilities:</w:t>
            </w:r>
          </w:p>
        </w:tc>
        <w:tc>
          <w:tcPr>
            <w:tcW w:w="340" w:type="dxa"/>
            <w:vAlign w:val="bottom"/>
          </w:tcPr>
          <w:p>
            <w:pPr>
              <w:spacing w:after="0"/>
              <w:rPr>
                <w:sz w:val="18"/>
                <w:szCs w:val="18"/>
                <w:color w:val="auto"/>
              </w:rPr>
            </w:pPr>
          </w:p>
        </w:tc>
        <w:tc>
          <w:tcPr>
            <w:tcW w:w="1180" w:type="dxa"/>
            <w:vAlign w:val="bottom"/>
          </w:tcPr>
          <w:p>
            <w:pPr>
              <w:jc w:val="center"/>
              <w:ind w:right="81"/>
              <w:spacing w:after="0"/>
              <w:rPr>
                <w:sz w:val="20"/>
                <w:szCs w:val="20"/>
                <w:color w:val="auto"/>
              </w:rPr>
            </w:pPr>
            <w:r>
              <w:rPr>
                <w:rFonts w:ascii="Arial" w:cs="Arial" w:eastAsia="Arial" w:hAnsi="Arial"/>
                <w:sz w:val="14"/>
                <w:szCs w:val="14"/>
                <w:color w:val="auto"/>
              </w:rPr>
              <w:t>liabilities:</w:t>
            </w:r>
          </w:p>
        </w:tc>
      </w:tr>
      <w:tr>
        <w:trPr>
          <w:trHeight w:val="216"/>
        </w:trPr>
        <w:tc>
          <w:tcPr>
            <w:tcW w:w="5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center"/>
              <w:ind w:right="121"/>
              <w:spacing w:after="0"/>
              <w:rPr>
                <w:sz w:val="20"/>
                <w:szCs w:val="20"/>
                <w:color w:val="auto"/>
              </w:rPr>
            </w:pPr>
            <w:r>
              <w:rPr>
                <w:rFonts w:ascii="Arial" w:cs="Arial" w:eastAsia="Arial" w:hAnsi="Arial"/>
                <w:sz w:val="14"/>
                <w:szCs w:val="14"/>
                <w:color w:val="auto"/>
              </w:rPr>
              <w:t>Fixed-price</w:t>
            </w:r>
          </w:p>
        </w:tc>
        <w:tc>
          <w:tcPr>
            <w:tcW w:w="320" w:type="dxa"/>
            <w:vAlign w:val="bottom"/>
          </w:tcPr>
          <w:p>
            <w:pPr>
              <w:spacing w:after="0"/>
              <w:rPr>
                <w:sz w:val="18"/>
                <w:szCs w:val="18"/>
                <w:color w:val="auto"/>
              </w:rPr>
            </w:pPr>
          </w:p>
        </w:tc>
        <w:tc>
          <w:tcPr>
            <w:tcW w:w="1280" w:type="dxa"/>
            <w:vAlign w:val="bottom"/>
          </w:tcPr>
          <w:p>
            <w:pPr>
              <w:jc w:val="center"/>
              <w:ind w:right="140"/>
              <w:spacing w:after="0"/>
              <w:rPr>
                <w:sz w:val="20"/>
                <w:szCs w:val="20"/>
                <w:color w:val="auto"/>
              </w:rPr>
            </w:pPr>
            <w:r>
              <w:rPr>
                <w:rFonts w:ascii="Arial" w:cs="Arial" w:eastAsia="Arial" w:hAnsi="Arial"/>
                <w:sz w:val="14"/>
                <w:szCs w:val="14"/>
                <w:color w:val="auto"/>
              </w:rPr>
              <w:t>Investments</w:t>
            </w:r>
          </w:p>
        </w:tc>
        <w:tc>
          <w:tcPr>
            <w:tcW w:w="280" w:type="dxa"/>
            <w:vAlign w:val="bottom"/>
          </w:tcPr>
          <w:p>
            <w:pPr>
              <w:spacing w:after="0"/>
              <w:rPr>
                <w:sz w:val="18"/>
                <w:szCs w:val="18"/>
                <w:color w:val="auto"/>
              </w:rPr>
            </w:pPr>
          </w:p>
        </w:tc>
        <w:tc>
          <w:tcPr>
            <w:tcW w:w="1300" w:type="dxa"/>
            <w:vAlign w:val="bottom"/>
          </w:tcPr>
          <w:p>
            <w:pPr>
              <w:jc w:val="center"/>
              <w:ind w:right="101"/>
              <w:spacing w:after="0"/>
              <w:rPr>
                <w:sz w:val="20"/>
                <w:szCs w:val="20"/>
                <w:color w:val="auto"/>
              </w:rPr>
            </w:pPr>
            <w:r>
              <w:rPr>
                <w:rFonts w:ascii="Arial" w:cs="Arial" w:eastAsia="Arial" w:hAnsi="Arial"/>
                <w:sz w:val="14"/>
                <w:szCs w:val="14"/>
                <w:color w:val="auto"/>
              </w:rPr>
              <w:t>Fixed-price</w:t>
            </w:r>
          </w:p>
        </w:tc>
        <w:tc>
          <w:tcPr>
            <w:tcW w:w="340" w:type="dxa"/>
            <w:vAlign w:val="bottom"/>
          </w:tcPr>
          <w:p>
            <w:pPr>
              <w:spacing w:after="0"/>
              <w:rPr>
                <w:sz w:val="18"/>
                <w:szCs w:val="18"/>
                <w:color w:val="auto"/>
              </w:rPr>
            </w:pPr>
          </w:p>
        </w:tc>
        <w:tc>
          <w:tcPr>
            <w:tcW w:w="1180" w:type="dxa"/>
            <w:vAlign w:val="bottom"/>
          </w:tcPr>
          <w:p>
            <w:pPr>
              <w:jc w:val="center"/>
              <w:ind w:right="81"/>
              <w:spacing w:after="0"/>
              <w:rPr>
                <w:sz w:val="20"/>
                <w:szCs w:val="20"/>
                <w:color w:val="auto"/>
              </w:rPr>
            </w:pPr>
            <w:r>
              <w:rPr>
                <w:rFonts w:ascii="Arial" w:cs="Arial" w:eastAsia="Arial" w:hAnsi="Arial"/>
                <w:sz w:val="14"/>
                <w:szCs w:val="14"/>
                <w:color w:val="auto"/>
              </w:rPr>
              <w:t>Fixed-price</w:t>
            </w:r>
          </w:p>
        </w:tc>
      </w:tr>
      <w:tr>
        <w:trPr>
          <w:trHeight w:val="216"/>
        </w:trPr>
        <w:tc>
          <w:tcPr>
            <w:tcW w:w="5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center"/>
              <w:ind w:right="121"/>
              <w:spacing w:after="0"/>
              <w:rPr>
                <w:sz w:val="20"/>
                <w:szCs w:val="20"/>
                <w:color w:val="auto"/>
              </w:rPr>
            </w:pPr>
            <w:r>
              <w:rPr>
                <w:rFonts w:ascii="Arial" w:cs="Arial" w:eastAsia="Arial" w:hAnsi="Arial"/>
                <w:sz w:val="14"/>
                <w:szCs w:val="14"/>
                <w:color w:val="auto"/>
              </w:rPr>
              <w:t>contracts</w:t>
            </w:r>
          </w:p>
        </w:tc>
        <w:tc>
          <w:tcPr>
            <w:tcW w:w="320" w:type="dxa"/>
            <w:vAlign w:val="bottom"/>
          </w:tcPr>
          <w:p>
            <w:pPr>
              <w:spacing w:after="0"/>
              <w:rPr>
                <w:sz w:val="18"/>
                <w:szCs w:val="18"/>
                <w:color w:val="auto"/>
              </w:rPr>
            </w:pPr>
          </w:p>
        </w:tc>
        <w:tc>
          <w:tcPr>
            <w:tcW w:w="1280" w:type="dxa"/>
            <w:vAlign w:val="bottom"/>
          </w:tcPr>
          <w:p>
            <w:pPr>
              <w:jc w:val="center"/>
              <w:ind w:right="160"/>
              <w:spacing w:after="0"/>
              <w:rPr>
                <w:sz w:val="20"/>
                <w:szCs w:val="20"/>
                <w:color w:val="auto"/>
              </w:rPr>
            </w:pPr>
            <w:r>
              <w:rPr>
                <w:rFonts w:ascii="Arial" w:cs="Arial" w:eastAsia="Arial" w:hAnsi="Arial"/>
                <w:sz w:val="14"/>
                <w:szCs w:val="14"/>
                <w:color w:val="auto"/>
              </w:rPr>
              <w:t>and other</w:t>
            </w:r>
          </w:p>
        </w:tc>
        <w:tc>
          <w:tcPr>
            <w:tcW w:w="280" w:type="dxa"/>
            <w:vAlign w:val="bottom"/>
          </w:tcPr>
          <w:p>
            <w:pPr>
              <w:spacing w:after="0"/>
              <w:rPr>
                <w:sz w:val="18"/>
                <w:szCs w:val="18"/>
                <w:color w:val="auto"/>
              </w:rPr>
            </w:pPr>
          </w:p>
        </w:tc>
        <w:tc>
          <w:tcPr>
            <w:tcW w:w="1300" w:type="dxa"/>
            <w:vAlign w:val="bottom"/>
          </w:tcPr>
          <w:p>
            <w:pPr>
              <w:jc w:val="center"/>
              <w:ind w:right="121"/>
              <w:spacing w:after="0"/>
              <w:rPr>
                <w:sz w:val="20"/>
                <w:szCs w:val="20"/>
                <w:color w:val="auto"/>
              </w:rPr>
            </w:pPr>
            <w:r>
              <w:rPr>
                <w:rFonts w:ascii="Arial" w:cs="Arial" w:eastAsia="Arial" w:hAnsi="Arial"/>
                <w:sz w:val="14"/>
                <w:szCs w:val="14"/>
                <w:color w:val="auto"/>
              </w:rPr>
              <w:t>contracts</w:t>
            </w:r>
          </w:p>
        </w:tc>
        <w:tc>
          <w:tcPr>
            <w:tcW w:w="340" w:type="dxa"/>
            <w:vAlign w:val="bottom"/>
          </w:tcPr>
          <w:p>
            <w:pPr>
              <w:spacing w:after="0"/>
              <w:rPr>
                <w:sz w:val="18"/>
                <w:szCs w:val="18"/>
                <w:color w:val="auto"/>
              </w:rPr>
            </w:pPr>
          </w:p>
        </w:tc>
        <w:tc>
          <w:tcPr>
            <w:tcW w:w="1180" w:type="dxa"/>
            <w:vAlign w:val="bottom"/>
          </w:tcPr>
          <w:p>
            <w:pPr>
              <w:jc w:val="center"/>
              <w:ind w:right="81"/>
              <w:spacing w:after="0"/>
              <w:rPr>
                <w:sz w:val="20"/>
                <w:szCs w:val="20"/>
                <w:color w:val="auto"/>
              </w:rPr>
            </w:pPr>
            <w:r>
              <w:rPr>
                <w:rFonts w:ascii="Arial" w:cs="Arial" w:eastAsia="Arial" w:hAnsi="Arial"/>
                <w:sz w:val="14"/>
                <w:szCs w:val="14"/>
                <w:color w:val="auto"/>
              </w:rPr>
              <w:t>contracts</w:t>
            </w:r>
          </w:p>
        </w:tc>
      </w:tr>
      <w:tr>
        <w:trPr>
          <w:trHeight w:val="216"/>
        </w:trPr>
        <w:tc>
          <w:tcPr>
            <w:tcW w:w="5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center"/>
              <w:ind w:right="121"/>
              <w:spacing w:after="0"/>
              <w:rPr>
                <w:sz w:val="20"/>
                <w:szCs w:val="20"/>
                <w:color w:val="auto"/>
              </w:rPr>
            </w:pPr>
            <w:r>
              <w:rPr>
                <w:rFonts w:ascii="Arial" w:cs="Arial" w:eastAsia="Arial" w:hAnsi="Arial"/>
                <w:sz w:val="14"/>
                <w:szCs w:val="14"/>
                <w:color w:val="auto"/>
              </w:rPr>
              <w:t>and other</w:t>
            </w:r>
          </w:p>
        </w:tc>
        <w:tc>
          <w:tcPr>
            <w:tcW w:w="320" w:type="dxa"/>
            <w:vAlign w:val="bottom"/>
          </w:tcPr>
          <w:p>
            <w:pPr>
              <w:spacing w:after="0"/>
              <w:rPr>
                <w:sz w:val="18"/>
                <w:szCs w:val="18"/>
                <w:color w:val="auto"/>
              </w:rPr>
            </w:pPr>
          </w:p>
        </w:tc>
        <w:tc>
          <w:tcPr>
            <w:tcW w:w="1280" w:type="dxa"/>
            <w:vAlign w:val="bottom"/>
          </w:tcPr>
          <w:p>
            <w:pPr>
              <w:jc w:val="center"/>
              <w:ind w:right="140"/>
              <w:spacing w:after="0"/>
              <w:rPr>
                <w:sz w:val="20"/>
                <w:szCs w:val="20"/>
                <w:color w:val="auto"/>
              </w:rPr>
            </w:pPr>
            <w:r>
              <w:rPr>
                <w:rFonts w:ascii="Arial" w:cs="Arial" w:eastAsia="Arial" w:hAnsi="Arial"/>
                <w:sz w:val="14"/>
                <w:szCs w:val="14"/>
                <w:color w:val="auto"/>
              </w:rPr>
              <w:t>assets:</w:t>
            </w:r>
          </w:p>
        </w:tc>
        <w:tc>
          <w:tcPr>
            <w:tcW w:w="280" w:type="dxa"/>
            <w:vAlign w:val="bottom"/>
          </w:tcPr>
          <w:p>
            <w:pPr>
              <w:spacing w:after="0"/>
              <w:rPr>
                <w:sz w:val="18"/>
                <w:szCs w:val="18"/>
                <w:color w:val="auto"/>
              </w:rPr>
            </w:pPr>
          </w:p>
        </w:tc>
        <w:tc>
          <w:tcPr>
            <w:tcW w:w="1300" w:type="dxa"/>
            <w:vAlign w:val="bottom"/>
          </w:tcPr>
          <w:p>
            <w:pPr>
              <w:jc w:val="center"/>
              <w:ind w:right="101"/>
              <w:spacing w:after="0"/>
              <w:rPr>
                <w:sz w:val="20"/>
                <w:szCs w:val="20"/>
                <w:color w:val="auto"/>
              </w:rPr>
            </w:pPr>
            <w:r>
              <w:rPr>
                <w:rFonts w:ascii="Arial" w:cs="Arial" w:eastAsia="Arial" w:hAnsi="Arial"/>
                <w:sz w:val="14"/>
                <w:szCs w:val="14"/>
                <w:color w:val="auto"/>
              </w:rPr>
              <w:t>and other</w:t>
            </w:r>
          </w:p>
        </w:tc>
        <w:tc>
          <w:tcPr>
            <w:tcW w:w="340" w:type="dxa"/>
            <w:vAlign w:val="bottom"/>
          </w:tcPr>
          <w:p>
            <w:pPr>
              <w:spacing w:after="0"/>
              <w:rPr>
                <w:sz w:val="18"/>
                <w:szCs w:val="18"/>
                <w:color w:val="auto"/>
              </w:rPr>
            </w:pPr>
          </w:p>
        </w:tc>
        <w:tc>
          <w:tcPr>
            <w:tcW w:w="1180" w:type="dxa"/>
            <w:vAlign w:val="bottom"/>
          </w:tcPr>
          <w:p>
            <w:pPr>
              <w:jc w:val="center"/>
              <w:ind w:right="81"/>
              <w:spacing w:after="0"/>
              <w:rPr>
                <w:sz w:val="20"/>
                <w:szCs w:val="20"/>
                <w:color w:val="auto"/>
              </w:rPr>
            </w:pPr>
            <w:r>
              <w:rPr>
                <w:rFonts w:ascii="Arial" w:cs="Arial" w:eastAsia="Arial" w:hAnsi="Arial"/>
                <w:sz w:val="14"/>
                <w:szCs w:val="14"/>
                <w:color w:val="auto"/>
              </w:rPr>
              <w:t>and other</w:t>
            </w:r>
          </w:p>
        </w:tc>
      </w:tr>
      <w:tr>
        <w:trPr>
          <w:trHeight w:val="208"/>
        </w:trPr>
        <w:tc>
          <w:tcPr>
            <w:tcW w:w="50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rPr>
              <w:t>derivatives(1)</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color w:val="auto"/>
              </w:rPr>
              <w:t>Sundry</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rPr>
              <w:t>derivatives(2)</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derivatives</w:t>
            </w:r>
          </w:p>
        </w:tc>
      </w:tr>
      <w:tr>
        <w:trPr>
          <w:trHeight w:val="224"/>
        </w:trPr>
        <w:tc>
          <w:tcPr>
            <w:tcW w:w="506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0"/>
        </w:trPr>
        <w:tc>
          <w:tcPr>
            <w:tcW w:w="5060" w:type="dxa"/>
            <w:vAlign w:val="bottom"/>
          </w:tcPr>
          <w:p>
            <w:pPr>
              <w:spacing w:after="0"/>
              <w:rPr>
                <w:sz w:val="20"/>
                <w:szCs w:val="20"/>
                <w:color w:val="auto"/>
              </w:rPr>
            </w:pPr>
            <w:r>
              <w:rPr>
                <w:rFonts w:ascii="Arial" w:cs="Arial" w:eastAsia="Arial" w:hAnsi="Arial"/>
                <w:sz w:val="16"/>
                <w:szCs w:val="16"/>
                <w:color w:val="auto"/>
              </w:rPr>
              <w:t>Derivatives designated as hedging instruments: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95"/>
        </w:trPr>
        <w:tc>
          <w:tcPr>
            <w:tcW w:w="5060" w:type="dxa"/>
            <w:vAlign w:val="bottom"/>
          </w:tcPr>
          <w:p>
            <w:pPr>
              <w:ind w:left="180"/>
              <w:spacing w:after="0"/>
              <w:rPr>
                <w:sz w:val="20"/>
                <w:szCs w:val="20"/>
                <w:color w:val="auto"/>
              </w:rPr>
            </w:pPr>
            <w:r>
              <w:rPr>
                <w:rFonts w:ascii="Arial" w:cs="Arial" w:eastAsia="Arial" w:hAnsi="Arial"/>
                <w:sz w:val="16"/>
                <w:szCs w:val="16"/>
                <w:color w:val="auto"/>
              </w:rPr>
              <w:t>Interest rate instruments(3)</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12</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Commodity contracts not subject to rate recovery</w:t>
            </w:r>
          </w:p>
        </w:tc>
        <w:tc>
          <w:tcPr>
            <w:tcW w:w="36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060" w:type="dxa"/>
            <w:vAlign w:val="bottom"/>
          </w:tcPr>
          <w:p>
            <w:pPr>
              <w:spacing w:after="0"/>
              <w:rPr>
                <w:sz w:val="20"/>
                <w:szCs w:val="20"/>
                <w:color w:val="auto"/>
              </w:rPr>
            </w:pPr>
            <w:r>
              <w:rPr>
                <w:rFonts w:ascii="Arial" w:cs="Arial" w:eastAsia="Arial" w:hAnsi="Arial"/>
                <w:sz w:val="16"/>
                <w:szCs w:val="16"/>
                <w:color w:val="auto"/>
              </w:rPr>
              <w:t>Derivatives not designated as hedging instruments: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36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320" w:type="dxa"/>
            <w:vAlign w:val="bottom"/>
          </w:tcPr>
          <w:p>
            <w:pPr>
              <w:spacing w:after="0"/>
              <w:rPr>
                <w:sz w:val="18"/>
                <w:szCs w:val="18"/>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40</w:t>
            </w:r>
          </w:p>
        </w:tc>
        <w:tc>
          <w:tcPr>
            <w:tcW w:w="28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Commodity contracts not subject to rate recovery:</w:t>
            </w:r>
          </w:p>
        </w:tc>
        <w:tc>
          <w:tcPr>
            <w:tcW w:w="36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117</w:t>
            </w:r>
          </w:p>
        </w:tc>
        <w:tc>
          <w:tcPr>
            <w:tcW w:w="320" w:type="dxa"/>
            <w:vAlign w:val="bottom"/>
          </w:tcPr>
          <w:p>
            <w:pPr>
              <w:spacing w:after="0"/>
              <w:rPr>
                <w:sz w:val="18"/>
                <w:szCs w:val="18"/>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(116)</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(102)</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w:t>
            </w:r>
          </w:p>
        </w:tc>
        <w:tc>
          <w:tcPr>
            <w:tcW w:w="28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102</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cash collateral</w:t>
            </w:r>
          </w:p>
        </w:tc>
        <w:tc>
          <w:tcPr>
            <w:tcW w:w="36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30</w:t>
            </w:r>
          </w:p>
        </w:tc>
        <w:tc>
          <w:tcPr>
            <w:tcW w:w="320" w:type="dxa"/>
            <w:vAlign w:val="bottom"/>
          </w:tcPr>
          <w:p>
            <w:pPr>
              <w:spacing w:after="0"/>
              <w:rPr>
                <w:sz w:val="18"/>
                <w:szCs w:val="18"/>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35</w:t>
            </w:r>
          </w:p>
        </w:tc>
        <w:tc>
          <w:tcPr>
            <w:tcW w:w="28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(35)</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320" w:type="dxa"/>
            <w:vAlign w:val="bottom"/>
          </w:tcPr>
          <w:p>
            <w:pPr>
              <w:spacing w:after="0"/>
              <w:rPr>
                <w:sz w:val="18"/>
                <w:szCs w:val="18"/>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cash collateral</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22</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24"/>
        </w:trPr>
        <w:tc>
          <w:tcPr>
            <w:tcW w:w="5060" w:type="dxa"/>
            <w:vAlign w:val="bottom"/>
          </w:tcPr>
          <w:p>
            <w:pPr>
              <w:ind w:left="180"/>
              <w:spacing w:after="0"/>
              <w:rPr>
                <w:sz w:val="20"/>
                <w:szCs w:val="20"/>
                <w:color w:val="auto"/>
              </w:rPr>
            </w:pPr>
            <w:r>
              <w:rPr>
                <w:rFonts w:ascii="Arial" w:cs="Arial" w:eastAsia="Arial" w:hAnsi="Arial"/>
                <w:sz w:val="16"/>
                <w:szCs w:val="16"/>
                <w:color w:val="auto"/>
              </w:rPr>
              <w:t>Net amounts presented on the balance sheet</w:t>
            </w:r>
          </w:p>
        </w:tc>
        <w:tc>
          <w:tcPr>
            <w:tcW w:w="360" w:type="dxa"/>
            <w:vAlign w:val="bottom"/>
          </w:tcPr>
          <w:p>
            <w:pPr>
              <w:spacing w:after="0"/>
              <w:rPr>
                <w:sz w:val="19"/>
                <w:szCs w:val="19"/>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57</w:t>
            </w:r>
          </w:p>
        </w:tc>
        <w:tc>
          <w:tcPr>
            <w:tcW w:w="320" w:type="dxa"/>
            <w:vAlign w:val="bottom"/>
          </w:tcPr>
          <w:p>
            <w:pPr>
              <w:spacing w:after="0"/>
              <w:rPr>
                <w:sz w:val="19"/>
                <w:szCs w:val="19"/>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90</w:t>
            </w:r>
          </w:p>
        </w:tc>
        <w:tc>
          <w:tcPr>
            <w:tcW w:w="280" w:type="dxa"/>
            <w:vAlign w:val="bottom"/>
          </w:tcPr>
          <w:p>
            <w:pPr>
              <w:spacing w:after="0"/>
              <w:rPr>
                <w:sz w:val="19"/>
                <w:szCs w:val="19"/>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(46)</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Additional margin posted for commodity contracts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not subject to rate recovery</w:t>
            </w:r>
          </w:p>
        </w:tc>
        <w:tc>
          <w:tcPr>
            <w:tcW w:w="36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22</w:t>
            </w:r>
          </w:p>
        </w:tc>
        <w:tc>
          <w:tcPr>
            <w:tcW w:w="320" w:type="dxa"/>
            <w:vAlign w:val="bottom"/>
          </w:tcPr>
          <w:p>
            <w:pPr>
              <w:spacing w:after="0"/>
              <w:rPr>
                <w:sz w:val="18"/>
                <w:szCs w:val="18"/>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Additional margin posted for commodity contracts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subject to rate recovery</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0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90</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r>
      <w:tr>
        <w:trPr>
          <w:trHeight w:val="21"/>
        </w:trPr>
        <w:tc>
          <w:tcPr>
            <w:tcW w:w="5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7"/>
        </w:trPr>
        <w:tc>
          <w:tcPr>
            <w:tcW w:w="506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5060" w:type="dxa"/>
            <w:vAlign w:val="bottom"/>
          </w:tcPr>
          <w:p>
            <w:pPr>
              <w:spacing w:after="0"/>
              <w:rPr>
                <w:sz w:val="20"/>
                <w:szCs w:val="20"/>
                <w:color w:val="auto"/>
              </w:rPr>
            </w:pPr>
            <w:r>
              <w:rPr>
                <w:rFonts w:ascii="Arial" w:cs="Arial" w:eastAsia="Arial" w:hAnsi="Arial"/>
                <w:sz w:val="16"/>
                <w:szCs w:val="16"/>
                <w:color w:val="auto"/>
              </w:rPr>
              <w:t>Derivatives designated as hedging instruments: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95"/>
        </w:trPr>
        <w:tc>
          <w:tcPr>
            <w:tcW w:w="5060" w:type="dxa"/>
            <w:vAlign w:val="bottom"/>
          </w:tcPr>
          <w:p>
            <w:pPr>
              <w:ind w:left="180"/>
              <w:spacing w:after="0"/>
              <w:rPr>
                <w:sz w:val="20"/>
                <w:szCs w:val="20"/>
                <w:color w:val="auto"/>
              </w:rPr>
            </w:pPr>
            <w:r>
              <w:rPr>
                <w:rFonts w:ascii="Arial" w:cs="Arial" w:eastAsia="Arial" w:hAnsi="Arial"/>
                <w:sz w:val="16"/>
                <w:szCs w:val="16"/>
                <w:color w:val="auto"/>
              </w:rPr>
              <w:t>Interest rate instruments(3)</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16"/>
        </w:trPr>
        <w:tc>
          <w:tcPr>
            <w:tcW w:w="5060" w:type="dxa"/>
            <w:vAlign w:val="bottom"/>
          </w:tcPr>
          <w:p>
            <w:pPr>
              <w:spacing w:after="0"/>
              <w:rPr>
                <w:sz w:val="20"/>
                <w:szCs w:val="20"/>
                <w:color w:val="auto"/>
              </w:rPr>
            </w:pPr>
            <w:r>
              <w:rPr>
                <w:rFonts w:ascii="Arial" w:cs="Arial" w:eastAsia="Arial" w:hAnsi="Arial"/>
                <w:sz w:val="16"/>
                <w:szCs w:val="16"/>
                <w:color w:val="auto"/>
              </w:rPr>
              <w:t>Derivatives not designated as hedging instruments: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28</w:t>
            </w:r>
          </w:p>
        </w:tc>
        <w:tc>
          <w:tcPr>
            <w:tcW w:w="320" w:type="dxa"/>
            <w:vAlign w:val="bottom"/>
          </w:tcPr>
          <w:p>
            <w:pPr>
              <w:spacing w:after="0"/>
              <w:rPr>
                <w:sz w:val="18"/>
                <w:szCs w:val="18"/>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35</w:t>
            </w:r>
          </w:p>
        </w:tc>
        <w:tc>
          <w:tcPr>
            <w:tcW w:w="28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(33)</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8"/>
                <w:szCs w:val="18"/>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cash collateral</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22</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24"/>
        </w:trPr>
        <w:tc>
          <w:tcPr>
            <w:tcW w:w="5060" w:type="dxa"/>
            <w:vAlign w:val="bottom"/>
          </w:tcPr>
          <w:p>
            <w:pPr>
              <w:ind w:left="180"/>
              <w:spacing w:after="0"/>
              <w:rPr>
                <w:sz w:val="20"/>
                <w:szCs w:val="20"/>
                <w:color w:val="auto"/>
              </w:rPr>
            </w:pPr>
            <w:r>
              <w:rPr>
                <w:rFonts w:ascii="Arial" w:cs="Arial" w:eastAsia="Arial" w:hAnsi="Arial"/>
                <w:sz w:val="16"/>
                <w:szCs w:val="16"/>
                <w:color w:val="auto"/>
              </w:rPr>
              <w:t>Net amounts presented on the balance sheet</w:t>
            </w:r>
          </w:p>
        </w:tc>
        <w:tc>
          <w:tcPr>
            <w:tcW w:w="360" w:type="dxa"/>
            <w:vAlign w:val="bottom"/>
          </w:tcPr>
          <w:p>
            <w:pPr>
              <w:spacing w:after="0"/>
              <w:rPr>
                <w:sz w:val="19"/>
                <w:szCs w:val="19"/>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25</w:t>
            </w:r>
          </w:p>
        </w:tc>
        <w:tc>
          <w:tcPr>
            <w:tcW w:w="320" w:type="dxa"/>
            <w:vAlign w:val="bottom"/>
          </w:tcPr>
          <w:p>
            <w:pPr>
              <w:spacing w:after="0"/>
              <w:rPr>
                <w:sz w:val="19"/>
                <w:szCs w:val="19"/>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35</w:t>
            </w:r>
          </w:p>
        </w:tc>
        <w:tc>
          <w:tcPr>
            <w:tcW w:w="280" w:type="dxa"/>
            <w:vAlign w:val="bottom"/>
          </w:tcPr>
          <w:p>
            <w:pPr>
              <w:spacing w:after="0"/>
              <w:rPr>
                <w:sz w:val="19"/>
                <w:szCs w:val="19"/>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(25)</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Additional margin posted for commodity contracts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not subject to rate recovery(4)</w:t>
            </w:r>
          </w:p>
        </w:tc>
        <w:tc>
          <w:tcPr>
            <w:tcW w:w="36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Additional margin posted for commodity contracts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subject to rate recovery</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0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r>
      <w:tr>
        <w:trPr>
          <w:trHeight w:val="21"/>
        </w:trPr>
        <w:tc>
          <w:tcPr>
            <w:tcW w:w="5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7"/>
        </w:trPr>
        <w:tc>
          <w:tcPr>
            <w:tcW w:w="506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5060" w:type="dxa"/>
            <w:vAlign w:val="bottom"/>
          </w:tcPr>
          <w:p>
            <w:pPr>
              <w:spacing w:after="0"/>
              <w:rPr>
                <w:sz w:val="20"/>
                <w:szCs w:val="20"/>
                <w:color w:val="auto"/>
              </w:rPr>
            </w:pPr>
            <w:r>
              <w:rPr>
                <w:rFonts w:ascii="Arial" w:cs="Arial" w:eastAsia="Arial" w:hAnsi="Arial"/>
                <w:sz w:val="16"/>
                <w:szCs w:val="16"/>
                <w:color w:val="auto"/>
              </w:rPr>
              <w:t>Derivatives not designated as hedging instruments: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95"/>
        </w:trPr>
        <w:tc>
          <w:tcPr>
            <w:tcW w:w="506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5060" w:type="dxa"/>
            <w:vAlign w:val="bottom"/>
          </w:tcPr>
          <w:p>
            <w:pPr>
              <w:ind w:left="180"/>
              <w:spacing w:after="0"/>
              <w:rPr>
                <w:sz w:val="20"/>
                <w:szCs w:val="20"/>
                <w:color w:val="auto"/>
              </w:rPr>
            </w:pPr>
            <w:r>
              <w:rPr>
                <w:rFonts w:ascii="Arial" w:cs="Arial" w:eastAsia="Arial" w:hAnsi="Arial"/>
                <w:sz w:val="16"/>
                <w:szCs w:val="16"/>
                <w:color w:val="auto"/>
              </w:rPr>
              <w:t>Net amounts presented on the balance sheet</w:t>
            </w:r>
          </w:p>
        </w:tc>
        <w:tc>
          <w:tcPr>
            <w:tcW w:w="360" w:type="dxa"/>
            <w:vAlign w:val="bottom"/>
          </w:tcPr>
          <w:p>
            <w:pPr>
              <w:spacing w:after="0"/>
              <w:rPr>
                <w:sz w:val="19"/>
                <w:szCs w:val="19"/>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9"/>
                <w:szCs w:val="19"/>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Additional margin posted for commodity contracts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not subject to rate recovery(4)</w:t>
            </w:r>
          </w:p>
        </w:tc>
        <w:tc>
          <w:tcPr>
            <w:tcW w:w="36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8"/>
                <w:szCs w:val="18"/>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Additional margin posted for commodity contracts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subject to rate recovery</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0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
        </w:trPr>
        <w:tc>
          <w:tcPr>
            <w:tcW w:w="5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ind w:left="520" w:hanging="343"/>
        <w:spacing w:after="0"/>
        <w:tabs>
          <w:tab w:leader="none" w:pos="52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Assets: Other for SoCalGas.</w:t>
      </w:r>
    </w:p>
    <w:p>
      <w:pPr>
        <w:spacing w:after="0" w:line="55" w:lineRule="exact"/>
        <w:rPr>
          <w:rFonts w:ascii="Arial" w:cs="Arial" w:eastAsia="Arial" w:hAnsi="Arial"/>
          <w:sz w:val="14"/>
          <w:szCs w:val="14"/>
          <w:i w:val="1"/>
          <w:iCs w:val="1"/>
          <w:color w:val="auto"/>
        </w:rPr>
      </w:pPr>
    </w:p>
    <w:p>
      <w:pPr>
        <w:ind w:left="520" w:hanging="343"/>
        <w:spacing w:after="0"/>
        <w:tabs>
          <w:tab w:leader="none" w:pos="52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Liabilities: Other for SoCalGas.</w:t>
      </w:r>
    </w:p>
    <w:p>
      <w:pPr>
        <w:spacing w:after="0" w:line="15" w:lineRule="exact"/>
        <w:rPr>
          <w:rFonts w:ascii="Arial" w:cs="Arial" w:eastAsia="Arial" w:hAnsi="Arial"/>
          <w:sz w:val="14"/>
          <w:szCs w:val="14"/>
          <w:i w:val="1"/>
          <w:iCs w:val="1"/>
          <w:color w:val="auto"/>
        </w:rPr>
      </w:pPr>
    </w:p>
    <w:p>
      <w:pPr>
        <w:ind w:left="520" w:hanging="343"/>
        <w:spacing w:after="0"/>
        <w:tabs>
          <w:tab w:leader="none" w:pos="52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amounts relate to Otay Mesa VIE.</w:t>
      </w:r>
    </w:p>
    <w:p>
      <w:pPr>
        <w:spacing w:after="0" w:line="1" w:lineRule="exact"/>
        <w:rPr>
          <w:rFonts w:ascii="Arial" w:cs="Arial" w:eastAsia="Arial" w:hAnsi="Arial"/>
          <w:sz w:val="14"/>
          <w:szCs w:val="14"/>
          <w:i w:val="1"/>
          <w:iCs w:val="1"/>
          <w:color w:val="auto"/>
        </w:rPr>
      </w:pPr>
    </w:p>
    <w:p>
      <w:pPr>
        <w:ind w:left="520" w:hanging="343"/>
        <w:spacing w:after="0"/>
        <w:tabs>
          <w:tab w:leader="none" w:pos="52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Includes cash collateral not offset related to a negligible amount of commodity contracts not subject to rate recovery.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effects of derivative instruments designated as hedges on the Condensed Consolidated Statements of Operations and on Other Comprehensive Income (OCI) and Accumulated Other Comprehensive Income (AOCI) for the three months ended March 31 were:</w:t>
      </w:r>
    </w:p>
    <w:p>
      <w:pPr>
        <w:sectPr>
          <w:pgSz w:w="11900" w:h="16838" w:orient="portrait"/>
          <w:cols w:equalWidth="0" w:num="1">
            <w:col w:w="11420"/>
          </w:cols>
          <w:pgMar w:left="240" w:top="141" w:right="239" w:bottom="0" w:gutter="0" w:footer="0" w:header="0"/>
        </w:sectPr>
      </w:pPr>
    </w:p>
    <w:bookmarkStart w:id="29" w:name="page30"/>
    <w:bookmarkEnd w:id="29"/>
    <w:p>
      <w:pPr>
        <w:spacing w:after="0" w:line="22" w:lineRule="exact"/>
        <w:rPr>
          <w:sz w:val="20"/>
          <w:szCs w:val="20"/>
          <w:color w:val="auto"/>
        </w:rPr>
      </w:pPr>
    </w:p>
    <w:p>
      <w:pPr>
        <w:ind w:right="3620"/>
        <w:spacing w:after="0" w:line="261" w:lineRule="auto"/>
        <w:rPr>
          <w:sz w:val="20"/>
          <w:szCs w:val="20"/>
          <w:color w:val="auto"/>
        </w:rPr>
      </w:pPr>
      <w:r>
        <w:rPr>
          <w:rFonts w:ascii="Arial" w:cs="Arial" w:eastAsia="Arial" w:hAnsi="Arial"/>
          <w:sz w:val="16"/>
          <w:szCs w:val="16"/>
          <w:b w:val="1"/>
          <w:bCs w:val="1"/>
          <w:color w:val="auto"/>
        </w:rPr>
        <w:t xml:space="preserve">FAIR VALUE HEDGE IMPACT ON THE CONDENSED CONSOLIDATED STATEMENTS OF OPERATIONS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2317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2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640" w:type="dxa"/>
            <w:vAlign w:val="bottom"/>
            <w:tcBorders>
              <w:bottom w:val="single" w:sz="8" w:color="auto"/>
            </w:tcBorders>
            <w:gridSpan w:val="3"/>
          </w:tcPr>
          <w:p>
            <w:pPr>
              <w:jc w:val="right"/>
              <w:ind w:right="1341"/>
              <w:spacing w:after="0" w:line="158" w:lineRule="exact"/>
              <w:rPr>
                <w:sz w:val="20"/>
                <w:szCs w:val="20"/>
                <w:color w:val="auto"/>
              </w:rPr>
            </w:pPr>
            <w:r>
              <w:rPr>
                <w:rFonts w:ascii="Arial" w:cs="Arial" w:eastAsia="Arial" w:hAnsi="Arial"/>
                <w:sz w:val="14"/>
                <w:szCs w:val="14"/>
                <w:color w:val="auto"/>
              </w:rPr>
              <w:t>Gain on derivatives recognized in earnings</w:t>
            </w:r>
          </w:p>
        </w:tc>
      </w:tr>
      <w:tr>
        <w:trPr>
          <w:trHeight w:val="196"/>
        </w:trPr>
        <w:tc>
          <w:tcPr>
            <w:tcW w:w="28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color w:val="auto"/>
              </w:rPr>
              <w:t>Three months ended March 31,</w:t>
            </w:r>
          </w:p>
        </w:tc>
        <w:tc>
          <w:tcPr>
            <w:tcW w:w="1680" w:type="dxa"/>
            <w:vAlign w:val="bottom"/>
            <w:tcBorders>
              <w:bottom w:val="single" w:sz="8" w:color="auto"/>
            </w:tcBorders>
          </w:tcPr>
          <w:p>
            <w:pPr>
              <w:spacing w:after="0"/>
              <w:rPr>
                <w:sz w:val="17"/>
                <w:szCs w:val="17"/>
                <w:color w:val="auto"/>
              </w:rPr>
            </w:pPr>
          </w:p>
        </w:tc>
      </w:tr>
      <w:tr>
        <w:trPr>
          <w:trHeight w:val="223"/>
        </w:trPr>
        <w:tc>
          <w:tcPr>
            <w:tcW w:w="28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tcPr>
          <w:p>
            <w:pPr>
              <w:ind w:left="1500"/>
              <w:spacing w:after="0"/>
              <w:rPr>
                <w:sz w:val="20"/>
                <w:szCs w:val="20"/>
                <w:color w:val="auto"/>
              </w:rPr>
            </w:pPr>
            <w:r>
              <w:rPr>
                <w:rFonts w:ascii="Arial" w:cs="Arial" w:eastAsia="Arial" w:hAnsi="Arial"/>
                <w:sz w:val="14"/>
                <w:szCs w:val="14"/>
                <w:color w:val="auto"/>
              </w:rPr>
              <w:t>Location</w:t>
            </w:r>
          </w:p>
        </w:tc>
        <w:tc>
          <w:tcPr>
            <w:tcW w:w="9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1423"/>
              <w:spacing w:after="0"/>
              <w:rPr>
                <w:sz w:val="20"/>
                <w:szCs w:val="20"/>
                <w:color w:val="auto"/>
              </w:rPr>
            </w:pPr>
            <w:r>
              <w:rPr>
                <w:rFonts w:ascii="Arial" w:cs="Arial" w:eastAsia="Arial" w:hAnsi="Arial"/>
                <w:sz w:val="14"/>
                <w:szCs w:val="14"/>
                <w:color w:val="auto"/>
              </w:rPr>
              <w:t>2013</w:t>
            </w:r>
          </w:p>
        </w:tc>
        <w:tc>
          <w:tcPr>
            <w:tcW w:w="8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181"/>
              <w:spacing w:after="0"/>
              <w:rPr>
                <w:sz w:val="20"/>
                <w:szCs w:val="20"/>
                <w:color w:val="auto"/>
              </w:rPr>
            </w:pPr>
            <w:r>
              <w:rPr>
                <w:rFonts w:ascii="Arial" w:cs="Arial" w:eastAsia="Arial" w:hAnsi="Arial"/>
                <w:sz w:val="14"/>
                <w:szCs w:val="14"/>
                <w:color w:val="auto"/>
              </w:rPr>
              <w:t>2012</w:t>
            </w:r>
          </w:p>
        </w:tc>
      </w:tr>
      <w:tr>
        <w:trPr>
          <w:trHeight w:val="218"/>
        </w:trPr>
        <w:tc>
          <w:tcPr>
            <w:tcW w:w="288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2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195"/>
        </w:trPr>
        <w:tc>
          <w:tcPr>
            <w:tcW w:w="288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2980" w:type="dxa"/>
            <w:vAlign w:val="bottom"/>
          </w:tcPr>
          <w:p>
            <w:pPr>
              <w:ind w:left="540"/>
              <w:spacing w:after="0"/>
              <w:rPr>
                <w:sz w:val="20"/>
                <w:szCs w:val="20"/>
                <w:color w:val="auto"/>
              </w:rPr>
            </w:pPr>
            <w:r>
              <w:rPr>
                <w:rFonts w:ascii="Arial" w:cs="Arial" w:eastAsia="Arial" w:hAnsi="Arial"/>
                <w:sz w:val="16"/>
                <w:szCs w:val="16"/>
                <w:color w:val="auto"/>
              </w:rPr>
              <w:t>Interest Expense</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2100" w:type="dxa"/>
            <w:vAlign w:val="bottom"/>
          </w:tcPr>
          <w:p>
            <w:pPr>
              <w:jc w:val="right"/>
              <w:ind w:right="223"/>
              <w:spacing w:after="0"/>
              <w:rPr>
                <w:sz w:val="20"/>
                <w:szCs w:val="20"/>
                <w:color w:val="auto"/>
              </w:rPr>
            </w:pPr>
            <w:r>
              <w:rPr>
                <w:rFonts w:ascii="Arial" w:cs="Arial" w:eastAsia="Arial" w:hAnsi="Arial"/>
                <w:sz w:val="16"/>
                <w:szCs w:val="16"/>
                <w:color w:val="auto"/>
              </w:rPr>
              <w:t>2</w:t>
            </w:r>
          </w:p>
        </w:tc>
        <w:tc>
          <w:tcPr>
            <w:tcW w:w="8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288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2980" w:type="dxa"/>
            <w:vAlign w:val="bottom"/>
          </w:tcPr>
          <w:p>
            <w:pPr>
              <w:ind w:left="540"/>
              <w:spacing w:after="0"/>
              <w:rPr>
                <w:sz w:val="20"/>
                <w:szCs w:val="20"/>
                <w:color w:val="auto"/>
              </w:rPr>
            </w:pPr>
            <w:r>
              <w:rPr>
                <w:rFonts w:ascii="Arial" w:cs="Arial" w:eastAsia="Arial" w:hAnsi="Arial"/>
                <w:sz w:val="16"/>
                <w:szCs w:val="16"/>
                <w:color w:val="auto"/>
              </w:rPr>
              <w:t>Other Income, Net</w:t>
            </w:r>
          </w:p>
        </w:tc>
        <w:tc>
          <w:tcPr>
            <w:tcW w:w="9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28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Total(1)</w:t>
            </w:r>
          </w:p>
        </w:tc>
        <w:tc>
          <w:tcPr>
            <w:tcW w:w="29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color w:val="auto"/>
              </w:rPr>
              <w:t>2</w:t>
            </w: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1"/>
        </w:trPr>
        <w:tc>
          <w:tcPr>
            <w:tcW w:w="288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ind w:left="640" w:right="60" w:hanging="403"/>
        <w:spacing w:after="0" w:line="265" w:lineRule="auto"/>
        <w:tabs>
          <w:tab w:leader="none" w:pos="640" w:val="left"/>
        </w:tabs>
        <w:numPr>
          <w:ilvl w:val="0"/>
          <w:numId w:val="42"/>
        </w:numPr>
        <w:rPr>
          <w:rFonts w:ascii="Arial" w:cs="Arial" w:eastAsia="Arial" w:hAnsi="Arial"/>
          <w:sz w:val="14"/>
          <w:szCs w:val="14"/>
          <w:i w:val="1"/>
          <w:iCs w:val="1"/>
          <w:color w:val="auto"/>
        </w:rPr>
      </w:pPr>
      <w:r>
        <w:rPr>
          <w:rFonts w:ascii="Arial" w:cs="Arial" w:eastAsia="Arial" w:hAnsi="Arial"/>
          <w:sz w:val="14"/>
          <w:szCs w:val="14"/>
          <w:i w:val="1"/>
          <w:iCs w:val="1"/>
          <w:color w:val="auto"/>
        </w:rPr>
        <w:t>There has been no hedge ineffectiveness on these swaps. Changes in the fair values of the interest rate swap agreements are exactly offset by changes in the fair value of the underlying long-term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3600"/>
        <w:spacing w:after="0" w:line="261" w:lineRule="auto"/>
        <w:rPr>
          <w:sz w:val="20"/>
          <w:szCs w:val="20"/>
          <w:color w:val="auto"/>
        </w:rPr>
      </w:pPr>
      <w:r>
        <w:rPr>
          <w:rFonts w:ascii="Arial" w:cs="Arial" w:eastAsia="Arial" w:hAnsi="Arial"/>
          <w:sz w:val="16"/>
          <w:szCs w:val="16"/>
          <w:b w:val="1"/>
          <w:bCs w:val="1"/>
          <w:color w:val="auto"/>
        </w:rPr>
        <w:t xml:space="preserve">CASH FLOW HEDGE IMPACT ON THE CONDENSED CONSOLIDATED STATEMENTS OF OPERATIONS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2317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60" w:type="dxa"/>
            <w:vAlign w:val="bottom"/>
          </w:tcPr>
          <w:p>
            <w:pPr>
              <w:spacing w:after="0"/>
              <w:rPr>
                <w:sz w:val="14"/>
                <w:szCs w:val="14"/>
                <w:color w:val="auto"/>
              </w:rPr>
            </w:pPr>
          </w:p>
        </w:tc>
        <w:tc>
          <w:tcPr>
            <w:tcW w:w="2500" w:type="dxa"/>
            <w:vAlign w:val="bottom"/>
            <w:gridSpan w:val="3"/>
          </w:tcPr>
          <w:p>
            <w:pPr>
              <w:jc w:val="center"/>
              <w:ind w:left="208"/>
              <w:spacing w:after="0"/>
              <w:rPr>
                <w:sz w:val="20"/>
                <w:szCs w:val="20"/>
                <w:color w:val="auto"/>
              </w:rPr>
            </w:pPr>
            <w:r>
              <w:rPr>
                <w:rFonts w:ascii="Arial" w:cs="Arial" w:eastAsia="Arial" w:hAnsi="Arial"/>
                <w:sz w:val="14"/>
                <w:szCs w:val="14"/>
                <w:color w:val="auto"/>
              </w:rPr>
              <w:t>Pretax gain (loss) recognized</w:t>
            </w:r>
          </w:p>
        </w:tc>
        <w:tc>
          <w:tcPr>
            <w:tcW w:w="3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3"/>
          </w:tcPr>
          <w:p>
            <w:pPr>
              <w:jc w:val="center"/>
              <w:ind w:right="228"/>
              <w:spacing w:after="0"/>
              <w:rPr>
                <w:sz w:val="20"/>
                <w:szCs w:val="20"/>
                <w:color w:val="auto"/>
              </w:rPr>
            </w:pPr>
            <w:r>
              <w:rPr>
                <w:rFonts w:ascii="Arial" w:cs="Arial" w:eastAsia="Arial" w:hAnsi="Arial"/>
                <w:sz w:val="14"/>
                <w:szCs w:val="14"/>
                <w:color w:val="auto"/>
              </w:rPr>
              <w:t>Gain (loss) reclassified from AOCI</w:t>
            </w:r>
          </w:p>
        </w:tc>
      </w:tr>
      <w:tr>
        <w:trPr>
          <w:trHeight w:val="181"/>
        </w:trPr>
        <w:tc>
          <w:tcPr>
            <w:tcW w:w="2960" w:type="dxa"/>
            <w:vAlign w:val="bottom"/>
          </w:tcPr>
          <w:p>
            <w:pPr>
              <w:spacing w:after="0"/>
              <w:rPr>
                <w:sz w:val="15"/>
                <w:szCs w:val="15"/>
                <w:color w:val="auto"/>
              </w:rPr>
            </w:pPr>
          </w:p>
        </w:tc>
        <w:tc>
          <w:tcPr>
            <w:tcW w:w="2500" w:type="dxa"/>
            <w:vAlign w:val="bottom"/>
            <w:tcBorders>
              <w:bottom w:val="single" w:sz="8" w:color="auto"/>
            </w:tcBorders>
            <w:gridSpan w:val="3"/>
          </w:tcPr>
          <w:p>
            <w:pPr>
              <w:jc w:val="center"/>
              <w:ind w:left="228"/>
              <w:spacing w:after="0"/>
              <w:rPr>
                <w:sz w:val="20"/>
                <w:szCs w:val="20"/>
                <w:color w:val="auto"/>
              </w:rPr>
            </w:pPr>
            <w:r>
              <w:rPr>
                <w:rFonts w:ascii="Arial" w:cs="Arial" w:eastAsia="Arial" w:hAnsi="Arial"/>
                <w:sz w:val="14"/>
                <w:szCs w:val="14"/>
                <w:color w:val="auto"/>
              </w:rPr>
              <w:t>in OCI (effective portion)</w:t>
            </w:r>
          </w:p>
        </w:tc>
        <w:tc>
          <w:tcPr>
            <w:tcW w:w="300" w:type="dxa"/>
            <w:vAlign w:val="bottom"/>
            <w:tcBorders>
              <w:bottom w:val="single" w:sz="8" w:color="auto"/>
            </w:tcBorders>
          </w:tcPr>
          <w:p>
            <w:pPr>
              <w:spacing w:after="0"/>
              <w:rPr>
                <w:sz w:val="15"/>
                <w:szCs w:val="15"/>
                <w:color w:val="auto"/>
              </w:rPr>
            </w:pPr>
          </w:p>
        </w:tc>
        <w:tc>
          <w:tcPr>
            <w:tcW w:w="28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3"/>
          </w:tcPr>
          <w:p>
            <w:pPr>
              <w:jc w:val="center"/>
              <w:ind w:right="228"/>
              <w:spacing w:after="0"/>
              <w:rPr>
                <w:sz w:val="20"/>
                <w:szCs w:val="20"/>
                <w:color w:val="auto"/>
              </w:rPr>
            </w:pPr>
            <w:r>
              <w:rPr>
                <w:rFonts w:ascii="Arial" w:cs="Arial" w:eastAsia="Arial" w:hAnsi="Arial"/>
                <w:sz w:val="14"/>
                <w:szCs w:val="14"/>
                <w:color w:val="auto"/>
              </w:rPr>
              <w:t>into earnings (effective portion)</w:t>
            </w:r>
          </w:p>
        </w:tc>
      </w:tr>
      <w:tr>
        <w:trPr>
          <w:trHeight w:val="196"/>
        </w:trPr>
        <w:tc>
          <w:tcPr>
            <w:tcW w:w="2960" w:type="dxa"/>
            <w:vAlign w:val="bottom"/>
          </w:tcPr>
          <w:p>
            <w:pPr>
              <w:spacing w:after="0"/>
              <w:rPr>
                <w:sz w:val="17"/>
                <w:szCs w:val="17"/>
                <w:color w:val="auto"/>
              </w:rPr>
            </w:pPr>
          </w:p>
        </w:tc>
        <w:tc>
          <w:tcPr>
            <w:tcW w:w="2500" w:type="dxa"/>
            <w:vAlign w:val="bottom"/>
            <w:tcBorders>
              <w:bottom w:val="single" w:sz="8" w:color="auto"/>
            </w:tcBorders>
            <w:gridSpan w:val="3"/>
          </w:tcPr>
          <w:p>
            <w:pPr>
              <w:jc w:val="center"/>
              <w:ind w:left="228"/>
              <w:spacing w:after="0"/>
              <w:rPr>
                <w:sz w:val="20"/>
                <w:szCs w:val="20"/>
                <w:color w:val="auto"/>
              </w:rPr>
            </w:pPr>
            <w:r>
              <w:rPr>
                <w:rFonts w:ascii="Arial" w:cs="Arial" w:eastAsia="Arial" w:hAnsi="Arial"/>
                <w:sz w:val="14"/>
                <w:szCs w:val="14"/>
                <w:color w:val="auto"/>
              </w:rPr>
              <w:t>Three months ended March 31,</w:t>
            </w:r>
          </w:p>
        </w:tc>
        <w:tc>
          <w:tcPr>
            <w:tcW w:w="300" w:type="dxa"/>
            <w:vAlign w:val="bottom"/>
            <w:tcBorders>
              <w:bottom w:val="single" w:sz="8" w:color="auto"/>
            </w:tcBorders>
          </w:tcPr>
          <w:p>
            <w:pPr>
              <w:spacing w:after="0"/>
              <w:rPr>
                <w:sz w:val="17"/>
                <w:szCs w:val="17"/>
                <w:color w:val="auto"/>
              </w:rPr>
            </w:pPr>
          </w:p>
        </w:tc>
        <w:tc>
          <w:tcPr>
            <w:tcW w:w="28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3"/>
          </w:tcPr>
          <w:p>
            <w:pPr>
              <w:jc w:val="center"/>
              <w:ind w:right="228"/>
              <w:spacing w:after="0"/>
              <w:rPr>
                <w:sz w:val="20"/>
                <w:szCs w:val="20"/>
                <w:color w:val="auto"/>
              </w:rPr>
            </w:pPr>
            <w:r>
              <w:rPr>
                <w:rFonts w:ascii="Arial" w:cs="Arial" w:eastAsia="Arial" w:hAnsi="Arial"/>
                <w:sz w:val="14"/>
                <w:szCs w:val="14"/>
                <w:color w:val="auto"/>
              </w:rPr>
              <w:t>Three months ended March 31,</w:t>
            </w:r>
          </w:p>
        </w:tc>
      </w:tr>
      <w:tr>
        <w:trPr>
          <w:trHeight w:val="223"/>
        </w:trPr>
        <w:tc>
          <w:tcPr>
            <w:tcW w:w="29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2013</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2012</w:t>
            </w:r>
          </w:p>
        </w:tc>
        <w:tc>
          <w:tcPr>
            <w:tcW w:w="3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ind w:left="1260"/>
              <w:spacing w:after="0"/>
              <w:rPr>
                <w:sz w:val="20"/>
                <w:szCs w:val="20"/>
                <w:color w:val="auto"/>
              </w:rPr>
            </w:pPr>
            <w:r>
              <w:rPr>
                <w:rFonts w:ascii="Arial" w:cs="Arial" w:eastAsia="Arial" w:hAnsi="Arial"/>
                <w:sz w:val="14"/>
                <w:szCs w:val="14"/>
                <w:color w:val="auto"/>
              </w:rPr>
              <w:t>Location</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2013</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2012</w:t>
            </w:r>
          </w:p>
        </w:tc>
      </w:tr>
      <w:tr>
        <w:trPr>
          <w:trHeight w:val="231"/>
        </w:trPr>
        <w:tc>
          <w:tcPr>
            <w:tcW w:w="2960" w:type="dxa"/>
            <w:vAlign w:val="bottom"/>
          </w:tcPr>
          <w:p>
            <w:pPr>
              <w:spacing w:after="0"/>
              <w:rPr>
                <w:sz w:val="20"/>
                <w:szCs w:val="20"/>
                <w:color w:val="auto"/>
              </w:rPr>
            </w:pPr>
            <w:r>
              <w:rPr>
                <w:rFonts w:ascii="Arial" w:cs="Arial" w:eastAsia="Arial" w:hAnsi="Arial"/>
                <w:sz w:val="14"/>
                <w:szCs w:val="14"/>
                <w:b w:val="1"/>
                <w:bCs w:val="1"/>
                <w:color w:val="auto"/>
              </w:rPr>
              <w:t>Sempra Energy Consolidated:</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6"/>
        </w:trPr>
        <w:tc>
          <w:tcPr>
            <w:tcW w:w="2960" w:type="dxa"/>
            <w:vAlign w:val="bottom"/>
          </w:tcPr>
          <w:p>
            <w:pPr>
              <w:ind w:left="160"/>
              <w:spacing w:after="0"/>
              <w:rPr>
                <w:sz w:val="20"/>
                <w:szCs w:val="20"/>
                <w:color w:val="auto"/>
              </w:rPr>
            </w:pPr>
            <w:r>
              <w:rPr>
                <w:rFonts w:ascii="Arial" w:cs="Arial" w:eastAsia="Arial" w:hAnsi="Arial"/>
                <w:sz w:val="14"/>
                <w:szCs w:val="14"/>
                <w:color w:val="auto"/>
              </w:rPr>
              <w:t>Interest rate and foreign</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960" w:type="dxa"/>
            <w:vAlign w:val="bottom"/>
          </w:tcPr>
          <w:p>
            <w:pPr>
              <w:ind w:left="360"/>
              <w:spacing w:after="0"/>
              <w:rPr>
                <w:sz w:val="20"/>
                <w:szCs w:val="20"/>
                <w:color w:val="auto"/>
              </w:rPr>
            </w:pPr>
            <w:r>
              <w:rPr>
                <w:rFonts w:ascii="Arial" w:cs="Arial" w:eastAsia="Arial" w:hAnsi="Arial"/>
                <w:sz w:val="14"/>
                <w:szCs w:val="14"/>
                <w:color w:val="auto"/>
              </w:rPr>
              <w:t>exchange instruments(1)</w:t>
            </w:r>
          </w:p>
        </w:tc>
        <w:tc>
          <w:tcPr>
            <w:tcW w:w="98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(28)</w:t>
            </w:r>
          </w:p>
        </w:tc>
        <w:tc>
          <w:tcPr>
            <w:tcW w:w="102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3</w:t>
            </w:r>
          </w:p>
        </w:tc>
        <w:tc>
          <w:tcPr>
            <w:tcW w:w="2820" w:type="dxa"/>
            <w:vAlign w:val="bottom"/>
          </w:tcPr>
          <w:p>
            <w:pPr>
              <w:ind w:left="240"/>
              <w:spacing w:after="0"/>
              <w:rPr>
                <w:sz w:val="20"/>
                <w:szCs w:val="20"/>
                <w:color w:val="auto"/>
              </w:rPr>
            </w:pPr>
            <w:r>
              <w:rPr>
                <w:rFonts w:ascii="Arial" w:cs="Arial" w:eastAsia="Arial" w:hAnsi="Arial"/>
                <w:sz w:val="14"/>
                <w:szCs w:val="14"/>
                <w:color w:val="auto"/>
              </w:rPr>
              <w:t>Interest Expense</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ind w:left="940"/>
              <w:spacing w:after="0"/>
              <w:rPr>
                <w:sz w:val="20"/>
                <w:szCs w:val="20"/>
                <w:color w:val="auto"/>
              </w:rPr>
            </w:pPr>
            <w:r>
              <w:rPr>
                <w:rFonts w:ascii="Arial" w:cs="Arial" w:eastAsia="Arial" w:hAnsi="Arial"/>
                <w:sz w:val="14"/>
                <w:szCs w:val="14"/>
                <w:color w:val="auto"/>
              </w:rPr>
              <w:t>(3)</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ind w:left="860"/>
              <w:spacing w:after="0"/>
              <w:rPr>
                <w:sz w:val="20"/>
                <w:szCs w:val="20"/>
                <w:color w:val="auto"/>
              </w:rPr>
            </w:pPr>
            <w:r>
              <w:rPr>
                <w:rFonts w:ascii="Arial" w:cs="Arial" w:eastAsia="Arial" w:hAnsi="Arial"/>
                <w:sz w:val="14"/>
                <w:szCs w:val="14"/>
                <w:color w:val="auto"/>
                <w:w w:val="93"/>
              </w:rPr>
              <w:t>(1)</w:t>
            </w:r>
          </w:p>
        </w:tc>
      </w:tr>
      <w:tr>
        <w:trPr>
          <w:trHeight w:val="216"/>
        </w:trPr>
        <w:tc>
          <w:tcPr>
            <w:tcW w:w="2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tcPr>
          <w:p>
            <w:pPr>
              <w:ind w:left="240"/>
              <w:spacing w:after="0"/>
              <w:rPr>
                <w:sz w:val="20"/>
                <w:szCs w:val="20"/>
                <w:color w:val="auto"/>
              </w:rPr>
            </w:pPr>
            <w:r>
              <w:rPr>
                <w:rFonts w:ascii="Arial" w:cs="Arial" w:eastAsia="Arial" w:hAnsi="Arial"/>
                <w:sz w:val="14"/>
                <w:szCs w:val="14"/>
                <w:color w:val="auto"/>
              </w:rPr>
              <w:t>Equity Earnings,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8"/>
        </w:trPr>
        <w:tc>
          <w:tcPr>
            <w:tcW w:w="296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0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820" w:type="dxa"/>
            <w:vAlign w:val="bottom"/>
          </w:tcPr>
          <w:p>
            <w:pPr>
              <w:ind w:left="400"/>
              <w:spacing w:after="0"/>
              <w:rPr>
                <w:sz w:val="20"/>
                <w:szCs w:val="20"/>
                <w:color w:val="auto"/>
              </w:rPr>
            </w:pPr>
            <w:r>
              <w:rPr>
                <w:rFonts w:ascii="Arial" w:cs="Arial" w:eastAsia="Arial" w:hAnsi="Arial"/>
                <w:sz w:val="14"/>
                <w:szCs w:val="14"/>
                <w:color w:val="auto"/>
              </w:rPr>
              <w:t>Before Income Tax</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4"/>
                <w:szCs w:val="14"/>
                <w:color w:val="auto"/>
              </w:rPr>
              <w:t>(2)</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w w:val="93"/>
              </w:rPr>
              <w:t>(2)</w:t>
            </w:r>
          </w:p>
        </w:tc>
      </w:tr>
      <w:tr>
        <w:trPr>
          <w:trHeight w:val="216"/>
        </w:trPr>
        <w:tc>
          <w:tcPr>
            <w:tcW w:w="29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Total</w:t>
            </w:r>
          </w:p>
        </w:tc>
        <w:tc>
          <w:tcPr>
            <w:tcW w:w="9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w:t>
            </w:r>
          </w:p>
        </w:tc>
        <w:tc>
          <w:tcPr>
            <w:tcW w:w="102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4"/>
                <w:szCs w:val="14"/>
                <w:color w:val="auto"/>
              </w:rPr>
              <w:t>(5)</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w w:val="93"/>
              </w:rPr>
              <w:t>(3)</w:t>
            </w:r>
          </w:p>
        </w:tc>
      </w:tr>
      <w:tr>
        <w:trPr>
          <w:trHeight w:val="21"/>
        </w:trPr>
        <w:tc>
          <w:tcPr>
            <w:tcW w:w="29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5"/>
        </w:trPr>
        <w:tc>
          <w:tcPr>
            <w:tcW w:w="2960" w:type="dxa"/>
            <w:vAlign w:val="bottom"/>
          </w:tcPr>
          <w:p>
            <w:pPr>
              <w:spacing w:after="0"/>
              <w:rPr>
                <w:sz w:val="20"/>
                <w:szCs w:val="20"/>
                <w:color w:val="auto"/>
              </w:rPr>
            </w:pPr>
            <w:r>
              <w:rPr>
                <w:rFonts w:ascii="Arial" w:cs="Arial" w:eastAsia="Arial" w:hAnsi="Arial"/>
                <w:sz w:val="14"/>
                <w:szCs w:val="14"/>
                <w:b w:val="1"/>
                <w:bCs w:val="1"/>
                <w:color w:val="auto"/>
              </w:rPr>
              <w:t>SDG&amp;E:</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1"/>
        </w:trPr>
        <w:tc>
          <w:tcPr>
            <w:tcW w:w="29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Interest rate instruments(1)</w:t>
            </w:r>
          </w:p>
        </w:tc>
        <w:tc>
          <w:tcPr>
            <w:tcW w:w="9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02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Interest Expense</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4"/>
                <w:szCs w:val="14"/>
                <w:color w:val="auto"/>
              </w:rPr>
              <w:t>(2)</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r>
      <w:tr>
        <w:trPr>
          <w:trHeight w:val="21"/>
        </w:trPr>
        <w:tc>
          <w:tcPr>
            <w:tcW w:w="29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5"/>
        </w:trPr>
        <w:tc>
          <w:tcPr>
            <w:tcW w:w="2960" w:type="dxa"/>
            <w:vAlign w:val="bottom"/>
          </w:tcPr>
          <w:p>
            <w:pPr>
              <w:spacing w:after="0"/>
              <w:rPr>
                <w:sz w:val="20"/>
                <w:szCs w:val="20"/>
                <w:color w:val="auto"/>
              </w:rPr>
            </w:pPr>
            <w:r>
              <w:rPr>
                <w:rFonts w:ascii="Arial" w:cs="Arial" w:eastAsia="Arial" w:hAnsi="Arial"/>
                <w:sz w:val="14"/>
                <w:szCs w:val="14"/>
                <w:b w:val="1"/>
                <w:bCs w:val="1"/>
                <w:color w:val="auto"/>
              </w:rPr>
              <w:t>SoCalGas:</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1"/>
        </w:trPr>
        <w:tc>
          <w:tcPr>
            <w:tcW w:w="29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Interest rate instruments</w:t>
            </w:r>
          </w:p>
        </w:tc>
        <w:tc>
          <w:tcPr>
            <w:tcW w:w="9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Interest Expense</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ind w:left="9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w w:val="93"/>
              </w:rPr>
              <w:t>(1)</w:t>
            </w:r>
          </w:p>
        </w:tc>
      </w:tr>
      <w:tr>
        <w:trPr>
          <w:trHeight w:val="21"/>
        </w:trPr>
        <w:tc>
          <w:tcPr>
            <w:tcW w:w="29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ind w:left="500" w:right="60" w:hanging="330"/>
        <w:spacing w:after="0" w:line="265" w:lineRule="auto"/>
        <w:tabs>
          <w:tab w:leader="none" w:pos="50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Amounts include Otay Mesa VIE. All of SDG&amp;E’s interest rate derivative activity relates to Otay Mesa VIE. There has been a negligible amount of ineffectiveness related to these swaps.</w:t>
      </w:r>
    </w:p>
    <w:p>
      <w:pPr>
        <w:spacing w:after="0" w:line="200" w:lineRule="exact"/>
        <w:rPr>
          <w:sz w:val="20"/>
          <w:szCs w:val="20"/>
          <w:color w:val="auto"/>
        </w:rPr>
      </w:pPr>
    </w:p>
    <w:p>
      <w:pPr>
        <w:spacing w:after="0" w:line="213"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Sempra Energy Consolidated expects that losses of $21 million, which are net of income tax benefit, that are currently recorded in AOCI (including $10 million in noncontrolling interests) related to cash flow hedges will be reclassified into earnings during the next twelve months as the hedged items affect earnings. Actual amounts ultimately reclassified into earnings depend on the interest rates in effect when derivative contracts that are currently outstanding mature. The Sempra Energy Consolidated amount includes $9 million at SDG&amp;E in noncontrolling interest related to Otay Mesa VIE.</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SoCalGas expects that losses of $1 million, which are net of income tax benefit, that are currently recorded in AOCI related to cash flow hedges will be reclassified into earnings during the next twelve months as the hedged items affect earnings.</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all forecasted transactions, the maximum term over which we are hedging exposure to the variability of cash flows at March 31, 2013 is approximately 16 years and 6 years for Sempra Energy and SDG&amp;E, respectively. The maximum term of hedged interest rate variability related to debt at Sempra Renewables’ equity method investees is 18 years.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recorded negligible hedge ineffectiveness in the three-month periods ended March 31, 2013 and 2012.</w:t>
      </w:r>
    </w:p>
    <w:p>
      <w:pPr>
        <w:spacing w:after="0" w:line="200" w:lineRule="exact"/>
        <w:rPr>
          <w:sz w:val="20"/>
          <w:szCs w:val="20"/>
          <w:color w:val="auto"/>
        </w:rPr>
      </w:pPr>
    </w:p>
    <w:p>
      <w:pPr>
        <w:spacing w:after="0" w:line="29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effects of derivative instruments not designated as hedging instruments on the Condensed Consolidated Statements of Operations for the three months ended March 31 were:</w:t>
      </w:r>
    </w:p>
    <w:p>
      <w:pPr>
        <w:spacing w:after="0" w:line="200" w:lineRule="exact"/>
        <w:rPr>
          <w:sz w:val="20"/>
          <w:szCs w:val="20"/>
          <w:color w:val="auto"/>
        </w:rPr>
      </w:pPr>
    </w:p>
    <w:p>
      <w:pPr>
        <w:spacing w:after="0" w:line="250" w:lineRule="exact"/>
        <w:rPr>
          <w:sz w:val="20"/>
          <w:szCs w:val="20"/>
          <w:color w:val="auto"/>
        </w:rPr>
      </w:pPr>
    </w:p>
    <w:p>
      <w:pPr>
        <w:ind w:right="2920"/>
        <w:spacing w:after="0" w:line="261" w:lineRule="auto"/>
        <w:rPr>
          <w:sz w:val="20"/>
          <w:szCs w:val="20"/>
          <w:color w:val="auto"/>
        </w:rPr>
      </w:pPr>
      <w:r>
        <w:rPr>
          <w:rFonts w:ascii="Arial" w:cs="Arial" w:eastAsia="Arial" w:hAnsi="Arial"/>
          <w:sz w:val="16"/>
          <w:szCs w:val="16"/>
          <w:b w:val="1"/>
          <w:bCs w:val="1"/>
          <w:color w:val="auto"/>
        </w:rPr>
        <w:t xml:space="preserve">UNDESIGNATED DERIVATIVE IMPACT ON THE CONDENSED CONSOLIDATED STATEMENTS OF OPERATIONS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2317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32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3"/>
          </w:tcPr>
          <w:p>
            <w:pPr>
              <w:jc w:val="right"/>
              <w:ind w:right="560"/>
              <w:spacing w:after="0" w:line="158" w:lineRule="exact"/>
              <w:rPr>
                <w:sz w:val="20"/>
                <w:szCs w:val="20"/>
                <w:color w:val="auto"/>
              </w:rPr>
            </w:pPr>
            <w:r>
              <w:rPr>
                <w:rFonts w:ascii="Arial" w:cs="Arial" w:eastAsia="Arial" w:hAnsi="Arial"/>
                <w:sz w:val="14"/>
                <w:szCs w:val="14"/>
                <w:color w:val="auto"/>
              </w:rPr>
              <w:t>Gain (loss) on derivatives recognized in earnings</w:t>
            </w:r>
          </w:p>
        </w:tc>
      </w:tr>
      <w:tr>
        <w:trPr>
          <w:trHeight w:val="196"/>
        </w:trPr>
        <w:tc>
          <w:tcPr>
            <w:tcW w:w="32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gridSpan w:val="3"/>
          </w:tcPr>
          <w:p>
            <w:pPr>
              <w:jc w:val="right"/>
              <w:ind w:right="1120"/>
              <w:spacing w:after="0"/>
              <w:rPr>
                <w:sz w:val="20"/>
                <w:szCs w:val="20"/>
                <w:color w:val="auto"/>
              </w:rPr>
            </w:pPr>
            <w:r>
              <w:rPr>
                <w:rFonts w:ascii="Arial" w:cs="Arial" w:eastAsia="Arial" w:hAnsi="Arial"/>
                <w:sz w:val="14"/>
                <w:szCs w:val="14"/>
                <w:color w:val="auto"/>
              </w:rPr>
              <w:t>Three months ended March 31,</w:t>
            </w:r>
          </w:p>
        </w:tc>
      </w:tr>
      <w:tr>
        <w:trPr>
          <w:trHeight w:val="223"/>
        </w:trPr>
        <w:tc>
          <w:tcPr>
            <w:tcW w:w="326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tcPr>
          <w:p>
            <w:pPr>
              <w:ind w:left="1900"/>
              <w:spacing w:after="0"/>
              <w:rPr>
                <w:sz w:val="20"/>
                <w:szCs w:val="20"/>
                <w:color w:val="auto"/>
              </w:rPr>
            </w:pPr>
            <w:r>
              <w:rPr>
                <w:rFonts w:ascii="Arial" w:cs="Arial" w:eastAsia="Arial" w:hAnsi="Arial"/>
                <w:sz w:val="14"/>
                <w:szCs w:val="14"/>
                <w:color w:val="auto"/>
              </w:rPr>
              <w:t>Location</w:t>
            </w:r>
          </w:p>
        </w:tc>
        <w:tc>
          <w:tcPr>
            <w:tcW w:w="4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942"/>
              <w:spacing w:after="0"/>
              <w:rPr>
                <w:sz w:val="20"/>
                <w:szCs w:val="20"/>
                <w:color w:val="auto"/>
              </w:rPr>
            </w:pPr>
            <w:r>
              <w:rPr>
                <w:rFonts w:ascii="Arial" w:cs="Arial" w:eastAsia="Arial" w:hAnsi="Arial"/>
                <w:sz w:val="14"/>
                <w:szCs w:val="14"/>
                <w:color w:val="auto"/>
              </w:rPr>
              <w:t>2013</w:t>
            </w:r>
          </w:p>
        </w:tc>
        <w:tc>
          <w:tcPr>
            <w:tcW w:w="5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880"/>
              <w:spacing w:after="0"/>
              <w:rPr>
                <w:sz w:val="20"/>
                <w:szCs w:val="20"/>
                <w:color w:val="auto"/>
              </w:rPr>
            </w:pPr>
            <w:r>
              <w:rPr>
                <w:rFonts w:ascii="Arial" w:cs="Arial" w:eastAsia="Arial" w:hAnsi="Arial"/>
                <w:sz w:val="14"/>
                <w:szCs w:val="14"/>
                <w:color w:val="auto"/>
              </w:rPr>
              <w:t>2012</w:t>
            </w:r>
          </w:p>
        </w:tc>
      </w:tr>
      <w:tr>
        <w:trPr>
          <w:trHeight w:val="224"/>
        </w:trPr>
        <w:tc>
          <w:tcPr>
            <w:tcW w:w="326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3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10"/>
        </w:trPr>
        <w:tc>
          <w:tcPr>
            <w:tcW w:w="3260" w:type="dxa"/>
            <w:vAlign w:val="bottom"/>
          </w:tcPr>
          <w:p>
            <w:pPr>
              <w:ind w:left="180"/>
              <w:spacing w:after="0"/>
              <w:rPr>
                <w:sz w:val="20"/>
                <w:szCs w:val="20"/>
                <w:color w:val="auto"/>
              </w:rPr>
            </w:pPr>
            <w:r>
              <w:rPr>
                <w:rFonts w:ascii="Arial" w:cs="Arial" w:eastAsia="Arial" w:hAnsi="Arial"/>
                <w:sz w:val="16"/>
                <w:szCs w:val="16"/>
                <w:color w:val="auto"/>
              </w:rPr>
              <w:t>Interest rate and foreign exchange</w:t>
            </w:r>
          </w:p>
        </w:tc>
        <w:tc>
          <w:tcPr>
            <w:tcW w:w="3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195"/>
        </w:trPr>
        <w:tc>
          <w:tcPr>
            <w:tcW w:w="3260" w:type="dxa"/>
            <w:vAlign w:val="bottom"/>
          </w:tcPr>
          <w:p>
            <w:pPr>
              <w:ind w:left="420"/>
              <w:spacing w:after="0"/>
              <w:rPr>
                <w:sz w:val="20"/>
                <w:szCs w:val="20"/>
                <w:color w:val="auto"/>
              </w:rPr>
            </w:pPr>
            <w:r>
              <w:rPr>
                <w:rFonts w:ascii="Arial" w:cs="Arial" w:eastAsia="Arial" w:hAnsi="Arial"/>
                <w:sz w:val="16"/>
                <w:szCs w:val="16"/>
                <w:color w:val="auto"/>
              </w:rPr>
              <w:t>instruments</w:t>
            </w:r>
          </w:p>
        </w:tc>
        <w:tc>
          <w:tcPr>
            <w:tcW w:w="3760" w:type="dxa"/>
            <w:vAlign w:val="bottom"/>
          </w:tcPr>
          <w:p>
            <w:pPr>
              <w:ind w:left="580"/>
              <w:spacing w:after="0"/>
              <w:rPr>
                <w:sz w:val="20"/>
                <w:szCs w:val="20"/>
                <w:color w:val="auto"/>
              </w:rPr>
            </w:pPr>
            <w:r>
              <w:rPr>
                <w:rFonts w:ascii="Arial" w:cs="Arial" w:eastAsia="Arial" w:hAnsi="Arial"/>
                <w:sz w:val="16"/>
                <w:szCs w:val="16"/>
                <w:color w:val="auto"/>
              </w:rPr>
              <w:t>Other Income, Net</w:t>
            </w:r>
          </w:p>
        </w:tc>
        <w:tc>
          <w:tcPr>
            <w:tcW w:w="4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42"/>
              <w:spacing w:after="0"/>
              <w:rPr>
                <w:sz w:val="20"/>
                <w:szCs w:val="20"/>
                <w:color w:val="auto"/>
              </w:rPr>
            </w:pPr>
            <w:r>
              <w:rPr>
                <w:rFonts w:ascii="Arial" w:cs="Arial" w:eastAsia="Arial" w:hAnsi="Arial"/>
                <w:sz w:val="16"/>
                <w:szCs w:val="16"/>
                <w:color w:val="auto"/>
              </w:rPr>
              <w:t>7</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3260" w:type="dxa"/>
            <w:vAlign w:val="bottom"/>
          </w:tcPr>
          <w:p>
            <w:pPr>
              <w:ind w:left="180"/>
              <w:spacing w:after="0"/>
              <w:rPr>
                <w:sz w:val="20"/>
                <w:szCs w:val="20"/>
                <w:color w:val="auto"/>
              </w:rPr>
            </w:pPr>
            <w:r>
              <w:rPr>
                <w:rFonts w:ascii="Arial" w:cs="Arial" w:eastAsia="Arial" w:hAnsi="Arial"/>
                <w:sz w:val="16"/>
                <w:szCs w:val="16"/>
                <w:color w:val="auto"/>
              </w:rPr>
              <w:t>Commodity contracts not subject</w:t>
            </w:r>
          </w:p>
        </w:tc>
        <w:tc>
          <w:tcPr>
            <w:tcW w:w="3760" w:type="dxa"/>
            <w:vAlign w:val="bottom"/>
          </w:tcPr>
          <w:p>
            <w:pPr>
              <w:ind w:left="580"/>
              <w:spacing w:after="0"/>
              <w:rPr>
                <w:sz w:val="20"/>
                <w:szCs w:val="20"/>
                <w:color w:val="auto"/>
              </w:rPr>
            </w:pPr>
            <w:r>
              <w:rPr>
                <w:rFonts w:ascii="Arial" w:cs="Arial" w:eastAsia="Arial" w:hAnsi="Arial"/>
                <w:sz w:val="16"/>
                <w:szCs w:val="16"/>
                <w:color w:val="auto"/>
              </w:rPr>
              <w:t>Revenues: Energy-Related</w:t>
            </w:r>
          </w:p>
        </w:tc>
        <w:tc>
          <w:tcPr>
            <w:tcW w:w="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3260" w:type="dxa"/>
            <w:vAlign w:val="bottom"/>
          </w:tcPr>
          <w:p>
            <w:pPr>
              <w:ind w:left="360"/>
              <w:spacing w:after="0"/>
              <w:rPr>
                <w:sz w:val="20"/>
                <w:szCs w:val="20"/>
                <w:color w:val="auto"/>
              </w:rPr>
            </w:pPr>
            <w:r>
              <w:rPr>
                <w:rFonts w:ascii="Arial" w:cs="Arial" w:eastAsia="Arial" w:hAnsi="Arial"/>
                <w:sz w:val="16"/>
                <w:szCs w:val="16"/>
                <w:color w:val="auto"/>
              </w:rPr>
              <w:t>to rate recovery</w:t>
            </w:r>
          </w:p>
        </w:tc>
        <w:tc>
          <w:tcPr>
            <w:tcW w:w="3760" w:type="dxa"/>
            <w:vAlign w:val="bottom"/>
          </w:tcPr>
          <w:p>
            <w:pPr>
              <w:ind w:left="760"/>
              <w:spacing w:after="0"/>
              <w:rPr>
                <w:sz w:val="20"/>
                <w:szCs w:val="20"/>
                <w:color w:val="auto"/>
              </w:rPr>
            </w:pPr>
            <w:r>
              <w:rPr>
                <w:rFonts w:ascii="Arial" w:cs="Arial" w:eastAsia="Arial" w:hAnsi="Arial"/>
                <w:sz w:val="16"/>
                <w:szCs w:val="16"/>
                <w:color w:val="auto"/>
              </w:rPr>
              <w:t>Businesses</w:t>
            </w:r>
          </w:p>
        </w:tc>
        <w:tc>
          <w:tcPr>
            <w:tcW w:w="440" w:type="dxa"/>
            <w:vAlign w:val="bottom"/>
          </w:tcPr>
          <w:p>
            <w:pPr>
              <w:spacing w:after="0"/>
              <w:rPr>
                <w:sz w:val="18"/>
                <w:szCs w:val="18"/>
                <w:color w:val="auto"/>
              </w:rPr>
            </w:pPr>
          </w:p>
        </w:tc>
        <w:tc>
          <w:tcPr>
            <w:tcW w:w="1820" w:type="dxa"/>
            <w:vAlign w:val="bottom"/>
          </w:tcPr>
          <w:p>
            <w:pPr>
              <w:jc w:val="right"/>
              <w:ind w:right="2"/>
              <w:spacing w:after="0"/>
              <w:rPr>
                <w:sz w:val="20"/>
                <w:szCs w:val="20"/>
                <w:color w:val="auto"/>
              </w:rPr>
            </w:pPr>
            <w:r>
              <w:rPr>
                <w:rFonts w:ascii="Arial" w:cs="Arial" w:eastAsia="Arial" w:hAnsi="Arial"/>
                <w:sz w:val="16"/>
                <w:szCs w:val="16"/>
                <w:color w:val="auto"/>
              </w:rPr>
              <w:t>(20)</w:t>
            </w:r>
          </w:p>
        </w:tc>
        <w:tc>
          <w:tcPr>
            <w:tcW w:w="5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3260" w:type="dxa"/>
            <w:vAlign w:val="bottom"/>
          </w:tcPr>
          <w:p>
            <w:pPr>
              <w:ind w:left="180"/>
              <w:spacing w:after="0"/>
              <w:rPr>
                <w:sz w:val="20"/>
                <w:szCs w:val="20"/>
                <w:color w:val="auto"/>
              </w:rPr>
            </w:pPr>
            <w:r>
              <w:rPr>
                <w:rFonts w:ascii="Arial" w:cs="Arial" w:eastAsia="Arial" w:hAnsi="Arial"/>
                <w:sz w:val="16"/>
                <w:szCs w:val="16"/>
                <w:color w:val="auto"/>
              </w:rPr>
              <w:t>Commodity contracts not subject</w:t>
            </w:r>
          </w:p>
        </w:tc>
        <w:tc>
          <w:tcPr>
            <w:tcW w:w="3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3260" w:type="dxa"/>
            <w:vAlign w:val="bottom"/>
          </w:tcPr>
          <w:p>
            <w:pPr>
              <w:ind w:left="360"/>
              <w:spacing w:after="0"/>
              <w:rPr>
                <w:sz w:val="20"/>
                <w:szCs w:val="20"/>
                <w:color w:val="auto"/>
              </w:rPr>
            </w:pPr>
            <w:r>
              <w:rPr>
                <w:rFonts w:ascii="Arial" w:cs="Arial" w:eastAsia="Arial" w:hAnsi="Arial"/>
                <w:sz w:val="16"/>
                <w:szCs w:val="16"/>
                <w:color w:val="auto"/>
              </w:rPr>
              <w:t>to rate recovery</w:t>
            </w:r>
          </w:p>
        </w:tc>
        <w:tc>
          <w:tcPr>
            <w:tcW w:w="3760" w:type="dxa"/>
            <w:vAlign w:val="bottom"/>
          </w:tcPr>
          <w:p>
            <w:pPr>
              <w:ind w:left="580"/>
              <w:spacing w:after="0"/>
              <w:rPr>
                <w:sz w:val="20"/>
                <w:szCs w:val="20"/>
                <w:color w:val="auto"/>
              </w:rPr>
            </w:pPr>
            <w:r>
              <w:rPr>
                <w:rFonts w:ascii="Arial" w:cs="Arial" w:eastAsia="Arial" w:hAnsi="Arial"/>
                <w:sz w:val="16"/>
                <w:szCs w:val="16"/>
                <w:color w:val="auto"/>
              </w:rPr>
              <w:t>Operation and Maintenance</w:t>
            </w:r>
          </w:p>
        </w:tc>
        <w:tc>
          <w:tcPr>
            <w:tcW w:w="440" w:type="dxa"/>
            <w:vAlign w:val="bottom"/>
          </w:tcPr>
          <w:p>
            <w:pPr>
              <w:spacing w:after="0"/>
              <w:rPr>
                <w:sz w:val="18"/>
                <w:szCs w:val="18"/>
                <w:color w:val="auto"/>
              </w:rPr>
            </w:pPr>
          </w:p>
        </w:tc>
        <w:tc>
          <w:tcPr>
            <w:tcW w:w="18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3260" w:type="dxa"/>
            <w:vAlign w:val="bottom"/>
          </w:tcPr>
          <w:p>
            <w:pPr>
              <w:ind w:left="180"/>
              <w:spacing w:after="0"/>
              <w:rPr>
                <w:sz w:val="20"/>
                <w:szCs w:val="20"/>
                <w:color w:val="auto"/>
              </w:rPr>
            </w:pPr>
            <w:r>
              <w:rPr>
                <w:rFonts w:ascii="Arial" w:cs="Arial" w:eastAsia="Arial" w:hAnsi="Arial"/>
                <w:sz w:val="16"/>
                <w:szCs w:val="16"/>
                <w:color w:val="auto"/>
              </w:rPr>
              <w:t>Commodity contracts subject</w:t>
            </w:r>
          </w:p>
        </w:tc>
        <w:tc>
          <w:tcPr>
            <w:tcW w:w="3760" w:type="dxa"/>
            <w:vAlign w:val="bottom"/>
          </w:tcPr>
          <w:p>
            <w:pPr>
              <w:ind w:left="580"/>
              <w:spacing w:after="0"/>
              <w:rPr>
                <w:sz w:val="20"/>
                <w:szCs w:val="20"/>
                <w:color w:val="auto"/>
              </w:rPr>
            </w:pPr>
            <w:r>
              <w:rPr>
                <w:rFonts w:ascii="Arial" w:cs="Arial" w:eastAsia="Arial" w:hAnsi="Arial"/>
                <w:sz w:val="16"/>
                <w:szCs w:val="16"/>
                <w:color w:val="auto"/>
              </w:rPr>
              <w:t>Cost of Electric Fuel</w:t>
            </w:r>
          </w:p>
        </w:tc>
        <w:tc>
          <w:tcPr>
            <w:tcW w:w="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3260" w:type="dxa"/>
            <w:vAlign w:val="bottom"/>
          </w:tcPr>
          <w:p>
            <w:pPr>
              <w:ind w:left="360"/>
              <w:spacing w:after="0"/>
              <w:rPr>
                <w:sz w:val="20"/>
                <w:szCs w:val="20"/>
                <w:color w:val="auto"/>
              </w:rPr>
            </w:pPr>
            <w:r>
              <w:rPr>
                <w:rFonts w:ascii="Arial" w:cs="Arial" w:eastAsia="Arial" w:hAnsi="Arial"/>
                <w:sz w:val="16"/>
                <w:szCs w:val="16"/>
                <w:color w:val="auto"/>
              </w:rPr>
              <w:t>to rate recovery</w:t>
            </w:r>
          </w:p>
        </w:tc>
        <w:tc>
          <w:tcPr>
            <w:tcW w:w="3760" w:type="dxa"/>
            <w:vAlign w:val="bottom"/>
          </w:tcPr>
          <w:p>
            <w:pPr>
              <w:ind w:left="760"/>
              <w:spacing w:after="0"/>
              <w:rPr>
                <w:sz w:val="20"/>
                <w:szCs w:val="20"/>
                <w:color w:val="auto"/>
              </w:rPr>
            </w:pPr>
            <w:r>
              <w:rPr>
                <w:rFonts w:ascii="Arial" w:cs="Arial" w:eastAsia="Arial" w:hAnsi="Arial"/>
                <w:sz w:val="16"/>
                <w:szCs w:val="16"/>
                <w:color w:val="auto"/>
              </w:rPr>
              <w:t>and Purchased Power</w:t>
            </w:r>
          </w:p>
        </w:tc>
        <w:tc>
          <w:tcPr>
            <w:tcW w:w="4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w:t>
            </w:r>
          </w:p>
        </w:tc>
        <w:tc>
          <w:tcPr>
            <w:tcW w:w="5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16"/>
        </w:trPr>
        <w:tc>
          <w:tcPr>
            <w:tcW w:w="32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w:t>
            </w:r>
          </w:p>
        </w:tc>
        <w:tc>
          <w:tcPr>
            <w:tcW w:w="3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
        </w:trPr>
        <w:tc>
          <w:tcPr>
            <w:tcW w:w="326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17"/>
        </w:trPr>
        <w:tc>
          <w:tcPr>
            <w:tcW w:w="326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3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0"/>
        </w:trPr>
        <w:tc>
          <w:tcPr>
            <w:tcW w:w="3260" w:type="dxa"/>
            <w:vAlign w:val="bottom"/>
          </w:tcPr>
          <w:p>
            <w:pPr>
              <w:ind w:left="180"/>
              <w:spacing w:after="0"/>
              <w:rPr>
                <w:sz w:val="20"/>
                <w:szCs w:val="20"/>
                <w:color w:val="auto"/>
              </w:rPr>
            </w:pPr>
            <w:r>
              <w:rPr>
                <w:rFonts w:ascii="Arial" w:cs="Arial" w:eastAsia="Arial" w:hAnsi="Arial"/>
                <w:sz w:val="16"/>
                <w:szCs w:val="16"/>
                <w:color w:val="auto"/>
              </w:rPr>
              <w:t>Commodity contracts subject</w:t>
            </w:r>
          </w:p>
        </w:tc>
        <w:tc>
          <w:tcPr>
            <w:tcW w:w="3760" w:type="dxa"/>
            <w:vAlign w:val="bottom"/>
          </w:tcPr>
          <w:p>
            <w:pPr>
              <w:ind w:left="580"/>
              <w:spacing w:after="0"/>
              <w:rPr>
                <w:sz w:val="20"/>
                <w:szCs w:val="20"/>
                <w:color w:val="auto"/>
              </w:rPr>
            </w:pPr>
            <w:r>
              <w:rPr>
                <w:rFonts w:ascii="Arial" w:cs="Arial" w:eastAsia="Arial" w:hAnsi="Arial"/>
                <w:sz w:val="16"/>
                <w:szCs w:val="16"/>
                <w:color w:val="auto"/>
              </w:rPr>
              <w:t>Cost of Electric Fuel</w:t>
            </w:r>
          </w:p>
        </w:tc>
        <w:tc>
          <w:tcPr>
            <w:tcW w:w="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187"/>
        </w:trPr>
        <w:tc>
          <w:tcPr>
            <w:tcW w:w="32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 rate recovery</w:t>
            </w:r>
          </w:p>
        </w:tc>
        <w:tc>
          <w:tcPr>
            <w:tcW w:w="376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and Purchased Power</w:t>
            </w:r>
          </w:p>
        </w:tc>
        <w:tc>
          <w:tcPr>
            <w:tcW w:w="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1"/>
        </w:trPr>
        <w:tc>
          <w:tcPr>
            <w:tcW w:w="326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SoCalGas:</w:t>
      </w:r>
    </w:p>
    <w:p>
      <w:pPr>
        <w:sectPr>
          <w:pgSz w:w="11900" w:h="16861" w:orient="portrait"/>
          <w:cols w:equalWidth="0" w:num="1">
            <w:col w:w="11420"/>
          </w:cols>
          <w:pgMar w:left="240" w:top="378" w:right="239" w:bottom="0" w:gutter="0" w:footer="0" w:header="0"/>
        </w:sectPr>
      </w:pPr>
    </w:p>
    <w:bookmarkStart w:id="30" w:name="page31"/>
    <w:bookmarkEnd w:id="30"/>
    <w:tbl>
      <w:tblPr>
        <w:tblLayout w:type="fixed"/>
        <w:tblInd w:w="180" w:type="dxa"/>
        <w:tblCellMar>
          <w:top w:w="0" w:type="dxa"/>
          <w:left w:w="0" w:type="dxa"/>
          <w:bottom w:w="0" w:type="dxa"/>
          <w:right w:w="0" w:type="dxa"/>
        </w:tblCellMar>
      </w:tblPr>
      <w:tr>
        <w:trPr>
          <w:trHeight w:val="195"/>
        </w:trPr>
        <w:tc>
          <w:tcPr>
            <w:tcW w:w="3020" w:type="dxa"/>
            <w:vAlign w:val="bottom"/>
          </w:tcPr>
          <w:p>
            <w:pPr>
              <w:spacing w:after="0"/>
              <w:rPr>
                <w:sz w:val="20"/>
                <w:szCs w:val="20"/>
                <w:color w:val="auto"/>
              </w:rPr>
            </w:pPr>
            <w:r>
              <w:rPr>
                <w:rFonts w:ascii="Arial" w:cs="Arial" w:eastAsia="Arial" w:hAnsi="Arial"/>
                <w:sz w:val="16"/>
                <w:szCs w:val="16"/>
                <w:color w:val="auto"/>
              </w:rPr>
              <w:t>Commodity contracts not subject</w:t>
            </w:r>
          </w:p>
        </w:tc>
        <w:tc>
          <w:tcPr>
            <w:tcW w:w="33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3020" w:type="dxa"/>
            <w:vAlign w:val="bottom"/>
          </w:tcPr>
          <w:p>
            <w:pPr>
              <w:ind w:left="180"/>
              <w:spacing w:after="0"/>
              <w:rPr>
                <w:sz w:val="20"/>
                <w:szCs w:val="20"/>
                <w:color w:val="auto"/>
              </w:rPr>
            </w:pPr>
            <w:r>
              <w:rPr>
                <w:rFonts w:ascii="Arial" w:cs="Arial" w:eastAsia="Arial" w:hAnsi="Arial"/>
                <w:sz w:val="16"/>
                <w:szCs w:val="16"/>
                <w:color w:val="auto"/>
              </w:rPr>
              <w:t>to rate recovery</w:t>
            </w:r>
          </w:p>
        </w:tc>
        <w:tc>
          <w:tcPr>
            <w:tcW w:w="3320" w:type="dxa"/>
            <w:vAlign w:val="bottom"/>
          </w:tcPr>
          <w:p>
            <w:pPr>
              <w:ind w:left="640"/>
              <w:spacing w:after="0"/>
              <w:rPr>
                <w:sz w:val="20"/>
                <w:szCs w:val="20"/>
                <w:color w:val="auto"/>
              </w:rPr>
            </w:pPr>
            <w:r>
              <w:rPr>
                <w:rFonts w:ascii="Arial" w:cs="Arial" w:eastAsia="Arial" w:hAnsi="Arial"/>
                <w:sz w:val="16"/>
                <w:szCs w:val="16"/>
                <w:color w:val="auto"/>
              </w:rPr>
              <w:t>Operation and Maintenance</w:t>
            </w:r>
          </w:p>
        </w:tc>
        <w:tc>
          <w:tcPr>
            <w:tcW w:w="162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2240" w:type="dxa"/>
            <w:vAlign w:val="bottom"/>
          </w:tcPr>
          <w:p>
            <w:pPr>
              <w:ind w:left="860"/>
              <w:spacing w:after="0"/>
              <w:rPr>
                <w:sz w:val="20"/>
                <w:szCs w:val="20"/>
                <w:color w:val="auto"/>
              </w:rPr>
            </w:pPr>
            <w:r>
              <w:rPr>
                <w:rFonts w:ascii="Arial" w:cs="Arial" w:eastAsia="Arial" w:hAnsi="Arial"/>
                <w:sz w:val="16"/>
                <w:szCs w:val="16"/>
                <w:color w:val="auto"/>
              </w:rPr>
              <w:t>―   $</w:t>
            </w: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FEATURES</w:t>
      </w:r>
    </w:p>
    <w:p>
      <w:pPr>
        <w:spacing w:after="0" w:line="24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For Sempra Energy and SDG&amp;E, certain of our derivative instruments contain credit limits which vary depending upon our credit ratings. Generally, these provisions, if applicable, may reduce our credit limit if a specified credit rating agency reduces our ratings. In certain cases, if our credit ratings were to fall below investment grade, the counterparty to these derivative liability instruments could request immediate payment or demand immediate and ongoing full collateralization.</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For Sempra Energy, the total fair value of this group of derivative instruments in a net liability position at March 31, 2013 and December 31, 2012 is</w:t>
      </w:r>
    </w:p>
    <w:p>
      <w:pPr>
        <w:spacing w:after="0" w:line="3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$6 million and $8 million, respectively. As of March 31, 2013, if the credit ratings of Sempra Energy were reduced below investment grade, $6 million of additional assets could be required to be posted as collateral for these derivative contracts.</w:t>
      </w:r>
    </w:p>
    <w:p>
      <w:pPr>
        <w:spacing w:after="0" w:line="21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For SDG&amp;E, the total fair value of this group of derivative instruments in a net liability position at March 31, 2013 and December 31, 2012 is $2 million and $6 million, respectively. As of March 31, 2013, if the credit ratings of SDG&amp;E were reduced below investment grade, $2 million of additional assets could be required to be posted as collateral for these derivative contracts.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Sempra Energy, SDG&amp;E and SoCalGas, some of our derivative contracts contain a provision that would permit the counterparty, in certain circumstances, to request adequate assurance of our performance under the contracts. Such additional assurance, if needed, is not material and is not included in the amounts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518795</wp:posOffset>
            </wp:positionV>
            <wp:extent cx="72637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color w:val="auto"/>
        </w:rPr>
        <w:t>NOTE 8. FAIR VALUE MEASUREMENTS</w:t>
      </w:r>
    </w:p>
    <w:p>
      <w:pPr>
        <w:spacing w:after="0" w:line="200" w:lineRule="exact"/>
        <w:rPr>
          <w:sz w:val="20"/>
          <w:szCs w:val="20"/>
          <w:color w:val="auto"/>
        </w:rPr>
      </w:pPr>
    </w:p>
    <w:p>
      <w:pPr>
        <w:spacing w:after="0" w:line="2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discuss the valuation techniques and inputs we use to measure fair value and the definition of the three levels of the fair value hierarchy in Note 1 of the Notes to Consolidated Financial Statements in the Annual Report. We have not changed the valuation techniques or inputs we use to measure fair value during the three months ended March 31, 2013.</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Recurring Fair Value Measures</w:t>
      </w:r>
    </w:p>
    <w:p>
      <w:pPr>
        <w:spacing w:after="0" w:line="24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three tables below, by level within the fair value hierarchy, set forth our financial assets and liabilities that were accounted for at fair value on a recurring basis as of March 31, 2013 and December 31, 2012. We classify financial assets and liabilities in their entirety based on the lowest level of input that is significant to the fair value measurement. Our assessment of the significance of a particular input to the fair value measurement requires judgment, and may affect the valuation of fair value assets and liabilities, and their placement within the fair value hierarchy levels.</w:t>
      </w:r>
    </w:p>
    <w:p>
      <w:pPr>
        <w:spacing w:after="0" w:line="19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fair value of commodity derivative assets and liabilities is presented in accordance with our netting policy, as we discuss in Note 7 under “Financial Statement Presentation.”</w:t>
      </w:r>
    </w:p>
    <w:p>
      <w:pPr>
        <w:spacing w:after="0" w:line="1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determination of fair values, shown in the tables below, incorporates various factors, including but not limited to, the credit standing of the counterparties involved and the impact of credit enhancements (such as cash deposits, letters of credit and priority interests).</w:t>
      </w:r>
    </w:p>
    <w:p>
      <w:pPr>
        <w:spacing w:after="0" w:line="1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financial assets and liabilities that were accounted for at fair value on a recurring basis as of March 31, 2013 and December 31, 2012 in the tables below include the following:</w:t>
      </w:r>
    </w:p>
    <w:p>
      <w:pPr>
        <w:spacing w:after="0" w:line="197" w:lineRule="exact"/>
        <w:rPr>
          <w:sz w:val="20"/>
          <w:szCs w:val="20"/>
          <w:color w:val="auto"/>
        </w:rPr>
      </w:pPr>
    </w:p>
    <w:p>
      <w:pPr>
        <w:jc w:val="both"/>
        <w:ind w:left="340" w:hanging="188"/>
        <w:spacing w:after="0" w:line="276"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Nuclear decommissioning trusts reflect the assets of SDG&amp;E’s nuclear decommissioning trusts, excluding cash balances. A third party trustee values the trust assets using prices from a pricing service based on a market approach. We validate these prices by comparison to prices from other independent data sources. Equity and certain debt securities are valued using quoted prices listed on nationally recognized securities exchanges or based on closing prices reported in the active market in which the identical security is traded (Level 1). Other debt securities are valued based on yields that are currently available for comparable securities of issuers with similar credit ratings (Level 2).</w:t>
      </w:r>
    </w:p>
    <w:p>
      <w:pPr>
        <w:spacing w:after="0" w:line="199" w:lineRule="exact"/>
        <w:rPr>
          <w:rFonts w:ascii="Arial" w:cs="Arial" w:eastAsia="Arial" w:hAnsi="Arial"/>
          <w:sz w:val="17"/>
          <w:szCs w:val="17"/>
          <w:color w:val="auto"/>
        </w:rPr>
      </w:pPr>
    </w:p>
    <w:p>
      <w:pPr>
        <w:jc w:val="both"/>
        <w:ind w:left="340" w:hanging="188"/>
        <w:spacing w:after="0" w:line="271"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enter into commodity contracts and interest rate derivatives primarily as a means to manage price exposures. We primarily use a market approach with market participant assumptions to value these derivatives. Market participant assumptions include those about risk, and the risk inherent in the inputs to the valuation techniques. These inputs can be readily observable, market corroborated, or generally unobservable. We have exchange-traded derivatives that are valued based on quoted prices in active markets for the identical instruments (Level 1). We also may have other commodity derivatives that are valued using industry standard models that consider quoted forward prices for commodities, time value, current market and contractual prices for the underlying instruments, volatility factors, and other relevant economic measures (Level 2). All Level 3 recurring items are related to CRRs at SDG&amp;E, as we discuss below under “Level 3 Information.” We record commodity derivative contracts that are subject to rate recovery as commodity costs that are offset by regulatory account balances and are recovered in rates.</w:t>
      </w:r>
    </w:p>
    <w:p>
      <w:pPr>
        <w:spacing w:after="0" w:line="205" w:lineRule="exact"/>
        <w:rPr>
          <w:rFonts w:ascii="Arial" w:cs="Arial" w:eastAsia="Arial" w:hAnsi="Arial"/>
          <w:sz w:val="17"/>
          <w:szCs w:val="17"/>
          <w:color w:val="auto"/>
        </w:rPr>
      </w:pPr>
    </w:p>
    <w:p>
      <w:pPr>
        <w:ind w:left="340" w:hanging="188"/>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Investments include marketable securities that we value using a market approach based on closing prices reported in the active market in which the identical security is traded (Level 1).</w:t>
      </w:r>
    </w:p>
    <w:p>
      <w:pPr>
        <w:spacing w:after="0" w:line="200" w:lineRule="exact"/>
        <w:rPr>
          <w:sz w:val="20"/>
          <w:szCs w:val="20"/>
          <w:color w:val="auto"/>
        </w:rPr>
      </w:pPr>
    </w:p>
    <w:p>
      <w:pPr>
        <w:spacing w:after="0" w:line="24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There were no transfers into or out of Level 1, Level 2 or Level 3 for Sempra Energy Consolidated, SDG&amp;E or SoCalGas during the periods presented, nor any changes in valuation techniques used in recurring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76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7630"/>
                    </a:xfrm>
                    <a:prstGeom prst="rect">
                      <a:avLst/>
                    </a:prstGeom>
                    <a:noFill/>
                  </pic:spPr>
                </pic:pic>
              </a:graphicData>
            </a:graphic>
          </wp:anchor>
        </w:drawing>
      </w:r>
    </w:p>
    <w:p>
      <w:pPr>
        <w:sectPr>
          <w:pgSz w:w="11900" w:h="16838" w:orient="portrait"/>
          <w:cols w:equalWidth="0" w:num="1">
            <w:col w:w="11420"/>
          </w:cols>
          <w:pgMar w:left="240" w:top="141" w:right="239" w:bottom="166" w:gutter="0" w:footer="0" w:header="0"/>
        </w:sectPr>
      </w:pPr>
    </w:p>
    <w:bookmarkStart w:id="31" w:name="page32"/>
    <w:bookmarkEnd w:id="31"/>
    <w:p>
      <w:pPr>
        <w:ind w:right="5540"/>
        <w:spacing w:after="0" w:line="261" w:lineRule="auto"/>
        <w:rPr>
          <w:sz w:val="20"/>
          <w:szCs w:val="20"/>
          <w:color w:val="auto"/>
        </w:rPr>
      </w:pPr>
      <w:r>
        <w:rPr>
          <w:rFonts w:ascii="Arial" w:cs="Arial" w:eastAsia="Arial" w:hAnsi="Arial"/>
          <w:sz w:val="16"/>
          <w:szCs w:val="16"/>
          <w:b w:val="1"/>
          <w:bCs w:val="1"/>
          <w:color w:val="auto"/>
        </w:rPr>
        <w:t xml:space="preserve">RECURRING FAIR VALUE MEASURES – SEMPRA ENERGY CONSOLIDATED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2228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50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center"/>
              <w:ind w:left="388"/>
              <w:spacing w:after="0" w:line="158" w:lineRule="exact"/>
              <w:rPr>
                <w:sz w:val="20"/>
                <w:szCs w:val="20"/>
                <w:color w:val="auto"/>
              </w:rPr>
            </w:pPr>
            <w:r>
              <w:rPr>
                <w:rFonts w:ascii="Arial" w:cs="Arial" w:eastAsia="Arial" w:hAnsi="Arial"/>
                <w:sz w:val="14"/>
                <w:szCs w:val="14"/>
                <w:color w:val="auto"/>
              </w:rPr>
              <w:t>At fair value as of March 31, 2013</w:t>
            </w:r>
          </w:p>
        </w:tc>
        <w:tc>
          <w:tcPr>
            <w:tcW w:w="9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5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center"/>
              <w:ind w:right="288"/>
              <w:spacing w:after="0"/>
              <w:rPr>
                <w:sz w:val="20"/>
                <w:szCs w:val="20"/>
                <w:color w:val="auto"/>
              </w:rPr>
            </w:pPr>
            <w:r>
              <w:rPr>
                <w:rFonts w:ascii="Arial" w:cs="Arial" w:eastAsia="Arial" w:hAnsi="Arial"/>
                <w:sz w:val="14"/>
                <w:szCs w:val="14"/>
                <w:color w:val="auto"/>
              </w:rPr>
              <w:t>Collateral</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Level 1</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Level 2</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Level 3</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color w:val="auto"/>
              </w:rPr>
              <w:t>netted</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31"/>
        </w:trPr>
        <w:tc>
          <w:tcPr>
            <w:tcW w:w="5080" w:type="dxa"/>
            <w:vAlign w:val="bottom"/>
          </w:tcPr>
          <w:p>
            <w:pPr>
              <w:spacing w:after="0"/>
              <w:rPr>
                <w:sz w:val="20"/>
                <w:szCs w:val="20"/>
                <w:color w:val="auto"/>
              </w:rPr>
            </w:pPr>
            <w:r>
              <w:rPr>
                <w:rFonts w:ascii="Arial" w:cs="Arial" w:eastAsia="Arial" w:hAnsi="Arial"/>
                <w:sz w:val="14"/>
                <w:szCs w:val="14"/>
                <w:color w:val="auto"/>
              </w:rPr>
              <w:t>Assets:</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569</w:t>
            </w:r>
          </w:p>
        </w:tc>
        <w:tc>
          <w:tcPr>
            <w:tcW w:w="3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center"/>
              <w:ind w:left="368"/>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569</w:t>
            </w:r>
          </w:p>
        </w:tc>
        <w:tc>
          <w:tcPr>
            <w:tcW w:w="0" w:type="dxa"/>
            <w:vAlign w:val="bottom"/>
          </w:tcPr>
          <w:p>
            <w:pPr>
              <w:spacing w:after="0"/>
              <w:rPr>
                <w:sz w:val="1"/>
                <w:szCs w:val="1"/>
                <w:color w:val="auto"/>
              </w:rPr>
            </w:pPr>
          </w:p>
        </w:tc>
      </w:tr>
      <w:tr>
        <w:trPr>
          <w:trHeight w:val="159"/>
        </w:trPr>
        <w:tc>
          <w:tcPr>
            <w:tcW w:w="5080" w:type="dxa"/>
            <w:vAlign w:val="bottom"/>
          </w:tcPr>
          <w:p>
            <w:pPr>
              <w:ind w:left="400"/>
              <w:spacing w:after="0" w:line="127" w:lineRule="exact"/>
              <w:rPr>
                <w:sz w:val="20"/>
                <w:szCs w:val="20"/>
                <w:color w:val="auto"/>
              </w:rPr>
            </w:pPr>
            <w:r>
              <w:rPr>
                <w:rFonts w:ascii="Arial" w:cs="Arial" w:eastAsia="Arial" w:hAnsi="Arial"/>
                <w:sz w:val="14"/>
                <w:szCs w:val="14"/>
                <w:color w:val="auto"/>
              </w:rPr>
              <w:t>Equity securities</w:t>
            </w:r>
          </w:p>
        </w:tc>
        <w:tc>
          <w:tcPr>
            <w:tcW w:w="46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5080" w:type="dxa"/>
            <w:vAlign w:val="bottom"/>
          </w:tcPr>
          <w:p>
            <w:pPr>
              <w:ind w:left="400"/>
              <w:spacing w:after="0"/>
              <w:rPr>
                <w:sz w:val="20"/>
                <w:szCs w:val="20"/>
                <w:color w:val="auto"/>
              </w:rPr>
            </w:pPr>
            <w:r>
              <w:rPr>
                <w:rFonts w:ascii="Arial" w:cs="Arial" w:eastAsia="Arial" w:hAnsi="Arial"/>
                <w:sz w:val="14"/>
                <w:szCs w:val="14"/>
                <w:color w:val="auto"/>
              </w:rPr>
              <w:t>Debt securities:</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560"/>
              <w:spacing w:after="0"/>
              <w:rPr>
                <w:sz w:val="20"/>
                <w:szCs w:val="20"/>
                <w:color w:val="auto"/>
              </w:rPr>
            </w:pPr>
            <w:r>
              <w:rPr>
                <w:rFonts w:ascii="Arial" w:cs="Arial" w:eastAsia="Arial" w:hAnsi="Arial"/>
                <w:sz w:val="14"/>
                <w:szCs w:val="14"/>
                <w:color w:val="auto"/>
              </w:rPr>
              <w:t>Debt securities issued by the U.S. Treasury and other</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106</w:t>
            </w:r>
          </w:p>
        </w:tc>
        <w:tc>
          <w:tcPr>
            <w:tcW w:w="36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71</w:t>
            </w:r>
          </w:p>
        </w:tc>
        <w:tc>
          <w:tcPr>
            <w:tcW w:w="36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960" w:type="dxa"/>
            <w:vAlign w:val="bottom"/>
          </w:tcPr>
          <w:p>
            <w:pPr>
              <w:jc w:val="center"/>
              <w:ind w:left="3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216"/>
        </w:trPr>
        <w:tc>
          <w:tcPr>
            <w:tcW w:w="508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64</w:t>
            </w:r>
          </w:p>
        </w:tc>
        <w:tc>
          <w:tcPr>
            <w:tcW w:w="36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960" w:type="dxa"/>
            <w:vAlign w:val="bottom"/>
          </w:tcPr>
          <w:p>
            <w:pPr>
              <w:jc w:val="center"/>
              <w:ind w:left="3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08"/>
        </w:trPr>
        <w:tc>
          <w:tcPr>
            <w:tcW w:w="5080" w:type="dxa"/>
            <w:vAlign w:val="bottom"/>
          </w:tcPr>
          <w:p>
            <w:pPr>
              <w:ind w:left="560"/>
              <w:spacing w:after="0"/>
              <w:rPr>
                <w:sz w:val="20"/>
                <w:szCs w:val="20"/>
                <w:color w:val="auto"/>
              </w:rPr>
            </w:pPr>
            <w:r>
              <w:rPr>
                <w:rFonts w:ascii="Arial" w:cs="Arial" w:eastAsia="Arial" w:hAnsi="Arial"/>
                <w:sz w:val="14"/>
                <w:szCs w:val="14"/>
                <w:color w:val="auto"/>
              </w:rPr>
              <w:t>Other securities</w:t>
            </w: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134</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23"/>
        </w:trPr>
        <w:tc>
          <w:tcPr>
            <w:tcW w:w="5080" w:type="dxa"/>
            <w:vAlign w:val="bottom"/>
          </w:tcPr>
          <w:p>
            <w:pPr>
              <w:ind w:left="400"/>
              <w:spacing w:after="0"/>
              <w:rPr>
                <w:sz w:val="20"/>
                <w:szCs w:val="20"/>
                <w:color w:val="auto"/>
              </w:rPr>
            </w:pPr>
            <w:r>
              <w:rPr>
                <w:rFonts w:ascii="Arial" w:cs="Arial" w:eastAsia="Arial" w:hAnsi="Arial"/>
                <w:sz w:val="14"/>
                <w:szCs w:val="14"/>
                <w:color w:val="auto"/>
              </w:rPr>
              <w:t>Total debt securities</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106</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269</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223"/>
        </w:trPr>
        <w:tc>
          <w:tcPr>
            <w:tcW w:w="5080" w:type="dxa"/>
            <w:vAlign w:val="bottom"/>
          </w:tcPr>
          <w:p>
            <w:pPr>
              <w:ind w:left="160"/>
              <w:spacing w:after="0"/>
              <w:rPr>
                <w:sz w:val="20"/>
                <w:szCs w:val="20"/>
                <w:color w:val="auto"/>
              </w:rPr>
            </w:pPr>
            <w:r>
              <w:rPr>
                <w:rFonts w:ascii="Arial" w:cs="Arial" w:eastAsia="Arial" w:hAnsi="Arial"/>
                <w:sz w:val="14"/>
                <w:szCs w:val="14"/>
                <w:color w:val="auto"/>
              </w:rPr>
              <w:t>Total nuclear decommissioning trusts(1)</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675</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269</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944</w:t>
            </w:r>
          </w:p>
        </w:tc>
        <w:tc>
          <w:tcPr>
            <w:tcW w:w="0" w:type="dxa"/>
            <w:vAlign w:val="bottom"/>
          </w:tcPr>
          <w:p>
            <w:pPr>
              <w:spacing w:after="0"/>
              <w:rPr>
                <w:sz w:val="1"/>
                <w:szCs w:val="1"/>
                <w:color w:val="auto"/>
              </w:rPr>
            </w:pPr>
          </w:p>
        </w:tc>
      </w:tr>
      <w:tr>
        <w:trPr>
          <w:trHeight w:val="231"/>
        </w:trPr>
        <w:tc>
          <w:tcPr>
            <w:tcW w:w="508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60" w:type="dxa"/>
            <w:vAlign w:val="bottom"/>
          </w:tcPr>
          <w:p>
            <w:pPr>
              <w:spacing w:after="0"/>
              <w:rPr>
                <w:sz w:val="20"/>
                <w:szCs w:val="20"/>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0"/>
                <w:szCs w:val="20"/>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65</w:t>
            </w:r>
          </w:p>
        </w:tc>
        <w:tc>
          <w:tcPr>
            <w:tcW w:w="360" w:type="dxa"/>
            <w:vAlign w:val="bottom"/>
          </w:tcPr>
          <w:p>
            <w:pPr>
              <w:spacing w:after="0"/>
              <w:rPr>
                <w:sz w:val="20"/>
                <w:szCs w:val="20"/>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0"/>
                <w:szCs w:val="20"/>
                <w:color w:val="auto"/>
              </w:rPr>
            </w:pPr>
          </w:p>
        </w:tc>
        <w:tc>
          <w:tcPr>
            <w:tcW w:w="960" w:type="dxa"/>
            <w:vAlign w:val="bottom"/>
          </w:tcPr>
          <w:p>
            <w:pPr>
              <w:jc w:val="center"/>
              <w:ind w:left="3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16"/>
        </w:trPr>
        <w:tc>
          <w:tcPr>
            <w:tcW w:w="50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22</w:t>
            </w:r>
          </w:p>
        </w:tc>
        <w:tc>
          <w:tcPr>
            <w:tcW w:w="36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36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58</w:t>
            </w:r>
          </w:p>
        </w:tc>
        <w:tc>
          <w:tcPr>
            <w:tcW w:w="460" w:type="dxa"/>
            <w:vAlign w:val="bottom"/>
          </w:tcPr>
          <w:p>
            <w:pPr>
              <w:spacing w:after="0"/>
              <w:rPr>
                <w:sz w:val="18"/>
                <w:szCs w:val="18"/>
                <w:color w:val="auto"/>
              </w:rPr>
            </w:pPr>
          </w:p>
        </w:tc>
        <w:tc>
          <w:tcPr>
            <w:tcW w:w="960" w:type="dxa"/>
            <w:vAlign w:val="bottom"/>
          </w:tcPr>
          <w:p>
            <w:pPr>
              <w:jc w:val="center"/>
              <w:ind w:left="3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08"/>
        </w:trPr>
        <w:tc>
          <w:tcPr>
            <w:tcW w:w="508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2"/>
        </w:trPr>
        <w:tc>
          <w:tcPr>
            <w:tcW w:w="508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712</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348</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58</w:t>
            </w:r>
          </w:p>
        </w:tc>
        <w:tc>
          <w:tcPr>
            <w:tcW w:w="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1,118</w:t>
            </w:r>
          </w:p>
        </w:tc>
        <w:tc>
          <w:tcPr>
            <w:tcW w:w="0" w:type="dxa"/>
            <w:vAlign w:val="bottom"/>
          </w:tcPr>
          <w:p>
            <w:pPr>
              <w:spacing w:after="0"/>
              <w:rPr>
                <w:sz w:val="1"/>
                <w:szCs w:val="1"/>
                <w:color w:val="auto"/>
              </w:rPr>
            </w:pPr>
          </w:p>
        </w:tc>
      </w:tr>
      <w:tr>
        <w:trPr>
          <w:trHeight w:val="21"/>
        </w:trPr>
        <w:tc>
          <w:tcPr>
            <w:tcW w:w="5080" w:type="dxa"/>
            <w:vAlign w:val="bottom"/>
            <w:vMerge w:val="continue"/>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5080" w:type="dxa"/>
            <w:vAlign w:val="bottom"/>
          </w:tcPr>
          <w:p>
            <w:pPr>
              <w:spacing w:after="0"/>
              <w:rPr>
                <w:sz w:val="20"/>
                <w:szCs w:val="20"/>
                <w:color w:val="auto"/>
              </w:rPr>
            </w:pPr>
            <w:r>
              <w:rPr>
                <w:rFonts w:ascii="Arial" w:cs="Arial" w:eastAsia="Arial" w:hAnsi="Arial"/>
                <w:sz w:val="14"/>
                <w:szCs w:val="14"/>
                <w:color w:val="auto"/>
              </w:rPr>
              <w:t>Liabilities:</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5080" w:type="dxa"/>
            <w:vAlign w:val="bottom"/>
          </w:tcPr>
          <w:p>
            <w:pPr>
              <w:ind w:left="160"/>
              <w:spacing w:after="0"/>
              <w:rPr>
                <w:sz w:val="20"/>
                <w:szCs w:val="20"/>
                <w:color w:val="auto"/>
              </w:rPr>
            </w:pPr>
            <w:r>
              <w:rPr>
                <w:rFonts w:ascii="Arial" w:cs="Arial" w:eastAsia="Arial" w:hAnsi="Arial"/>
                <w:sz w:val="14"/>
                <w:szCs w:val="14"/>
                <w:color w:val="auto"/>
              </w:rPr>
              <w:t>Interest rate and foreign exchange instruments</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134</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center"/>
              <w:ind w:left="36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16"/>
        </w:trPr>
        <w:tc>
          <w:tcPr>
            <w:tcW w:w="50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12</w:t>
            </w:r>
          </w:p>
        </w:tc>
        <w:tc>
          <w:tcPr>
            <w:tcW w:w="36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36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960" w:type="dxa"/>
            <w:vAlign w:val="bottom"/>
          </w:tcPr>
          <w:p>
            <w:pPr>
              <w:jc w:val="center"/>
              <w:ind w:left="348"/>
              <w:spacing w:after="0"/>
              <w:rPr>
                <w:sz w:val="20"/>
                <w:szCs w:val="20"/>
                <w:color w:val="auto"/>
              </w:rPr>
            </w:pPr>
            <w:r>
              <w:rPr>
                <w:rFonts w:ascii="Arial" w:cs="Arial" w:eastAsia="Arial" w:hAnsi="Arial"/>
                <w:sz w:val="14"/>
                <w:szCs w:val="14"/>
                <w:color w:val="auto"/>
              </w:rPr>
              <w:t>(12)</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8"/>
        </w:trPr>
        <w:tc>
          <w:tcPr>
            <w:tcW w:w="508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color w:val="auto"/>
              </w:rPr>
              <w:t>(19)</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2"/>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27</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160</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color w:val="auto"/>
              </w:rPr>
              <w:t>(31)</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1"/>
        </w:trPr>
        <w:tc>
          <w:tcPr>
            <w:tcW w:w="5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gridSpan w:val="5"/>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8"/>
        </w:trPr>
        <w:tc>
          <w:tcPr>
            <w:tcW w:w="50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5"/>
          </w:tcPr>
          <w:p>
            <w:pPr>
              <w:jc w:val="center"/>
              <w:ind w:right="428"/>
              <w:spacing w:after="0"/>
              <w:rPr>
                <w:sz w:val="20"/>
                <w:szCs w:val="20"/>
                <w:color w:val="auto"/>
              </w:rPr>
            </w:pPr>
            <w:r>
              <w:rPr>
                <w:rFonts w:ascii="Arial" w:cs="Arial" w:eastAsia="Arial" w:hAnsi="Arial"/>
                <w:sz w:val="14"/>
                <w:szCs w:val="14"/>
                <w:color w:val="auto"/>
              </w:rPr>
              <w:t>At fair value as of December 31, 2012</w:t>
            </w: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5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center"/>
              <w:ind w:right="288"/>
              <w:spacing w:after="0"/>
              <w:rPr>
                <w:sz w:val="20"/>
                <w:szCs w:val="20"/>
                <w:color w:val="auto"/>
              </w:rPr>
            </w:pPr>
            <w:r>
              <w:rPr>
                <w:rFonts w:ascii="Arial" w:cs="Arial" w:eastAsia="Arial" w:hAnsi="Arial"/>
                <w:sz w:val="14"/>
                <w:szCs w:val="14"/>
                <w:color w:val="auto"/>
              </w:rPr>
              <w:t>Collateral</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Level 1</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Level 2</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Level 3</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color w:val="auto"/>
              </w:rPr>
              <w:t>netted</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31"/>
        </w:trPr>
        <w:tc>
          <w:tcPr>
            <w:tcW w:w="5080" w:type="dxa"/>
            <w:vAlign w:val="bottom"/>
          </w:tcPr>
          <w:p>
            <w:pPr>
              <w:spacing w:after="0"/>
              <w:rPr>
                <w:sz w:val="20"/>
                <w:szCs w:val="20"/>
                <w:color w:val="auto"/>
              </w:rPr>
            </w:pPr>
            <w:r>
              <w:rPr>
                <w:rFonts w:ascii="Arial" w:cs="Arial" w:eastAsia="Arial" w:hAnsi="Arial"/>
                <w:sz w:val="14"/>
                <w:szCs w:val="14"/>
                <w:color w:val="auto"/>
              </w:rPr>
              <w:t>Assets:</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539</w:t>
            </w:r>
          </w:p>
        </w:tc>
        <w:tc>
          <w:tcPr>
            <w:tcW w:w="3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center"/>
              <w:ind w:left="368"/>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159"/>
        </w:trPr>
        <w:tc>
          <w:tcPr>
            <w:tcW w:w="5080" w:type="dxa"/>
            <w:vAlign w:val="bottom"/>
          </w:tcPr>
          <w:p>
            <w:pPr>
              <w:ind w:left="400"/>
              <w:spacing w:after="0" w:line="127" w:lineRule="exact"/>
              <w:rPr>
                <w:sz w:val="20"/>
                <w:szCs w:val="20"/>
                <w:color w:val="auto"/>
              </w:rPr>
            </w:pPr>
            <w:r>
              <w:rPr>
                <w:rFonts w:ascii="Arial" w:cs="Arial" w:eastAsia="Arial" w:hAnsi="Arial"/>
                <w:sz w:val="14"/>
                <w:szCs w:val="14"/>
                <w:color w:val="auto"/>
              </w:rPr>
              <w:t>Equity securities</w:t>
            </w:r>
          </w:p>
        </w:tc>
        <w:tc>
          <w:tcPr>
            <w:tcW w:w="46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5080" w:type="dxa"/>
            <w:vAlign w:val="bottom"/>
          </w:tcPr>
          <w:p>
            <w:pPr>
              <w:ind w:left="400"/>
              <w:spacing w:after="0"/>
              <w:rPr>
                <w:sz w:val="20"/>
                <w:szCs w:val="20"/>
                <w:color w:val="auto"/>
              </w:rPr>
            </w:pPr>
            <w:r>
              <w:rPr>
                <w:rFonts w:ascii="Arial" w:cs="Arial" w:eastAsia="Arial" w:hAnsi="Arial"/>
                <w:sz w:val="14"/>
                <w:szCs w:val="14"/>
                <w:color w:val="auto"/>
              </w:rPr>
              <w:t>Debt securities:</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560"/>
              <w:spacing w:after="0"/>
              <w:rPr>
                <w:sz w:val="20"/>
                <w:szCs w:val="20"/>
                <w:color w:val="auto"/>
              </w:rPr>
            </w:pPr>
            <w:r>
              <w:rPr>
                <w:rFonts w:ascii="Arial" w:cs="Arial" w:eastAsia="Arial" w:hAnsi="Arial"/>
                <w:sz w:val="14"/>
                <w:szCs w:val="14"/>
                <w:color w:val="auto"/>
              </w:rPr>
              <w:t>Debt securities issued by the U.S. Treasury and other</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87</w:t>
            </w:r>
          </w:p>
        </w:tc>
        <w:tc>
          <w:tcPr>
            <w:tcW w:w="36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69</w:t>
            </w:r>
          </w:p>
        </w:tc>
        <w:tc>
          <w:tcPr>
            <w:tcW w:w="36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960" w:type="dxa"/>
            <w:vAlign w:val="bottom"/>
          </w:tcPr>
          <w:p>
            <w:pPr>
              <w:jc w:val="center"/>
              <w:ind w:left="3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16"/>
        </w:trPr>
        <w:tc>
          <w:tcPr>
            <w:tcW w:w="508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63</w:t>
            </w:r>
          </w:p>
        </w:tc>
        <w:tc>
          <w:tcPr>
            <w:tcW w:w="36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960" w:type="dxa"/>
            <w:vAlign w:val="bottom"/>
          </w:tcPr>
          <w:p>
            <w:pPr>
              <w:jc w:val="center"/>
              <w:ind w:left="3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8"/>
        </w:trPr>
        <w:tc>
          <w:tcPr>
            <w:tcW w:w="5080" w:type="dxa"/>
            <w:vAlign w:val="bottom"/>
          </w:tcPr>
          <w:p>
            <w:pPr>
              <w:ind w:left="560"/>
              <w:spacing w:after="0"/>
              <w:rPr>
                <w:sz w:val="20"/>
                <w:szCs w:val="20"/>
                <w:color w:val="auto"/>
              </w:rPr>
            </w:pPr>
            <w:r>
              <w:rPr>
                <w:rFonts w:ascii="Arial" w:cs="Arial" w:eastAsia="Arial" w:hAnsi="Arial"/>
                <w:sz w:val="14"/>
                <w:szCs w:val="14"/>
                <w:color w:val="auto"/>
              </w:rPr>
              <w:t>Other securities</w:t>
            </w: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130</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23"/>
        </w:trPr>
        <w:tc>
          <w:tcPr>
            <w:tcW w:w="5080" w:type="dxa"/>
            <w:vAlign w:val="bottom"/>
          </w:tcPr>
          <w:p>
            <w:pPr>
              <w:ind w:left="400"/>
              <w:spacing w:after="0"/>
              <w:rPr>
                <w:sz w:val="20"/>
                <w:szCs w:val="20"/>
                <w:color w:val="auto"/>
              </w:rPr>
            </w:pPr>
            <w:r>
              <w:rPr>
                <w:rFonts w:ascii="Arial" w:cs="Arial" w:eastAsia="Arial" w:hAnsi="Arial"/>
                <w:sz w:val="14"/>
                <w:szCs w:val="14"/>
                <w:color w:val="auto"/>
              </w:rPr>
              <w:t>Total debt securities</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87</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262</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223"/>
        </w:trPr>
        <w:tc>
          <w:tcPr>
            <w:tcW w:w="5080" w:type="dxa"/>
            <w:vAlign w:val="bottom"/>
          </w:tcPr>
          <w:p>
            <w:pPr>
              <w:ind w:left="160"/>
              <w:spacing w:after="0"/>
              <w:rPr>
                <w:sz w:val="20"/>
                <w:szCs w:val="20"/>
                <w:color w:val="auto"/>
              </w:rPr>
            </w:pPr>
            <w:r>
              <w:rPr>
                <w:rFonts w:ascii="Arial" w:cs="Arial" w:eastAsia="Arial" w:hAnsi="Arial"/>
                <w:sz w:val="14"/>
                <w:szCs w:val="14"/>
                <w:color w:val="auto"/>
              </w:rPr>
              <w:t>Total nuclear decommissioning trusts(1)</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626</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262</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w:t>
            </w:r>
          </w:p>
        </w:tc>
        <w:tc>
          <w:tcPr>
            <w:tcW w:w="0" w:type="dxa"/>
            <w:vAlign w:val="bottom"/>
          </w:tcPr>
          <w:p>
            <w:pPr>
              <w:spacing w:after="0"/>
              <w:rPr>
                <w:sz w:val="1"/>
                <w:szCs w:val="1"/>
                <w:color w:val="auto"/>
              </w:rPr>
            </w:pPr>
          </w:p>
        </w:tc>
      </w:tr>
      <w:tr>
        <w:trPr>
          <w:trHeight w:val="231"/>
        </w:trPr>
        <w:tc>
          <w:tcPr>
            <w:tcW w:w="508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60" w:type="dxa"/>
            <w:vAlign w:val="bottom"/>
          </w:tcPr>
          <w:p>
            <w:pPr>
              <w:spacing w:after="0"/>
              <w:rPr>
                <w:sz w:val="20"/>
                <w:szCs w:val="20"/>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0"/>
                <w:szCs w:val="20"/>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68</w:t>
            </w:r>
          </w:p>
        </w:tc>
        <w:tc>
          <w:tcPr>
            <w:tcW w:w="360" w:type="dxa"/>
            <w:vAlign w:val="bottom"/>
          </w:tcPr>
          <w:p>
            <w:pPr>
              <w:spacing w:after="0"/>
              <w:rPr>
                <w:sz w:val="20"/>
                <w:szCs w:val="20"/>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0"/>
                <w:szCs w:val="20"/>
                <w:color w:val="auto"/>
              </w:rPr>
            </w:pPr>
          </w:p>
        </w:tc>
        <w:tc>
          <w:tcPr>
            <w:tcW w:w="960" w:type="dxa"/>
            <w:vAlign w:val="bottom"/>
          </w:tcPr>
          <w:p>
            <w:pPr>
              <w:jc w:val="center"/>
              <w:ind w:left="3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16"/>
        </w:trPr>
        <w:tc>
          <w:tcPr>
            <w:tcW w:w="50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13</w:t>
            </w:r>
          </w:p>
        </w:tc>
        <w:tc>
          <w:tcPr>
            <w:tcW w:w="36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61</w:t>
            </w:r>
          </w:p>
        </w:tc>
        <w:tc>
          <w:tcPr>
            <w:tcW w:w="460" w:type="dxa"/>
            <w:vAlign w:val="bottom"/>
          </w:tcPr>
          <w:p>
            <w:pPr>
              <w:spacing w:after="0"/>
              <w:rPr>
                <w:sz w:val="18"/>
                <w:szCs w:val="18"/>
                <w:color w:val="auto"/>
              </w:rPr>
            </w:pPr>
          </w:p>
        </w:tc>
        <w:tc>
          <w:tcPr>
            <w:tcW w:w="960" w:type="dxa"/>
            <w:vAlign w:val="bottom"/>
          </w:tcPr>
          <w:p>
            <w:pPr>
              <w:jc w:val="center"/>
              <w:ind w:left="3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16"/>
        </w:trPr>
        <w:tc>
          <w:tcPr>
            <w:tcW w:w="508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28</w:t>
            </w:r>
          </w:p>
        </w:tc>
        <w:tc>
          <w:tcPr>
            <w:tcW w:w="36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15</w:t>
            </w:r>
          </w:p>
        </w:tc>
        <w:tc>
          <w:tcPr>
            <w:tcW w:w="36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960" w:type="dxa"/>
            <w:vAlign w:val="bottom"/>
          </w:tcPr>
          <w:p>
            <w:pPr>
              <w:jc w:val="center"/>
              <w:ind w:left="3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8"/>
        </w:trPr>
        <w:tc>
          <w:tcPr>
            <w:tcW w:w="5080" w:type="dxa"/>
            <w:vAlign w:val="bottom"/>
          </w:tcPr>
          <w:p>
            <w:pPr>
              <w:ind w:left="160"/>
              <w:spacing w:after="0"/>
              <w:rPr>
                <w:sz w:val="20"/>
                <w:szCs w:val="20"/>
                <w:color w:val="auto"/>
              </w:rPr>
            </w:pPr>
            <w:r>
              <w:rPr>
                <w:rFonts w:ascii="Arial" w:cs="Arial" w:eastAsia="Arial" w:hAnsi="Arial"/>
                <w:sz w:val="14"/>
                <w:szCs w:val="14"/>
                <w:color w:val="auto"/>
              </w:rPr>
              <w:t>Investments</w:t>
            </w: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508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668</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345</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61</w:t>
            </w:r>
          </w:p>
        </w:tc>
        <w:tc>
          <w:tcPr>
            <w:tcW w:w="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1,074</w:t>
            </w:r>
          </w:p>
        </w:tc>
        <w:tc>
          <w:tcPr>
            <w:tcW w:w="0" w:type="dxa"/>
            <w:vAlign w:val="bottom"/>
          </w:tcPr>
          <w:p>
            <w:pPr>
              <w:spacing w:after="0"/>
              <w:rPr>
                <w:sz w:val="1"/>
                <w:szCs w:val="1"/>
                <w:color w:val="auto"/>
              </w:rPr>
            </w:pPr>
          </w:p>
        </w:tc>
      </w:tr>
      <w:tr>
        <w:trPr>
          <w:trHeight w:val="21"/>
        </w:trPr>
        <w:tc>
          <w:tcPr>
            <w:tcW w:w="5080" w:type="dxa"/>
            <w:vAlign w:val="bottom"/>
            <w:vMerge w:val="continue"/>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5080" w:type="dxa"/>
            <w:vAlign w:val="bottom"/>
          </w:tcPr>
          <w:p>
            <w:pPr>
              <w:spacing w:after="0"/>
              <w:rPr>
                <w:sz w:val="20"/>
                <w:szCs w:val="20"/>
                <w:color w:val="auto"/>
              </w:rPr>
            </w:pPr>
            <w:r>
              <w:rPr>
                <w:rFonts w:ascii="Arial" w:cs="Arial" w:eastAsia="Arial" w:hAnsi="Arial"/>
                <w:sz w:val="14"/>
                <w:szCs w:val="14"/>
                <w:color w:val="auto"/>
              </w:rPr>
              <w:t>Liabilities:</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508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126</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center"/>
              <w:ind w:left="36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16"/>
        </w:trPr>
        <w:tc>
          <w:tcPr>
            <w:tcW w:w="50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23</w:t>
            </w:r>
          </w:p>
        </w:tc>
        <w:tc>
          <w:tcPr>
            <w:tcW w:w="36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36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960" w:type="dxa"/>
            <w:vAlign w:val="bottom"/>
          </w:tcPr>
          <w:p>
            <w:pPr>
              <w:jc w:val="center"/>
              <w:ind w:left="348"/>
              <w:spacing w:after="0"/>
              <w:rPr>
                <w:sz w:val="20"/>
                <w:szCs w:val="20"/>
                <w:color w:val="auto"/>
              </w:rPr>
            </w:pPr>
            <w:r>
              <w:rPr>
                <w:rFonts w:ascii="Arial" w:cs="Arial" w:eastAsia="Arial" w:hAnsi="Arial"/>
                <w:sz w:val="14"/>
                <w:szCs w:val="14"/>
                <w:color w:val="auto"/>
              </w:rPr>
              <w:t>(23)</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8"/>
        </w:trPr>
        <w:tc>
          <w:tcPr>
            <w:tcW w:w="508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color w:val="auto"/>
              </w:rPr>
              <w:t>(11)</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2"/>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29</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158</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color w:val="auto"/>
              </w:rPr>
              <w:t>(34)</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1"/>
        </w:trPr>
        <w:tc>
          <w:tcPr>
            <w:tcW w:w="5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500" w:hanging="337"/>
        <w:spacing w:after="0"/>
        <w:tabs>
          <w:tab w:leader="none" w:pos="500" w:val="left"/>
        </w:tabs>
        <w:numPr>
          <w:ilvl w:val="0"/>
          <w:numId w:val="45"/>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balances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RECURRING FAIR VALUE MEASURES – 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color w:val="auto"/>
              </w:rPr>
              <w:t>At fair value as of March 31, 2013</w:t>
            </w: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5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ind w:left="120"/>
              <w:spacing w:after="0"/>
              <w:rPr>
                <w:sz w:val="20"/>
                <w:szCs w:val="20"/>
                <w:color w:val="auto"/>
              </w:rPr>
            </w:pPr>
            <w:r>
              <w:rPr>
                <w:rFonts w:ascii="Arial" w:cs="Arial" w:eastAsia="Arial" w:hAnsi="Arial"/>
                <w:sz w:val="14"/>
                <w:szCs w:val="14"/>
                <w:color w:val="auto"/>
              </w:rPr>
              <w:t>Collateral</w:t>
            </w: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2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Level 3</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netted</w:t>
            </w: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31"/>
        </w:trPr>
        <w:tc>
          <w:tcPr>
            <w:tcW w:w="5280" w:type="dxa"/>
            <w:vAlign w:val="bottom"/>
          </w:tcPr>
          <w:p>
            <w:pPr>
              <w:spacing w:after="0"/>
              <w:rPr>
                <w:sz w:val="20"/>
                <w:szCs w:val="20"/>
                <w:color w:val="auto"/>
              </w:rPr>
            </w:pPr>
            <w:r>
              <w:rPr>
                <w:rFonts w:ascii="Arial" w:cs="Arial" w:eastAsia="Arial" w:hAnsi="Arial"/>
                <w:sz w:val="14"/>
                <w:szCs w:val="14"/>
                <w:color w:val="auto"/>
              </w:rPr>
              <w:t>Assets: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569</w:t>
            </w: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ind w:left="740"/>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569</w:t>
            </w:r>
          </w:p>
        </w:tc>
        <w:tc>
          <w:tcPr>
            <w:tcW w:w="0" w:type="dxa"/>
            <w:vAlign w:val="bottom"/>
          </w:tcPr>
          <w:p>
            <w:pPr>
              <w:spacing w:after="0"/>
              <w:rPr>
                <w:sz w:val="1"/>
                <w:szCs w:val="1"/>
                <w:color w:val="auto"/>
              </w:rPr>
            </w:pPr>
          </w:p>
        </w:tc>
      </w:tr>
      <w:tr>
        <w:trPr>
          <w:trHeight w:val="159"/>
        </w:trPr>
        <w:tc>
          <w:tcPr>
            <w:tcW w:w="5280" w:type="dxa"/>
            <w:vAlign w:val="bottom"/>
          </w:tcPr>
          <w:p>
            <w:pPr>
              <w:ind w:left="400"/>
              <w:spacing w:after="0" w:line="127" w:lineRule="exact"/>
              <w:rPr>
                <w:sz w:val="20"/>
                <w:szCs w:val="20"/>
                <w:color w:val="auto"/>
              </w:rPr>
            </w:pPr>
            <w:r>
              <w:rPr>
                <w:rFonts w:ascii="Arial" w:cs="Arial" w:eastAsia="Arial" w:hAnsi="Arial"/>
                <w:sz w:val="14"/>
                <w:szCs w:val="14"/>
                <w:color w:val="auto"/>
              </w:rPr>
              <w:t>Equity securities</w:t>
            </w:r>
          </w:p>
        </w:tc>
        <w:tc>
          <w:tcPr>
            <w:tcW w:w="44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5280" w:type="dxa"/>
            <w:vAlign w:val="bottom"/>
          </w:tcPr>
          <w:p>
            <w:pPr>
              <w:ind w:left="400"/>
              <w:spacing w:after="0"/>
              <w:rPr>
                <w:sz w:val="20"/>
                <w:szCs w:val="20"/>
                <w:color w:val="auto"/>
              </w:rPr>
            </w:pPr>
            <w:r>
              <w:rPr>
                <w:rFonts w:ascii="Arial" w:cs="Arial" w:eastAsia="Arial" w:hAnsi="Arial"/>
                <w:sz w:val="14"/>
                <w:szCs w:val="14"/>
                <w:color w:val="auto"/>
              </w:rPr>
              <w:t>Debt securities: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560"/>
              <w:spacing w:after="0"/>
              <w:rPr>
                <w:sz w:val="20"/>
                <w:szCs w:val="20"/>
                <w:color w:val="auto"/>
              </w:rPr>
            </w:pPr>
            <w:r>
              <w:rPr>
                <w:rFonts w:ascii="Arial" w:cs="Arial" w:eastAsia="Arial" w:hAnsi="Arial"/>
                <w:sz w:val="14"/>
                <w:szCs w:val="14"/>
                <w:color w:val="auto"/>
              </w:rPr>
              <w:t>Debt securities issued by the U.S. Treasury and other</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106</w:t>
            </w:r>
          </w:p>
        </w:tc>
        <w:tc>
          <w:tcPr>
            <w:tcW w:w="32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71</w:t>
            </w:r>
          </w:p>
        </w:tc>
        <w:tc>
          <w:tcPr>
            <w:tcW w:w="3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60" w:type="dxa"/>
            <w:vAlign w:val="bottom"/>
          </w:tcPr>
          <w:p>
            <w:pPr>
              <w:ind w:left="7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216"/>
        </w:trPr>
        <w:tc>
          <w:tcPr>
            <w:tcW w:w="528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64</w:t>
            </w:r>
          </w:p>
        </w:tc>
        <w:tc>
          <w:tcPr>
            <w:tcW w:w="3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60" w:type="dxa"/>
            <w:vAlign w:val="bottom"/>
          </w:tcPr>
          <w:p>
            <w:pPr>
              <w:ind w:left="7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08"/>
        </w:trPr>
        <w:tc>
          <w:tcPr>
            <w:tcW w:w="5280" w:type="dxa"/>
            <w:vAlign w:val="bottom"/>
          </w:tcPr>
          <w:p>
            <w:pPr>
              <w:ind w:left="560"/>
              <w:spacing w:after="0"/>
              <w:rPr>
                <w:sz w:val="20"/>
                <w:szCs w:val="20"/>
                <w:color w:val="auto"/>
              </w:rPr>
            </w:pPr>
            <w:r>
              <w:rPr>
                <w:rFonts w:ascii="Arial" w:cs="Arial" w:eastAsia="Arial" w:hAnsi="Arial"/>
                <w:sz w:val="14"/>
                <w:szCs w:val="14"/>
                <w:color w:val="auto"/>
              </w:rPr>
              <w:t>Other securities</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134</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23"/>
        </w:trPr>
        <w:tc>
          <w:tcPr>
            <w:tcW w:w="5280" w:type="dxa"/>
            <w:vAlign w:val="bottom"/>
          </w:tcPr>
          <w:p>
            <w:pPr>
              <w:ind w:left="400"/>
              <w:spacing w:after="0"/>
              <w:rPr>
                <w:sz w:val="20"/>
                <w:szCs w:val="20"/>
                <w:color w:val="auto"/>
              </w:rPr>
            </w:pPr>
            <w:r>
              <w:rPr>
                <w:rFonts w:ascii="Arial" w:cs="Arial" w:eastAsia="Arial" w:hAnsi="Arial"/>
                <w:sz w:val="14"/>
                <w:szCs w:val="14"/>
                <w:color w:val="auto"/>
              </w:rPr>
              <w:t>Total debt securities</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106</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269</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223"/>
        </w:trPr>
        <w:tc>
          <w:tcPr>
            <w:tcW w:w="5280" w:type="dxa"/>
            <w:vAlign w:val="bottom"/>
          </w:tcPr>
          <w:p>
            <w:pPr>
              <w:ind w:left="160"/>
              <w:spacing w:after="0"/>
              <w:rPr>
                <w:sz w:val="20"/>
                <w:szCs w:val="20"/>
                <w:color w:val="auto"/>
              </w:rPr>
            </w:pPr>
            <w:r>
              <w:rPr>
                <w:rFonts w:ascii="Arial" w:cs="Arial" w:eastAsia="Arial" w:hAnsi="Arial"/>
                <w:sz w:val="14"/>
                <w:szCs w:val="14"/>
                <w:color w:val="auto"/>
              </w:rPr>
              <w:t>Total nuclear decommissioning trusts(1)</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675</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269</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944</w:t>
            </w:r>
          </w:p>
        </w:tc>
        <w:tc>
          <w:tcPr>
            <w:tcW w:w="0" w:type="dxa"/>
            <w:vAlign w:val="bottom"/>
          </w:tcPr>
          <w:p>
            <w:pPr>
              <w:spacing w:after="0"/>
              <w:rPr>
                <w:sz w:val="1"/>
                <w:szCs w:val="1"/>
                <w:color w:val="auto"/>
              </w:rPr>
            </w:pPr>
          </w:p>
        </w:tc>
      </w:tr>
      <w:tr>
        <w:trPr>
          <w:trHeight w:val="231"/>
        </w:trPr>
        <w:tc>
          <w:tcPr>
            <w:tcW w:w="52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Pr>
          <w:p>
            <w:pPr>
              <w:spacing w:after="0"/>
              <w:rPr>
                <w:sz w:val="20"/>
                <w:szCs w:val="20"/>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20</w:t>
            </w:r>
          </w:p>
        </w:tc>
        <w:tc>
          <w:tcPr>
            <w:tcW w:w="320" w:type="dxa"/>
            <w:vAlign w:val="bottom"/>
          </w:tcPr>
          <w:p>
            <w:pPr>
              <w:spacing w:after="0"/>
              <w:rPr>
                <w:sz w:val="20"/>
                <w:szCs w:val="20"/>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0"/>
                <w:szCs w:val="20"/>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58</w:t>
            </w:r>
          </w:p>
        </w:tc>
        <w:tc>
          <w:tcPr>
            <w:tcW w:w="340" w:type="dxa"/>
            <w:vAlign w:val="bottom"/>
          </w:tcPr>
          <w:p>
            <w:pPr>
              <w:spacing w:after="0"/>
              <w:rPr>
                <w:sz w:val="20"/>
                <w:szCs w:val="20"/>
                <w:color w:val="auto"/>
              </w:rPr>
            </w:pPr>
          </w:p>
        </w:tc>
        <w:tc>
          <w:tcPr>
            <w:tcW w:w="1060" w:type="dxa"/>
            <w:vAlign w:val="bottom"/>
          </w:tcPr>
          <w:p>
            <w:pPr>
              <w:ind w:left="7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08"/>
        </w:trPr>
        <w:tc>
          <w:tcPr>
            <w:tcW w:w="528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528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696</w:t>
            </w: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269</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58</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1,023</w:t>
            </w:r>
          </w:p>
        </w:tc>
        <w:tc>
          <w:tcPr>
            <w:tcW w:w="0" w:type="dxa"/>
            <w:vAlign w:val="bottom"/>
          </w:tcPr>
          <w:p>
            <w:pPr>
              <w:spacing w:after="0"/>
              <w:rPr>
                <w:sz w:val="1"/>
                <w:szCs w:val="1"/>
                <w:color w:val="auto"/>
              </w:rPr>
            </w:pPr>
          </w:p>
        </w:tc>
      </w:tr>
      <w:tr>
        <w:trPr>
          <w:trHeight w:val="21"/>
        </w:trPr>
        <w:tc>
          <w:tcPr>
            <w:tcW w:w="5280" w:type="dxa"/>
            <w:vAlign w:val="bottom"/>
            <w:vMerge w:val="continue"/>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32" w:name="page33"/>
    <w:bookmarkEnd w:id="32"/>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80" w:type="dxa"/>
            <w:vAlign w:val="bottom"/>
          </w:tcPr>
          <w:p>
            <w:pPr>
              <w:spacing w:after="0"/>
              <w:rPr>
                <w:sz w:val="20"/>
                <w:szCs w:val="20"/>
                <w:color w:val="auto"/>
              </w:rPr>
            </w:pPr>
            <w:r>
              <w:rPr>
                <w:rFonts w:ascii="Arial" w:cs="Arial" w:eastAsia="Arial" w:hAnsi="Arial"/>
                <w:sz w:val="14"/>
                <w:szCs w:val="14"/>
                <w:color w:val="auto"/>
              </w:rPr>
              <w:t>Liabilities:</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16"/>
        </w:trPr>
        <w:tc>
          <w:tcPr>
            <w:tcW w:w="528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6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75</w:t>
            </w:r>
          </w:p>
        </w:tc>
        <w:tc>
          <w:tcPr>
            <w:tcW w:w="5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20" w:type="dxa"/>
            <w:vAlign w:val="bottom"/>
          </w:tcPr>
          <w:p>
            <w:pPr>
              <w:ind w:left="3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00" w:type="dxa"/>
            <w:vAlign w:val="bottom"/>
          </w:tcPr>
          <w:p>
            <w:pPr>
              <w:jc w:val="center"/>
              <w:ind w:left="2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208"/>
        </w:trPr>
        <w:tc>
          <w:tcPr>
            <w:tcW w:w="52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6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w:t>
            </w:r>
          </w:p>
        </w:tc>
        <w:tc>
          <w:tcPr>
            <w:tcW w:w="5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w:t>
            </w: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color w:val="auto"/>
              </w:rPr>
              <w:t>(11)</w:t>
            </w:r>
          </w:p>
        </w:tc>
        <w:tc>
          <w:tcPr>
            <w:tcW w:w="6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162"/>
        </w:trPr>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w:t>
            </w:r>
          </w:p>
        </w:tc>
        <w:tc>
          <w:tcPr>
            <w:tcW w:w="5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78</w:t>
            </w:r>
          </w:p>
        </w:tc>
        <w:tc>
          <w:tcPr>
            <w:tcW w:w="5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color w:val="auto"/>
              </w:rPr>
              <w:t>(11)</w:t>
            </w:r>
          </w:p>
        </w:tc>
        <w:tc>
          <w:tcPr>
            <w:tcW w:w="6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r>
      <w:tr>
        <w:trPr>
          <w:trHeight w:val="21"/>
        </w:trPr>
        <w:tc>
          <w:tcPr>
            <w:tcW w:w="5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color w:val="auto"/>
              </w:rPr>
              <w:t>At fair value as of December 31, 2012</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5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center"/>
              <w:ind w:right="168"/>
              <w:spacing w:after="0"/>
              <w:rPr>
                <w:sz w:val="20"/>
                <w:szCs w:val="20"/>
                <w:color w:val="auto"/>
              </w:rPr>
            </w:pPr>
            <w:r>
              <w:rPr>
                <w:rFonts w:ascii="Arial" w:cs="Arial" w:eastAsia="Arial" w:hAnsi="Arial"/>
                <w:sz w:val="14"/>
                <w:szCs w:val="14"/>
                <w:color w:val="auto"/>
              </w:rPr>
              <w:t>Collateral</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2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Level 3</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rPr>
              <w:t>netted</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31"/>
        </w:trPr>
        <w:tc>
          <w:tcPr>
            <w:tcW w:w="5280" w:type="dxa"/>
            <w:vAlign w:val="bottom"/>
          </w:tcPr>
          <w:p>
            <w:pPr>
              <w:spacing w:after="0"/>
              <w:rPr>
                <w:sz w:val="20"/>
                <w:szCs w:val="20"/>
                <w:color w:val="auto"/>
              </w:rPr>
            </w:pPr>
            <w:r>
              <w:rPr>
                <w:rFonts w:ascii="Arial" w:cs="Arial" w:eastAsia="Arial" w:hAnsi="Arial"/>
                <w:sz w:val="14"/>
                <w:szCs w:val="14"/>
                <w:color w:val="auto"/>
              </w:rPr>
              <w:t>Assets: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539</w:t>
            </w: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159"/>
        </w:trPr>
        <w:tc>
          <w:tcPr>
            <w:tcW w:w="5280" w:type="dxa"/>
            <w:vAlign w:val="bottom"/>
          </w:tcPr>
          <w:p>
            <w:pPr>
              <w:ind w:left="400"/>
              <w:spacing w:after="0" w:line="127" w:lineRule="exact"/>
              <w:rPr>
                <w:sz w:val="20"/>
                <w:szCs w:val="20"/>
                <w:color w:val="auto"/>
              </w:rPr>
            </w:pPr>
            <w:r>
              <w:rPr>
                <w:rFonts w:ascii="Arial" w:cs="Arial" w:eastAsia="Arial" w:hAnsi="Arial"/>
                <w:sz w:val="14"/>
                <w:szCs w:val="14"/>
                <w:color w:val="auto"/>
              </w:rPr>
              <w:t>Equity securities</w:t>
            </w:r>
          </w:p>
        </w:tc>
        <w:tc>
          <w:tcPr>
            <w:tcW w:w="44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5280" w:type="dxa"/>
            <w:vAlign w:val="bottom"/>
          </w:tcPr>
          <w:p>
            <w:pPr>
              <w:ind w:left="400"/>
              <w:spacing w:after="0"/>
              <w:rPr>
                <w:sz w:val="20"/>
                <w:szCs w:val="20"/>
                <w:color w:val="auto"/>
              </w:rPr>
            </w:pPr>
            <w:r>
              <w:rPr>
                <w:rFonts w:ascii="Arial" w:cs="Arial" w:eastAsia="Arial" w:hAnsi="Arial"/>
                <w:sz w:val="14"/>
                <w:szCs w:val="14"/>
                <w:color w:val="auto"/>
              </w:rPr>
              <w:t>Debt securities: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560"/>
              <w:spacing w:after="0"/>
              <w:rPr>
                <w:sz w:val="20"/>
                <w:szCs w:val="20"/>
                <w:color w:val="auto"/>
              </w:rPr>
            </w:pPr>
            <w:r>
              <w:rPr>
                <w:rFonts w:ascii="Arial" w:cs="Arial" w:eastAsia="Arial" w:hAnsi="Arial"/>
                <w:sz w:val="14"/>
                <w:szCs w:val="14"/>
                <w:color w:val="auto"/>
              </w:rPr>
              <w:t>Debt securities issued by the U.S. Treasury and other</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87</w:t>
            </w:r>
          </w:p>
        </w:tc>
        <w:tc>
          <w:tcPr>
            <w:tcW w:w="32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69</w:t>
            </w:r>
          </w:p>
        </w:tc>
        <w:tc>
          <w:tcPr>
            <w:tcW w:w="3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80" w:type="dxa"/>
            <w:vAlign w:val="bottom"/>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16"/>
        </w:trPr>
        <w:tc>
          <w:tcPr>
            <w:tcW w:w="528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63</w:t>
            </w:r>
          </w:p>
        </w:tc>
        <w:tc>
          <w:tcPr>
            <w:tcW w:w="3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80" w:type="dxa"/>
            <w:vAlign w:val="bottom"/>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8"/>
        </w:trPr>
        <w:tc>
          <w:tcPr>
            <w:tcW w:w="5280" w:type="dxa"/>
            <w:vAlign w:val="bottom"/>
          </w:tcPr>
          <w:p>
            <w:pPr>
              <w:ind w:left="560"/>
              <w:spacing w:after="0"/>
              <w:rPr>
                <w:sz w:val="20"/>
                <w:szCs w:val="20"/>
                <w:color w:val="auto"/>
              </w:rPr>
            </w:pPr>
            <w:r>
              <w:rPr>
                <w:rFonts w:ascii="Arial" w:cs="Arial" w:eastAsia="Arial" w:hAnsi="Arial"/>
                <w:sz w:val="14"/>
                <w:szCs w:val="14"/>
                <w:color w:val="auto"/>
              </w:rPr>
              <w:t>Other securities</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130</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23"/>
        </w:trPr>
        <w:tc>
          <w:tcPr>
            <w:tcW w:w="5280" w:type="dxa"/>
            <w:vAlign w:val="bottom"/>
          </w:tcPr>
          <w:p>
            <w:pPr>
              <w:ind w:left="400"/>
              <w:spacing w:after="0"/>
              <w:rPr>
                <w:sz w:val="20"/>
                <w:szCs w:val="20"/>
                <w:color w:val="auto"/>
              </w:rPr>
            </w:pPr>
            <w:r>
              <w:rPr>
                <w:rFonts w:ascii="Arial" w:cs="Arial" w:eastAsia="Arial" w:hAnsi="Arial"/>
                <w:sz w:val="14"/>
                <w:szCs w:val="14"/>
                <w:color w:val="auto"/>
              </w:rPr>
              <w:t>Total debt securities</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87</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262</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223"/>
        </w:trPr>
        <w:tc>
          <w:tcPr>
            <w:tcW w:w="5280" w:type="dxa"/>
            <w:vAlign w:val="bottom"/>
          </w:tcPr>
          <w:p>
            <w:pPr>
              <w:ind w:left="160"/>
              <w:spacing w:after="0"/>
              <w:rPr>
                <w:sz w:val="20"/>
                <w:szCs w:val="20"/>
                <w:color w:val="auto"/>
              </w:rPr>
            </w:pPr>
            <w:r>
              <w:rPr>
                <w:rFonts w:ascii="Arial" w:cs="Arial" w:eastAsia="Arial" w:hAnsi="Arial"/>
                <w:sz w:val="14"/>
                <w:szCs w:val="14"/>
                <w:color w:val="auto"/>
              </w:rPr>
              <w:t>Total nuclear decommissioning trusts(1)</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626</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262</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w:t>
            </w:r>
          </w:p>
        </w:tc>
        <w:tc>
          <w:tcPr>
            <w:tcW w:w="0" w:type="dxa"/>
            <w:vAlign w:val="bottom"/>
          </w:tcPr>
          <w:p>
            <w:pPr>
              <w:spacing w:after="0"/>
              <w:rPr>
                <w:sz w:val="1"/>
                <w:szCs w:val="1"/>
                <w:color w:val="auto"/>
              </w:rPr>
            </w:pPr>
          </w:p>
        </w:tc>
      </w:tr>
      <w:tr>
        <w:trPr>
          <w:trHeight w:val="231"/>
        </w:trPr>
        <w:tc>
          <w:tcPr>
            <w:tcW w:w="52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Pr>
          <w:p>
            <w:pPr>
              <w:spacing w:after="0"/>
              <w:rPr>
                <w:sz w:val="20"/>
                <w:szCs w:val="20"/>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12</w:t>
            </w:r>
          </w:p>
        </w:tc>
        <w:tc>
          <w:tcPr>
            <w:tcW w:w="320" w:type="dxa"/>
            <w:vAlign w:val="bottom"/>
          </w:tcPr>
          <w:p>
            <w:pPr>
              <w:spacing w:after="0"/>
              <w:rPr>
                <w:sz w:val="20"/>
                <w:szCs w:val="20"/>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0"/>
                <w:szCs w:val="20"/>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61</w:t>
            </w:r>
          </w:p>
        </w:tc>
        <w:tc>
          <w:tcPr>
            <w:tcW w:w="340" w:type="dxa"/>
            <w:vAlign w:val="bottom"/>
          </w:tcPr>
          <w:p>
            <w:pPr>
              <w:spacing w:after="0"/>
              <w:rPr>
                <w:sz w:val="20"/>
                <w:szCs w:val="20"/>
                <w:color w:val="auto"/>
              </w:rPr>
            </w:pPr>
          </w:p>
        </w:tc>
        <w:tc>
          <w:tcPr>
            <w:tcW w:w="1080" w:type="dxa"/>
            <w:vAlign w:val="bottom"/>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08"/>
        </w:trPr>
        <w:tc>
          <w:tcPr>
            <w:tcW w:w="528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528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639</w:t>
            </w: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262</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61</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962</w:t>
            </w:r>
          </w:p>
        </w:tc>
        <w:tc>
          <w:tcPr>
            <w:tcW w:w="0" w:type="dxa"/>
            <w:vAlign w:val="bottom"/>
          </w:tcPr>
          <w:p>
            <w:pPr>
              <w:spacing w:after="0"/>
              <w:rPr>
                <w:sz w:val="1"/>
                <w:szCs w:val="1"/>
                <w:color w:val="auto"/>
              </w:rPr>
            </w:pPr>
          </w:p>
        </w:tc>
      </w:tr>
      <w:tr>
        <w:trPr>
          <w:trHeight w:val="21"/>
        </w:trPr>
        <w:tc>
          <w:tcPr>
            <w:tcW w:w="5280" w:type="dxa"/>
            <w:vAlign w:val="bottom"/>
            <w:vMerge w:val="continue"/>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0"/>
        </w:trPr>
        <w:tc>
          <w:tcPr>
            <w:tcW w:w="5280" w:type="dxa"/>
            <w:vAlign w:val="bottom"/>
          </w:tcPr>
          <w:p>
            <w:pPr>
              <w:spacing w:after="0"/>
              <w:rPr>
                <w:sz w:val="20"/>
                <w:szCs w:val="20"/>
                <w:color w:val="auto"/>
              </w:rPr>
            </w:pPr>
            <w:r>
              <w:rPr>
                <w:rFonts w:ascii="Arial" w:cs="Arial" w:eastAsia="Arial" w:hAnsi="Arial"/>
                <w:sz w:val="14"/>
                <w:szCs w:val="14"/>
                <w:color w:val="auto"/>
              </w:rPr>
              <w:t>Liabilities:</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28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81</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08"/>
        </w:trPr>
        <w:tc>
          <w:tcPr>
            <w:tcW w:w="52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(23)</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w:t>
            </w: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89</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(23)</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1"/>
        </w:trPr>
        <w:tc>
          <w:tcPr>
            <w:tcW w:w="5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640" w:hanging="403"/>
        <w:spacing w:after="0"/>
        <w:tabs>
          <w:tab w:leader="none" w:pos="640" w:val="left"/>
        </w:tabs>
        <w:numPr>
          <w:ilvl w:val="0"/>
          <w:numId w:val="46"/>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balances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RECURRING FAIR VALUE MEASURES –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4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5"/>
          </w:tcPr>
          <w:p>
            <w:pPr>
              <w:jc w:val="right"/>
              <w:ind w:right="8"/>
              <w:spacing w:after="0"/>
              <w:rPr>
                <w:sz w:val="20"/>
                <w:szCs w:val="20"/>
                <w:color w:val="auto"/>
              </w:rPr>
            </w:pPr>
            <w:r>
              <w:rPr>
                <w:rFonts w:ascii="Arial" w:cs="Arial" w:eastAsia="Arial" w:hAnsi="Arial"/>
                <w:sz w:val="14"/>
                <w:szCs w:val="14"/>
                <w:color w:val="auto"/>
              </w:rPr>
              <w:t>At fair value as of March 31, 2013</w:t>
            </w:r>
          </w:p>
        </w:tc>
        <w:tc>
          <w:tcPr>
            <w:tcW w:w="10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ind w:left="80"/>
              <w:spacing w:after="0"/>
              <w:rPr>
                <w:sz w:val="20"/>
                <w:szCs w:val="20"/>
                <w:color w:val="auto"/>
              </w:rPr>
            </w:pPr>
            <w:r>
              <w:rPr>
                <w:rFonts w:ascii="Arial" w:cs="Arial" w:eastAsia="Arial" w:hAnsi="Arial"/>
                <w:sz w:val="14"/>
                <w:szCs w:val="14"/>
                <w:color w:val="auto"/>
              </w:rPr>
              <w:t>Collateral</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2</w:t>
            </w:r>
          </w:p>
        </w:tc>
        <w:tc>
          <w:tcPr>
            <w:tcW w:w="3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Level 3</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netted</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1"/>
        </w:trPr>
        <w:tc>
          <w:tcPr>
            <w:tcW w:w="4540" w:type="dxa"/>
            <w:vAlign w:val="bottom"/>
          </w:tcPr>
          <w:p>
            <w:pPr>
              <w:spacing w:after="0"/>
              <w:rPr>
                <w:sz w:val="20"/>
                <w:szCs w:val="20"/>
                <w:color w:val="auto"/>
              </w:rPr>
            </w:pPr>
            <w:r>
              <w:rPr>
                <w:rFonts w:ascii="Arial" w:cs="Arial" w:eastAsia="Arial" w:hAnsi="Arial"/>
                <w:sz w:val="14"/>
                <w:szCs w:val="14"/>
                <w:color w:val="auto"/>
              </w:rPr>
              <w:t>Assets:</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5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11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1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ind w:left="68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ind w:left="70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8"/>
        </w:trPr>
        <w:tc>
          <w:tcPr>
            <w:tcW w:w="454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1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w:t>
            </w:r>
          </w:p>
        </w:tc>
        <w:tc>
          <w:tcPr>
            <w:tcW w:w="10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454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118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w:t>
            </w:r>
          </w:p>
        </w:tc>
        <w:tc>
          <w:tcPr>
            <w:tcW w:w="10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w:t>
            </w: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1"/>
        </w:trPr>
        <w:tc>
          <w:tcPr>
            <w:tcW w:w="4540" w:type="dxa"/>
            <w:vAlign w:val="bottom"/>
            <w:vMerge w:val="continue"/>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1"/>
        </w:trPr>
        <w:tc>
          <w:tcPr>
            <w:tcW w:w="4540" w:type="dxa"/>
            <w:vAlign w:val="bottom"/>
          </w:tcPr>
          <w:p>
            <w:pPr>
              <w:spacing w:after="0"/>
              <w:rPr>
                <w:sz w:val="20"/>
                <w:szCs w:val="20"/>
                <w:color w:val="auto"/>
              </w:rPr>
            </w:pPr>
            <w:r>
              <w:rPr>
                <w:rFonts w:ascii="Arial" w:cs="Arial" w:eastAsia="Arial" w:hAnsi="Arial"/>
                <w:sz w:val="14"/>
                <w:szCs w:val="14"/>
                <w:color w:val="auto"/>
              </w:rPr>
              <w:t>Liabilities:</w:t>
            </w:r>
          </w:p>
        </w:tc>
        <w:tc>
          <w:tcPr>
            <w:tcW w:w="1180" w:type="dxa"/>
            <w:vAlign w:val="bottom"/>
            <w:vMerge w:val="restart"/>
          </w:tcPr>
          <w:p>
            <w:pPr>
              <w:jc w:val="right"/>
              <w:ind w:right="728"/>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88"/>
              <w:spacing w:after="0"/>
              <w:rPr>
                <w:sz w:val="20"/>
                <w:szCs w:val="20"/>
                <w:color w:val="auto"/>
              </w:rPr>
            </w:pPr>
            <w:r>
              <w:rPr>
                <w:rFonts w:ascii="Arial" w:cs="Arial" w:eastAsia="Arial" w:hAnsi="Arial"/>
                <w:sz w:val="14"/>
                <w:szCs w:val="14"/>
                <w:color w:val="auto"/>
              </w:rPr>
              <w:t>1</w:t>
            </w:r>
          </w:p>
        </w:tc>
        <w:tc>
          <w:tcPr>
            <w:tcW w:w="1000" w:type="dxa"/>
            <w:vAlign w:val="bottom"/>
            <w:vMerge w:val="restart"/>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ind w:left="680"/>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ind w:left="720"/>
              <w:spacing w:after="0"/>
              <w:rPr>
                <w:sz w:val="20"/>
                <w:szCs w:val="20"/>
                <w:color w:val="auto"/>
              </w:rPr>
            </w:pPr>
            <w:r>
              <w:rPr>
                <w:rFonts w:ascii="Arial" w:cs="Arial" w:eastAsia="Arial" w:hAnsi="Arial"/>
                <w:sz w:val="14"/>
                <w:szCs w:val="14"/>
                <w:color w:val="auto"/>
              </w:rPr>
              <w:t>(1)</w:t>
            </w:r>
          </w:p>
        </w:tc>
        <w:tc>
          <w:tcPr>
            <w:tcW w:w="4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4540" w:type="dxa"/>
            <w:vAlign w:val="bottom"/>
          </w:tcPr>
          <w:p>
            <w:pPr>
              <w:ind w:left="160"/>
              <w:spacing w:after="0" w:line="127" w:lineRule="exact"/>
              <w:rPr>
                <w:sz w:val="20"/>
                <w:szCs w:val="20"/>
                <w:color w:val="auto"/>
              </w:rPr>
            </w:pPr>
            <w:r>
              <w:rPr>
                <w:rFonts w:ascii="Arial" w:cs="Arial" w:eastAsia="Arial" w:hAnsi="Arial"/>
                <w:sz w:val="14"/>
                <w:szCs w:val="14"/>
                <w:color w:val="auto"/>
              </w:rPr>
              <w:t>Commodity contracts subject to rate recovery</w:t>
            </w:r>
          </w:p>
        </w:tc>
        <w:tc>
          <w:tcPr>
            <w:tcW w:w="118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118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10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(1)</w:t>
            </w:r>
          </w:p>
        </w:tc>
        <w:tc>
          <w:tcPr>
            <w:tcW w:w="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4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At fair value as of December 31, 2012</w:t>
            </w:r>
          </w:p>
        </w:tc>
        <w:tc>
          <w:tcPr>
            <w:tcW w:w="9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Collateral</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1</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2</w:t>
            </w:r>
          </w:p>
        </w:tc>
        <w:tc>
          <w:tcPr>
            <w:tcW w:w="3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Level 3</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netted</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1"/>
        </w:trPr>
        <w:tc>
          <w:tcPr>
            <w:tcW w:w="4540" w:type="dxa"/>
            <w:vAlign w:val="bottom"/>
          </w:tcPr>
          <w:p>
            <w:pPr>
              <w:spacing w:after="0"/>
              <w:rPr>
                <w:sz w:val="20"/>
                <w:szCs w:val="20"/>
                <w:color w:val="auto"/>
              </w:rPr>
            </w:pPr>
            <w:r>
              <w:rPr>
                <w:rFonts w:ascii="Arial" w:cs="Arial" w:eastAsia="Arial" w:hAnsi="Arial"/>
                <w:sz w:val="14"/>
                <w:szCs w:val="14"/>
                <w:color w:val="auto"/>
              </w:rPr>
              <w:t>Assets:</w:t>
            </w: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5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114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1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ind w:left="68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ind w:left="64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8"/>
        </w:trPr>
        <w:tc>
          <w:tcPr>
            <w:tcW w:w="454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w:t>
            </w:r>
          </w:p>
        </w:tc>
        <w:tc>
          <w:tcPr>
            <w:tcW w:w="10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2"/>
        </w:trPr>
        <w:tc>
          <w:tcPr>
            <w:tcW w:w="454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11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w:t>
            </w:r>
          </w:p>
        </w:tc>
        <w:tc>
          <w:tcPr>
            <w:tcW w:w="10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
        </w:trPr>
        <w:tc>
          <w:tcPr>
            <w:tcW w:w="4540" w:type="dxa"/>
            <w:vAlign w:val="bottom"/>
            <w:vMerge w:val="continue"/>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1"/>
        </w:trPr>
        <w:tc>
          <w:tcPr>
            <w:tcW w:w="4540" w:type="dxa"/>
            <w:vAlign w:val="bottom"/>
          </w:tcPr>
          <w:p>
            <w:pPr>
              <w:spacing w:after="0"/>
              <w:rPr>
                <w:sz w:val="20"/>
                <w:szCs w:val="20"/>
                <w:color w:val="auto"/>
              </w:rPr>
            </w:pPr>
            <w:r>
              <w:rPr>
                <w:rFonts w:ascii="Arial" w:cs="Arial" w:eastAsia="Arial" w:hAnsi="Arial"/>
                <w:sz w:val="14"/>
                <w:szCs w:val="14"/>
                <w:color w:val="auto"/>
              </w:rPr>
              <w:t>Liabilities:</w:t>
            </w:r>
          </w:p>
        </w:tc>
        <w:tc>
          <w:tcPr>
            <w:tcW w:w="1140" w:type="dxa"/>
            <w:vAlign w:val="bottom"/>
            <w:vMerge w:val="restart"/>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88"/>
              <w:spacing w:after="0"/>
              <w:rPr>
                <w:sz w:val="20"/>
                <w:szCs w:val="20"/>
                <w:color w:val="auto"/>
              </w:rPr>
            </w:pPr>
            <w:r>
              <w:rPr>
                <w:rFonts w:ascii="Arial" w:cs="Arial" w:eastAsia="Arial" w:hAnsi="Arial"/>
                <w:sz w:val="14"/>
                <w:szCs w:val="14"/>
                <w:color w:val="auto"/>
              </w:rPr>
              <w:t>1</w:t>
            </w:r>
          </w:p>
        </w:tc>
        <w:tc>
          <w:tcPr>
            <w:tcW w:w="3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ind w:left="680"/>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9"/>
        </w:trPr>
        <w:tc>
          <w:tcPr>
            <w:tcW w:w="4540" w:type="dxa"/>
            <w:vAlign w:val="bottom"/>
          </w:tcPr>
          <w:p>
            <w:pPr>
              <w:ind w:left="160"/>
              <w:spacing w:after="0" w:line="127" w:lineRule="exact"/>
              <w:rPr>
                <w:sz w:val="20"/>
                <w:szCs w:val="20"/>
                <w:color w:val="auto"/>
              </w:rPr>
            </w:pPr>
            <w:r>
              <w:rPr>
                <w:rFonts w:ascii="Arial" w:cs="Arial" w:eastAsia="Arial" w:hAnsi="Arial"/>
                <w:sz w:val="14"/>
                <w:szCs w:val="14"/>
                <w:color w:val="auto"/>
              </w:rPr>
              <w:t>Commodity contracts subject to rate recovery</w:t>
            </w:r>
          </w:p>
        </w:tc>
        <w:tc>
          <w:tcPr>
            <w:tcW w:w="114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11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
        </w:trPr>
        <w:tc>
          <w:tcPr>
            <w:tcW w:w="4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Level 3 Information</w:t>
      </w:r>
    </w:p>
    <w:p>
      <w:pPr>
        <w:spacing w:after="0" w:line="24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following table sets forth reconciliations of changes in the fair value of CRRs classified as Level 3 in the fair value hierarchy for Sempra Energy Consolidated and SDG&amp;E: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LEVEL 3 RECONCILIATIONS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8" w:lineRule="exact"/>
        <w:rPr>
          <w:sz w:val="20"/>
          <w:szCs w:val="20"/>
          <w:color w:val="auto"/>
        </w:rPr>
      </w:pPr>
    </w:p>
    <w:p>
      <w:pPr>
        <w:ind w:left="8260"/>
        <w:spacing w:after="0"/>
        <w:rPr>
          <w:sz w:val="20"/>
          <w:szCs w:val="20"/>
          <w:color w:val="auto"/>
        </w:rPr>
      </w:pPr>
      <w:r>
        <w:rPr>
          <w:rFonts w:ascii="Arial" w:cs="Arial" w:eastAsia="Arial" w:hAnsi="Arial"/>
          <w:sz w:val="14"/>
          <w:szCs w:val="14"/>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-1905</wp:posOffset>
            </wp:positionV>
            <wp:extent cx="274447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44470" cy="17145"/>
                    </a:xfrm>
                    <a:prstGeom prst="rect">
                      <a:avLst/>
                    </a:prstGeom>
                    <a:noFill/>
                  </pic:spPr>
                </pic:pic>
              </a:graphicData>
            </a:graphic>
          </wp:anchor>
        </w:drawing>
      </w:r>
    </w:p>
    <w:p>
      <w:pPr>
        <w:spacing w:after="0" w:line="8" w:lineRule="exact"/>
        <w:rPr>
          <w:sz w:val="20"/>
          <w:szCs w:val="20"/>
          <w:color w:val="auto"/>
        </w:rPr>
      </w:pPr>
    </w:p>
    <w:p>
      <w:pPr>
        <w:ind w:left="8000"/>
        <w:spacing w:after="0"/>
        <w:tabs>
          <w:tab w:leader="none" w:pos="10140" w:val="left"/>
        </w:tabs>
        <w:rPr>
          <w:sz w:val="20"/>
          <w:szCs w:val="20"/>
          <w:color w:val="auto"/>
        </w:rPr>
      </w:pPr>
      <w:r>
        <w:rPr>
          <w:rFonts w:ascii="Arial" w:cs="Arial" w:eastAsia="Arial" w:hAnsi="Arial"/>
          <w:sz w:val="14"/>
          <w:szCs w:val="14"/>
          <w:color w:val="auto"/>
        </w:rPr>
        <w:t>2013</w:t>
      </w:r>
      <w:r>
        <w:rPr>
          <w:sz w:val="20"/>
          <w:szCs w:val="20"/>
          <w:color w:val="auto"/>
        </w:rPr>
        <w:tab/>
      </w:r>
      <w:r>
        <w:rPr>
          <w:rFonts w:ascii="Arial" w:cs="Arial" w:eastAsia="Arial" w:hAnsi="Arial"/>
          <w:sz w:val="14"/>
          <w:szCs w:val="14"/>
          <w:color w:val="auto"/>
        </w:rPr>
        <w:t>2012</w:t>
      </w:r>
    </w:p>
    <w:p>
      <w:pPr>
        <w:sectPr>
          <w:pgSz w:w="11900" w:h="16874" w:orient="portrait"/>
          <w:cols w:equalWidth="0" w:num="1">
            <w:col w:w="11420"/>
          </w:cols>
          <w:pgMar w:left="240" w:top="144" w:right="239" w:bottom="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4"/>
        </w:trPr>
        <w:tc>
          <w:tcPr>
            <w:tcW w:w="71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Balance as of January 1</w:t>
            </w:r>
          </w:p>
        </w:tc>
        <w:tc>
          <w:tcPr>
            <w:tcW w:w="1240" w:type="dxa"/>
            <w:vAlign w:val="bottom"/>
            <w:tcBorders>
              <w:top w:val="single" w:sz="8" w:color="auto"/>
            </w:tcBorders>
          </w:tcPr>
          <w:p>
            <w:pPr>
              <w:jc w:val="right"/>
              <w:ind w:right="5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61</w:t>
            </w:r>
          </w:p>
        </w:tc>
        <w:tc>
          <w:tcPr>
            <w:tcW w:w="1020" w:type="dxa"/>
            <w:vAlign w:val="bottom"/>
            <w:tcBorders>
              <w:top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6"/>
        </w:trPr>
        <w:tc>
          <w:tcPr>
            <w:tcW w:w="7100" w:type="dxa"/>
            <w:vAlign w:val="bottom"/>
          </w:tcPr>
          <w:p>
            <w:pPr>
              <w:ind w:left="180"/>
              <w:spacing w:after="0"/>
              <w:rPr>
                <w:sz w:val="20"/>
                <w:szCs w:val="20"/>
                <w:color w:val="auto"/>
              </w:rPr>
            </w:pPr>
            <w:r>
              <w:rPr>
                <w:rFonts w:ascii="Arial" w:cs="Arial" w:eastAsia="Arial" w:hAnsi="Arial"/>
                <w:sz w:val="16"/>
                <w:szCs w:val="16"/>
                <w:color w:val="auto"/>
              </w:rPr>
              <w:t>Realized and unrealized (losses) gains</w:t>
            </w:r>
          </w:p>
        </w:tc>
        <w:tc>
          <w:tcPr>
            <w:tcW w:w="1240" w:type="dxa"/>
            <w:vAlign w:val="bottom"/>
          </w:tcPr>
          <w:p>
            <w:pPr>
              <w:spacing w:after="0"/>
              <w:rPr>
                <w:sz w:val="18"/>
                <w:szCs w:val="18"/>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(1)</w:t>
            </w:r>
          </w:p>
        </w:tc>
        <w:tc>
          <w:tcPr>
            <w:tcW w:w="10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7100" w:type="dxa"/>
            <w:vAlign w:val="bottom"/>
          </w:tcPr>
          <w:p>
            <w:pPr>
              <w:ind w:left="180"/>
              <w:spacing w:after="0"/>
              <w:rPr>
                <w:sz w:val="20"/>
                <w:szCs w:val="20"/>
                <w:color w:val="auto"/>
              </w:rPr>
            </w:pPr>
            <w:r>
              <w:rPr>
                <w:rFonts w:ascii="Arial" w:cs="Arial" w:eastAsia="Arial" w:hAnsi="Arial"/>
                <w:sz w:val="16"/>
                <w:szCs w:val="16"/>
                <w:color w:val="auto"/>
              </w:rPr>
              <w:t>Allocated transmission instruments</w:t>
            </w:r>
          </w:p>
        </w:tc>
        <w:tc>
          <w:tcPr>
            <w:tcW w:w="1240" w:type="dxa"/>
            <w:vAlign w:val="bottom"/>
          </w:tcPr>
          <w:p>
            <w:pPr>
              <w:spacing w:after="0"/>
              <w:rPr>
                <w:sz w:val="18"/>
                <w:szCs w:val="18"/>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7100" w:type="dxa"/>
            <w:vAlign w:val="bottom"/>
          </w:tcPr>
          <w:p>
            <w:pPr>
              <w:ind w:left="180"/>
              <w:spacing w:after="0"/>
              <w:rPr>
                <w:sz w:val="20"/>
                <w:szCs w:val="20"/>
                <w:color w:val="auto"/>
              </w:rPr>
            </w:pPr>
            <w:r>
              <w:rPr>
                <w:rFonts w:ascii="Arial" w:cs="Arial" w:eastAsia="Arial" w:hAnsi="Arial"/>
                <w:sz w:val="16"/>
                <w:szCs w:val="16"/>
                <w:color w:val="auto"/>
              </w:rPr>
              <w:t>Settlements</w:t>
            </w:r>
          </w:p>
        </w:tc>
        <w:tc>
          <w:tcPr>
            <w:tcW w:w="1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w:t>
            </w:r>
          </w:p>
        </w:tc>
        <w:tc>
          <w:tcPr>
            <w:tcW w:w="10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9"/>
        </w:trPr>
        <w:tc>
          <w:tcPr>
            <w:tcW w:w="7100" w:type="dxa"/>
            <w:vAlign w:val="bottom"/>
          </w:tcPr>
          <w:p>
            <w:pPr>
              <w:spacing w:after="0" w:line="183" w:lineRule="exact"/>
              <w:rPr>
                <w:sz w:val="20"/>
                <w:szCs w:val="20"/>
                <w:color w:val="auto"/>
              </w:rPr>
            </w:pPr>
            <w:r>
              <w:rPr>
                <w:rFonts w:ascii="Arial" w:cs="Arial" w:eastAsia="Arial" w:hAnsi="Arial"/>
                <w:sz w:val="16"/>
                <w:szCs w:val="16"/>
                <w:color w:val="auto"/>
              </w:rPr>
              <w:t>Balance as of March 31</w:t>
            </w: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58</w:t>
            </w:r>
          </w:p>
        </w:tc>
        <w:tc>
          <w:tcPr>
            <w:tcW w:w="10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
        </w:trPr>
        <w:tc>
          <w:tcPr>
            <w:tcW w:w="7100" w:type="dxa"/>
            <w:vAlign w:val="bottom"/>
            <w:vMerge w:val="restart"/>
          </w:tcPr>
          <w:p>
            <w:pPr>
              <w:spacing w:after="0"/>
              <w:rPr>
                <w:sz w:val="20"/>
                <w:szCs w:val="20"/>
                <w:color w:val="auto"/>
              </w:rPr>
            </w:pPr>
            <w:r>
              <w:rPr>
                <w:rFonts w:ascii="Arial" w:cs="Arial" w:eastAsia="Arial" w:hAnsi="Arial"/>
                <w:sz w:val="16"/>
                <w:szCs w:val="16"/>
                <w:color w:val="auto"/>
              </w:rPr>
              <w:t>Change in unrealized gains or losses relating to</w:t>
            </w:r>
          </w:p>
        </w:tc>
        <w:tc>
          <w:tcPr>
            <w:tcW w:w="1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710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1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instruments still held at March 31</w:t>
            </w: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7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SDG&amp;E’s Energy and Fuel Procurement department, in conjunction with SDG&amp;E’s finance group, is responsible for determining the appropriate fair value methodologies used to value and classify CRRs on an ongoing basis. Inputs used to determine the fair value of CRRs are reviewed and compared with market conditions to determine reasonableness. All costs related to CRRs are expected to be recoverable through customer rates. As such, there is no impact to earnings from changes in the fair value of these instruments.</w:t>
      </w:r>
    </w:p>
    <w:p>
      <w:pPr>
        <w:spacing w:after="0" w:line="21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CRRs are recorded at fair value based almost entirely on the most current auction prices published by the California Independent System Operator (ISO), an objective source. The impact associated with discounting is negligible. Because auction prices are a less observable input, these instruments are classified as Level 3. Auction prices range from $(11) per MWh to $12 per MWh at a given location, and the fair value of these instruments is derived from auction price differences between two locations. Positive values between two locations represent expected future reductions in congestion costs, whereas negative values between two locations represent expected future charges. Valuation of our CRRs is sensitive to a change in auction price. If auction prices at one location increase (decrease) relative to another location, this could result in a higher (lower) fair value measurement. We summarize CRR volumes in Note 7. Realized gains and losses associated with CRRs are recorded in Cost of Electric Fuel and Purchased Power, which is recoverable in rates, on the Condensed Consolidated Statements of Operations. Unrealized gains and losses are recorded as regulatory assets and liabilities and therefore also do not affect earnings.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of Financial Instruments</w:t>
      </w:r>
    </w:p>
    <w:p>
      <w:pPr>
        <w:spacing w:after="0" w:line="24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fair values of certain of our financial instruments (cash, temporary investments, accounts and notes receivable, dividends and accounts payable, short-term debt and customer deposits) approximate their carrying amounts. Investments in life insurance contracts that we hold in support of our Supplemental Executive Retirement, Cash Balance Restoration and Deferred Compensation Plans are carried at cash surrender values, which represent the amount of cash that could be realized under the contracts. The following table provides the carrying amounts and fair values of certain other financial instruments at March 31, 2013 and December 31, 2012:</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341"/>
              <w:spacing w:after="0"/>
              <w:rPr>
                <w:sz w:val="20"/>
                <w:szCs w:val="20"/>
                <w:color w:val="auto"/>
              </w:rPr>
            </w:pPr>
            <w:r>
              <w:rPr>
                <w:rFonts w:ascii="Arial" w:cs="Arial" w:eastAsia="Arial" w:hAnsi="Arial"/>
                <w:sz w:val="14"/>
                <w:szCs w:val="14"/>
                <w:color w:val="auto"/>
              </w:rPr>
              <w:t>March 31, 2013</w:t>
            </w: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96"/>
        </w:trPr>
        <w:tc>
          <w:tcPr>
            <w:tcW w:w="4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521"/>
              <w:spacing w:after="0"/>
              <w:rPr>
                <w:sz w:val="20"/>
                <w:szCs w:val="20"/>
                <w:color w:val="auto"/>
              </w:rPr>
            </w:pPr>
            <w:r>
              <w:rPr>
                <w:rFonts w:ascii="Arial" w:cs="Arial" w:eastAsia="Arial" w:hAnsi="Arial"/>
                <w:sz w:val="14"/>
                <w:szCs w:val="14"/>
                <w:color w:val="auto"/>
              </w:rPr>
              <w:t>Carrying</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2"/>
          </w:tcPr>
          <w:p>
            <w:pPr>
              <w:jc w:val="right"/>
              <w:ind w:right="601"/>
              <w:spacing w:after="0"/>
              <w:rPr>
                <w:sz w:val="20"/>
                <w:szCs w:val="20"/>
                <w:color w:val="auto"/>
              </w:rPr>
            </w:pPr>
            <w:r>
              <w:rPr>
                <w:rFonts w:ascii="Arial" w:cs="Arial" w:eastAsia="Arial" w:hAnsi="Arial"/>
                <w:sz w:val="14"/>
                <w:szCs w:val="14"/>
                <w:color w:val="auto"/>
              </w:rPr>
              <w:t>Fair Value</w:t>
            </w:r>
          </w:p>
        </w:tc>
        <w:tc>
          <w:tcPr>
            <w:tcW w:w="4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23"/>
        </w:trPr>
        <w:tc>
          <w:tcPr>
            <w:tcW w:w="44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color w:val="auto"/>
              </w:rPr>
              <w:t>Amount</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Level 1</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color w:val="auto"/>
              </w:rPr>
              <w:t>Level 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3</w:t>
            </w:r>
          </w:p>
        </w:tc>
        <w:tc>
          <w:tcPr>
            <w:tcW w:w="4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Total</w:t>
            </w:r>
          </w:p>
        </w:tc>
      </w:tr>
      <w:tr>
        <w:trPr>
          <w:trHeight w:val="224"/>
        </w:trPr>
        <w:tc>
          <w:tcPr>
            <w:tcW w:w="446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(1)</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1"/>
              <w:spacing w:after="0"/>
              <w:rPr>
                <w:sz w:val="20"/>
                <w:szCs w:val="20"/>
                <w:color w:val="auto"/>
              </w:rPr>
            </w:pPr>
            <w:r>
              <w:rPr>
                <w:rFonts w:ascii="Arial" w:cs="Arial" w:eastAsia="Arial" w:hAnsi="Arial"/>
                <w:sz w:val="16"/>
                <w:szCs w:val="16"/>
                <w:color w:val="auto"/>
              </w:rPr>
              <w:t>11,889</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ind w:left="7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12,389</w:t>
            </w:r>
          </w:p>
        </w:tc>
        <w:tc>
          <w:tcPr>
            <w:tcW w:w="860" w:type="dxa"/>
            <w:vAlign w:val="bottom"/>
          </w:tcPr>
          <w:p>
            <w:pPr>
              <w:jc w:val="right"/>
              <w:ind w:right="521"/>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954</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13,343</w:t>
            </w:r>
          </w:p>
        </w:tc>
      </w:tr>
      <w:tr>
        <w:trPr>
          <w:trHeight w:val="209"/>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Preferred stock of subsidiaries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99</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108</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r>
      <w:tr>
        <w:trPr>
          <w:trHeight w:val="21"/>
        </w:trPr>
        <w:tc>
          <w:tcPr>
            <w:tcW w:w="4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7"/>
        </w:trPr>
        <w:tc>
          <w:tcPr>
            <w:tcW w:w="446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(2)</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1"/>
              <w:spacing w:after="0"/>
              <w:rPr>
                <w:sz w:val="20"/>
                <w:szCs w:val="20"/>
                <w:color w:val="auto"/>
              </w:rPr>
            </w:pPr>
            <w:r>
              <w:rPr>
                <w:rFonts w:ascii="Arial" w:cs="Arial" w:eastAsia="Arial" w:hAnsi="Arial"/>
                <w:sz w:val="16"/>
                <w:szCs w:val="16"/>
                <w:color w:val="auto"/>
              </w:rPr>
              <w:t>4,133</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ind w:left="7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4,368</w:t>
            </w:r>
          </w:p>
        </w:tc>
        <w:tc>
          <w:tcPr>
            <w:tcW w:w="860" w:type="dxa"/>
            <w:vAlign w:val="bottom"/>
          </w:tcPr>
          <w:p>
            <w:pPr>
              <w:jc w:val="right"/>
              <w:ind w:right="521"/>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342</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4,710</w:t>
            </w:r>
          </w:p>
        </w:tc>
      </w:tr>
      <w:tr>
        <w:trPr>
          <w:trHeight w:val="209"/>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Contingently redeemable preferred stock</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79</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85</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21"/>
        </w:trPr>
        <w:tc>
          <w:tcPr>
            <w:tcW w:w="4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7"/>
        </w:trPr>
        <w:tc>
          <w:tcPr>
            <w:tcW w:w="446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(3)</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1"/>
              <w:spacing w:after="0"/>
              <w:rPr>
                <w:sz w:val="20"/>
                <w:szCs w:val="20"/>
                <w:color w:val="auto"/>
              </w:rPr>
            </w:pPr>
            <w:r>
              <w:rPr>
                <w:rFonts w:ascii="Arial" w:cs="Arial" w:eastAsia="Arial" w:hAnsi="Arial"/>
                <w:sz w:val="16"/>
                <w:szCs w:val="16"/>
                <w:color w:val="auto"/>
              </w:rPr>
              <w:t>1,413</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ind w:left="7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1,596</w:t>
            </w:r>
          </w:p>
        </w:tc>
        <w:tc>
          <w:tcPr>
            <w:tcW w:w="860" w:type="dxa"/>
            <w:vAlign w:val="bottom"/>
          </w:tcPr>
          <w:p>
            <w:pPr>
              <w:jc w:val="right"/>
              <w:ind w:right="521"/>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1,596</w:t>
            </w:r>
          </w:p>
        </w:tc>
      </w:tr>
      <w:tr>
        <w:trPr>
          <w:trHeight w:val="209"/>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Preferred stock</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22</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25</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1"/>
        </w:trPr>
        <w:tc>
          <w:tcPr>
            <w:tcW w:w="4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201"/>
              <w:spacing w:after="0"/>
              <w:rPr>
                <w:sz w:val="20"/>
                <w:szCs w:val="20"/>
                <w:color w:val="auto"/>
              </w:rPr>
            </w:pPr>
            <w:r>
              <w:rPr>
                <w:rFonts w:ascii="Arial" w:cs="Arial" w:eastAsia="Arial" w:hAnsi="Arial"/>
                <w:sz w:val="14"/>
                <w:szCs w:val="14"/>
                <w:color w:val="auto"/>
              </w:rPr>
              <w:t>December 31, 2012</w:t>
            </w: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96"/>
        </w:trPr>
        <w:tc>
          <w:tcPr>
            <w:tcW w:w="4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521"/>
              <w:spacing w:after="0"/>
              <w:rPr>
                <w:sz w:val="20"/>
                <w:szCs w:val="20"/>
                <w:color w:val="auto"/>
              </w:rPr>
            </w:pPr>
            <w:r>
              <w:rPr>
                <w:rFonts w:ascii="Arial" w:cs="Arial" w:eastAsia="Arial" w:hAnsi="Arial"/>
                <w:sz w:val="14"/>
                <w:szCs w:val="14"/>
                <w:color w:val="auto"/>
              </w:rPr>
              <w:t>Carrying</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2"/>
          </w:tcPr>
          <w:p>
            <w:pPr>
              <w:jc w:val="right"/>
              <w:ind w:right="601"/>
              <w:spacing w:after="0"/>
              <w:rPr>
                <w:sz w:val="20"/>
                <w:szCs w:val="20"/>
                <w:color w:val="auto"/>
              </w:rPr>
            </w:pPr>
            <w:r>
              <w:rPr>
                <w:rFonts w:ascii="Arial" w:cs="Arial" w:eastAsia="Arial" w:hAnsi="Arial"/>
                <w:sz w:val="14"/>
                <w:szCs w:val="14"/>
                <w:color w:val="auto"/>
              </w:rPr>
              <w:t>Fair Value</w:t>
            </w:r>
          </w:p>
        </w:tc>
        <w:tc>
          <w:tcPr>
            <w:tcW w:w="4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23"/>
        </w:trPr>
        <w:tc>
          <w:tcPr>
            <w:tcW w:w="44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color w:val="auto"/>
              </w:rPr>
              <w:t>Amount</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Level 1</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color w:val="auto"/>
              </w:rPr>
              <w:t>Level 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3</w:t>
            </w:r>
          </w:p>
        </w:tc>
        <w:tc>
          <w:tcPr>
            <w:tcW w:w="4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Total</w:t>
            </w:r>
          </w:p>
        </w:tc>
      </w:tr>
      <w:tr>
        <w:trPr>
          <w:trHeight w:val="224"/>
        </w:trPr>
        <w:tc>
          <w:tcPr>
            <w:tcW w:w="446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Investments in affordable housing partnerships</w:t>
            </w:r>
            <w:r>
              <w:rPr>
                <w:rFonts w:ascii="Arial" w:cs="Arial" w:eastAsia="Arial" w:hAnsi="Arial"/>
                <w:sz w:val="14"/>
                <w:szCs w:val="14"/>
                <w:color w:val="auto"/>
              </w:rPr>
              <w:t>(4)</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1"/>
              <w:spacing w:after="0"/>
              <w:rPr>
                <w:sz w:val="20"/>
                <w:szCs w:val="20"/>
                <w:color w:val="auto"/>
              </w:rPr>
            </w:pPr>
            <w:r>
              <w:rPr>
                <w:rFonts w:ascii="Arial" w:cs="Arial" w:eastAsia="Arial" w:hAnsi="Arial"/>
                <w:sz w:val="16"/>
                <w:szCs w:val="16"/>
                <w:color w:val="auto"/>
              </w:rPr>
              <w:t>12</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ind w:left="70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21"/>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36</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(1)</w:t>
            </w:r>
          </w:p>
        </w:tc>
        <w:tc>
          <w:tcPr>
            <w:tcW w:w="380" w:type="dxa"/>
            <w:vAlign w:val="bottom"/>
          </w:tcPr>
          <w:p>
            <w:pPr>
              <w:spacing w:after="0"/>
              <w:rPr>
                <w:sz w:val="18"/>
                <w:szCs w:val="18"/>
                <w:color w:val="auto"/>
              </w:rPr>
            </w:pPr>
          </w:p>
        </w:tc>
        <w:tc>
          <w:tcPr>
            <w:tcW w:w="1160" w:type="dxa"/>
            <w:vAlign w:val="bottom"/>
          </w:tcPr>
          <w:p>
            <w:pPr>
              <w:jc w:val="right"/>
              <w:ind w:right="201"/>
              <w:spacing w:after="0"/>
              <w:rPr>
                <w:sz w:val="20"/>
                <w:szCs w:val="20"/>
                <w:color w:val="auto"/>
              </w:rPr>
            </w:pPr>
            <w:r>
              <w:rPr>
                <w:rFonts w:ascii="Arial" w:cs="Arial" w:eastAsia="Arial" w:hAnsi="Arial"/>
                <w:sz w:val="16"/>
                <w:szCs w:val="16"/>
                <w:color w:val="auto"/>
              </w:rPr>
              <w:t>11,873</w:t>
            </w:r>
          </w:p>
        </w:tc>
        <w:tc>
          <w:tcPr>
            <w:tcW w:w="400" w:type="dxa"/>
            <w:vAlign w:val="bottom"/>
          </w:tcPr>
          <w:p>
            <w:pPr>
              <w:spacing w:after="0"/>
              <w:rPr>
                <w:sz w:val="18"/>
                <w:szCs w:val="18"/>
                <w:color w:val="auto"/>
              </w:rPr>
            </w:pPr>
          </w:p>
        </w:tc>
        <w:tc>
          <w:tcPr>
            <w:tcW w:w="900" w:type="dxa"/>
            <w:vAlign w:val="bottom"/>
          </w:tcPr>
          <w:p>
            <w:pPr>
              <w:ind w:left="7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12,287</w:t>
            </w:r>
          </w:p>
        </w:tc>
        <w:tc>
          <w:tcPr>
            <w:tcW w:w="860" w:type="dxa"/>
            <w:vAlign w:val="bottom"/>
          </w:tcPr>
          <w:p>
            <w:pPr>
              <w:spacing w:after="0"/>
              <w:rPr>
                <w:sz w:val="18"/>
                <w:szCs w:val="18"/>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956</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13,243</w:t>
            </w:r>
          </w:p>
        </w:tc>
      </w:tr>
      <w:tr>
        <w:trPr>
          <w:trHeight w:val="209"/>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Preferred stock of subsidiaries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99</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107</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r>
      <w:tr>
        <w:trPr>
          <w:trHeight w:val="21"/>
        </w:trPr>
        <w:tc>
          <w:tcPr>
            <w:tcW w:w="4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7"/>
        </w:trPr>
        <w:tc>
          <w:tcPr>
            <w:tcW w:w="446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(2)</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1"/>
              <w:spacing w:after="0"/>
              <w:rPr>
                <w:sz w:val="20"/>
                <w:szCs w:val="20"/>
                <w:color w:val="auto"/>
              </w:rPr>
            </w:pPr>
            <w:r>
              <w:rPr>
                <w:rFonts w:ascii="Arial" w:cs="Arial" w:eastAsia="Arial" w:hAnsi="Arial"/>
                <w:sz w:val="16"/>
                <w:szCs w:val="16"/>
                <w:color w:val="auto"/>
              </w:rPr>
              <w:t>4,135</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ind w:left="70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4,243</w:t>
            </w:r>
          </w:p>
        </w:tc>
        <w:tc>
          <w:tcPr>
            <w:tcW w:w="860" w:type="dxa"/>
            <w:vAlign w:val="bottom"/>
          </w:tcPr>
          <w:p>
            <w:pPr>
              <w:jc w:val="right"/>
              <w:ind w:right="521"/>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345</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4,588</w:t>
            </w:r>
          </w:p>
        </w:tc>
      </w:tr>
      <w:tr>
        <w:trPr>
          <w:trHeight w:val="209"/>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Contingently redeemable preferred stock</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79</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85</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21"/>
        </w:trPr>
        <w:tc>
          <w:tcPr>
            <w:tcW w:w="4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7"/>
        </w:trPr>
        <w:tc>
          <w:tcPr>
            <w:tcW w:w="446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(3)</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1"/>
              <w:spacing w:after="0"/>
              <w:rPr>
                <w:sz w:val="20"/>
                <w:szCs w:val="20"/>
                <w:color w:val="auto"/>
              </w:rPr>
            </w:pPr>
            <w:r>
              <w:rPr>
                <w:rFonts w:ascii="Arial" w:cs="Arial" w:eastAsia="Arial" w:hAnsi="Arial"/>
                <w:sz w:val="16"/>
                <w:szCs w:val="16"/>
                <w:color w:val="auto"/>
              </w:rPr>
              <w:t>1,413</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ind w:left="70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1,599</w:t>
            </w:r>
          </w:p>
        </w:tc>
        <w:tc>
          <w:tcPr>
            <w:tcW w:w="860" w:type="dxa"/>
            <w:vAlign w:val="bottom"/>
          </w:tcPr>
          <w:p>
            <w:pPr>
              <w:jc w:val="right"/>
              <w:ind w:right="521"/>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1,599</w:t>
            </w:r>
          </w:p>
        </w:tc>
      </w:tr>
      <w:tr>
        <w:trPr>
          <w:trHeight w:val="209"/>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Preferred stock</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22</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24</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1"/>
        </w:trPr>
        <w:tc>
          <w:tcPr>
            <w:tcW w:w="4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ind w:left="600" w:right="140" w:hanging="383"/>
        <w:spacing w:after="0" w:line="243" w:lineRule="auto"/>
        <w:tabs>
          <w:tab w:leader="none" w:pos="600" w:val="left"/>
        </w:tabs>
        <w:numPr>
          <w:ilvl w:val="0"/>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(net of premium) of $16 million at both March 31, 2013 and December 31, 2012, and excluding capital leases of $188 million at March 31, 2013 and $189 million at December 31, 2012, and commercial paper classified as long-term debt of $300 million at December 31, 2012. We discuss our long-term debt in Note 6 above and in Note 5 of the Notes to Consolidated Financial Statements in the Annual Report.</w:t>
      </w:r>
    </w:p>
    <w:p>
      <w:pPr>
        <w:spacing w:after="0" w:line="1" w:lineRule="exact"/>
        <w:rPr>
          <w:rFonts w:ascii="Arial" w:cs="Arial" w:eastAsia="Arial" w:hAnsi="Arial"/>
          <w:sz w:val="14"/>
          <w:szCs w:val="14"/>
          <w:i w:val="1"/>
          <w:iCs w:val="1"/>
          <w:color w:val="auto"/>
        </w:rPr>
      </w:pPr>
    </w:p>
    <w:p>
      <w:pPr>
        <w:ind w:left="600" w:right="40" w:hanging="383"/>
        <w:spacing w:after="0" w:line="241" w:lineRule="auto"/>
        <w:tabs>
          <w:tab w:leader="none" w:pos="600" w:val="left"/>
        </w:tabs>
        <w:numPr>
          <w:ilvl w:val="0"/>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of $12 million at both March 31, 2013 and December 31, 2012, and excluding capital leases of $184 million at March 31, 2013 and $185 million at December 31, 2012.</w:t>
      </w:r>
    </w:p>
    <w:p>
      <w:pPr>
        <w:ind w:left="600" w:right="320" w:hanging="383"/>
        <w:spacing w:after="0" w:line="241" w:lineRule="auto"/>
        <w:tabs>
          <w:tab w:leader="none" w:pos="600" w:val="left"/>
        </w:tabs>
        <w:numPr>
          <w:ilvl w:val="0"/>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of $4 million at both March 31, 2013 and December 31, 2012, and excluding capital leases of $4 million at both March 31, 2013 and December 31, 2012.</w:t>
      </w:r>
    </w:p>
    <w:p>
      <w:pPr>
        <w:ind w:left="600" w:hanging="383"/>
        <w:spacing w:after="0"/>
        <w:tabs>
          <w:tab w:leader="none" w:pos="600" w:val="left"/>
        </w:tabs>
        <w:numPr>
          <w:ilvl w:val="0"/>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Investments in affordable housing partnerships at Parent and Other.</w:t>
      </w:r>
    </w:p>
    <w:p>
      <w:pPr>
        <w:sectPr>
          <w:pgSz w:w="11900" w:h="16838" w:orient="portrait"/>
          <w:cols w:equalWidth="0" w:num="1">
            <w:col w:w="11420"/>
          </w:cols>
          <w:pgMar w:left="240" w:top="336" w:right="239" w:bottom="0" w:gutter="0" w:footer="0" w:header="0"/>
        </w:sectPr>
      </w:pPr>
    </w:p>
    <w:bookmarkStart w:id="34" w:name="page35"/>
    <w:bookmarkEnd w:id="34"/>
    <w:p>
      <w:pPr>
        <w:ind w:right="100"/>
        <w:spacing w:after="0" w:line="264" w:lineRule="auto"/>
        <w:rPr>
          <w:sz w:val="20"/>
          <w:szCs w:val="20"/>
          <w:color w:val="auto"/>
        </w:rPr>
      </w:pPr>
      <w:r>
        <w:rPr>
          <w:rFonts w:ascii="Arial" w:cs="Arial" w:eastAsia="Arial" w:hAnsi="Arial"/>
          <w:sz w:val="18"/>
          <w:szCs w:val="18"/>
          <w:color w:val="auto"/>
        </w:rPr>
        <w:t>We base the fair value of certain of our long-term debt and preferred stock on a market approach using quoted market prices for identical or similar securities in thinly-traded markets (Level 2). We value other long-term debt using an income approach based on the present value of estimated future cash flows discounted at rates available for similar securities (Level 3).</w:t>
      </w:r>
    </w:p>
    <w:p>
      <w:pPr>
        <w:spacing w:after="0" w:line="20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calculated the fair value of our investments in affordable housing partnerships using an income approach based on the present value of estimated future cash flows discounted at rates available for similar investments (Level 3).</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Nuclear Decommissioning Trusts</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We discuss SDG&amp;E’s investments in nuclear decommissioning trust funds in Note 6 of the Notes to Consolidated Financial Statements in the Annual Report.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fair values and gross unrealized gains and losses for the securities held in the trust funds: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NUCLEAR DECOMMISSIONING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center"/>
              <w:ind w:right="188"/>
              <w:spacing w:after="0"/>
              <w:rPr>
                <w:sz w:val="20"/>
                <w:szCs w:val="20"/>
                <w:color w:val="auto"/>
              </w:rPr>
            </w:pPr>
            <w:r>
              <w:rPr>
                <w:rFonts w:ascii="Arial" w:cs="Arial" w:eastAsia="Arial" w:hAnsi="Arial"/>
                <w:sz w:val="14"/>
                <w:szCs w:val="14"/>
                <w:color w:val="auto"/>
              </w:rPr>
              <w:t>Gross</w:t>
            </w:r>
          </w:p>
        </w:tc>
        <w:tc>
          <w:tcPr>
            <w:tcW w:w="380" w:type="dxa"/>
            <w:vAlign w:val="bottom"/>
          </w:tcPr>
          <w:p>
            <w:pPr>
              <w:spacing w:after="0"/>
              <w:rPr>
                <w:sz w:val="14"/>
                <w:szCs w:val="14"/>
                <w:color w:val="auto"/>
              </w:rPr>
            </w:pPr>
          </w:p>
        </w:tc>
        <w:tc>
          <w:tcPr>
            <w:tcW w:w="1180" w:type="dxa"/>
            <w:vAlign w:val="bottom"/>
          </w:tcPr>
          <w:p>
            <w:pPr>
              <w:jc w:val="center"/>
              <w:ind w:right="208"/>
              <w:spacing w:after="0"/>
              <w:rPr>
                <w:sz w:val="20"/>
                <w:szCs w:val="20"/>
                <w:color w:val="auto"/>
              </w:rPr>
            </w:pPr>
            <w:r>
              <w:rPr>
                <w:rFonts w:ascii="Arial" w:cs="Arial" w:eastAsia="Arial" w:hAnsi="Arial"/>
                <w:sz w:val="14"/>
                <w:szCs w:val="14"/>
                <w:color w:val="auto"/>
              </w:rPr>
              <w:t>Gross</w:t>
            </w:r>
          </w:p>
        </w:tc>
        <w:tc>
          <w:tcPr>
            <w:tcW w:w="400" w:type="dxa"/>
            <w:vAlign w:val="bottom"/>
          </w:tcPr>
          <w:p>
            <w:pPr>
              <w:spacing w:after="0"/>
              <w:rPr>
                <w:sz w:val="14"/>
                <w:szCs w:val="14"/>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color w:val="auto"/>
              </w:rPr>
              <w:t>Estimated</w:t>
            </w:r>
          </w:p>
        </w:tc>
      </w:tr>
      <w:tr>
        <w:trPr>
          <w:trHeight w:val="216"/>
        </w:trPr>
        <w:tc>
          <w:tcPr>
            <w:tcW w:w="5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center"/>
              <w:ind w:right="208"/>
              <w:spacing w:after="0"/>
              <w:rPr>
                <w:sz w:val="20"/>
                <w:szCs w:val="20"/>
                <w:color w:val="auto"/>
              </w:rPr>
            </w:pPr>
            <w:r>
              <w:rPr>
                <w:rFonts w:ascii="Arial" w:cs="Arial" w:eastAsia="Arial" w:hAnsi="Arial"/>
                <w:sz w:val="14"/>
                <w:szCs w:val="14"/>
                <w:color w:val="auto"/>
              </w:rPr>
              <w:t>Unrealized</w:t>
            </w:r>
          </w:p>
        </w:tc>
        <w:tc>
          <w:tcPr>
            <w:tcW w:w="380" w:type="dxa"/>
            <w:vAlign w:val="bottom"/>
          </w:tcPr>
          <w:p>
            <w:pPr>
              <w:spacing w:after="0"/>
              <w:rPr>
                <w:sz w:val="18"/>
                <w:szCs w:val="18"/>
                <w:color w:val="auto"/>
              </w:rPr>
            </w:pPr>
          </w:p>
        </w:tc>
        <w:tc>
          <w:tcPr>
            <w:tcW w:w="1180" w:type="dxa"/>
            <w:vAlign w:val="bottom"/>
          </w:tcPr>
          <w:p>
            <w:pPr>
              <w:jc w:val="center"/>
              <w:ind w:right="228"/>
              <w:spacing w:after="0"/>
              <w:rPr>
                <w:sz w:val="20"/>
                <w:szCs w:val="20"/>
                <w:color w:val="auto"/>
              </w:rPr>
            </w:pPr>
            <w:r>
              <w:rPr>
                <w:rFonts w:ascii="Arial" w:cs="Arial" w:eastAsia="Arial" w:hAnsi="Arial"/>
                <w:sz w:val="14"/>
                <w:szCs w:val="14"/>
                <w:color w:val="auto"/>
              </w:rPr>
              <w:t>Unrealized</w:t>
            </w:r>
          </w:p>
        </w:tc>
        <w:tc>
          <w:tcPr>
            <w:tcW w:w="400" w:type="dxa"/>
            <w:vAlign w:val="bottom"/>
          </w:tcPr>
          <w:p>
            <w:pPr>
              <w:spacing w:after="0"/>
              <w:rPr>
                <w:sz w:val="18"/>
                <w:szCs w:val="18"/>
                <w:color w:val="auto"/>
              </w:rPr>
            </w:pPr>
          </w:p>
        </w:tc>
        <w:tc>
          <w:tcPr>
            <w:tcW w:w="1140" w:type="dxa"/>
            <w:vAlign w:val="bottom"/>
          </w:tcPr>
          <w:p>
            <w:pPr>
              <w:jc w:val="center"/>
              <w:ind w:right="88"/>
              <w:spacing w:after="0"/>
              <w:rPr>
                <w:sz w:val="20"/>
                <w:szCs w:val="20"/>
                <w:color w:val="auto"/>
              </w:rPr>
            </w:pPr>
            <w:r>
              <w:rPr>
                <w:rFonts w:ascii="Arial" w:cs="Arial" w:eastAsia="Arial" w:hAnsi="Arial"/>
                <w:sz w:val="14"/>
                <w:szCs w:val="14"/>
                <w:color w:val="auto"/>
              </w:rPr>
              <w:t>Fair</w:t>
            </w:r>
          </w:p>
        </w:tc>
      </w:tr>
      <w:tr>
        <w:trPr>
          <w:trHeight w:val="208"/>
        </w:trPr>
        <w:tc>
          <w:tcPr>
            <w:tcW w:w="50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Cost</w:t>
            </w:r>
          </w:p>
        </w:tc>
        <w:tc>
          <w:tcPr>
            <w:tcW w:w="5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color w:val="auto"/>
              </w:rPr>
              <w:t>Gains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color w:val="auto"/>
              </w:rPr>
              <w:t>Losses</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Value</w:t>
            </w:r>
          </w:p>
        </w:tc>
      </w:tr>
      <w:tr>
        <w:trPr>
          <w:trHeight w:val="231"/>
        </w:trPr>
        <w:tc>
          <w:tcPr>
            <w:tcW w:w="5080" w:type="dxa"/>
            <w:vAlign w:val="bottom"/>
          </w:tcPr>
          <w:p>
            <w:pPr>
              <w:spacing w:after="0"/>
              <w:rPr>
                <w:sz w:val="20"/>
                <w:szCs w:val="20"/>
                <w:color w:val="auto"/>
              </w:rPr>
            </w:pPr>
            <w:r>
              <w:rPr>
                <w:rFonts w:ascii="Arial" w:cs="Arial" w:eastAsia="Arial" w:hAnsi="Arial"/>
                <w:sz w:val="14"/>
                <w:szCs w:val="14"/>
                <w:b w:val="1"/>
                <w:bCs w:val="1"/>
                <w:color w:val="auto"/>
              </w:rPr>
              <w:t>As of March 31, 2013:</w:t>
            </w:r>
          </w:p>
        </w:tc>
        <w:tc>
          <w:tcPr>
            <w:tcW w:w="1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4"/>
                <w:szCs w:val="14"/>
                <w:color w:val="auto"/>
              </w:rPr>
              <w:t>Debt securities:</w:t>
            </w: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6"/>
        </w:trPr>
        <w:tc>
          <w:tcPr>
            <w:tcW w:w="5080" w:type="dxa"/>
            <w:vAlign w:val="bottom"/>
          </w:tcPr>
          <w:p>
            <w:pPr>
              <w:ind w:left="160"/>
              <w:spacing w:after="0"/>
              <w:rPr>
                <w:sz w:val="20"/>
                <w:szCs w:val="20"/>
                <w:color w:val="auto"/>
              </w:rPr>
            </w:pPr>
            <w:r>
              <w:rPr>
                <w:rFonts w:ascii="Arial" w:cs="Arial" w:eastAsia="Arial" w:hAnsi="Arial"/>
                <w:sz w:val="14"/>
                <w:szCs w:val="14"/>
                <w:color w:val="auto"/>
              </w:rPr>
              <w:t>Debt securities issued by the U.S. Treasury and other</w:t>
            </w: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72"/>
        </w:trPr>
        <w:tc>
          <w:tcPr>
            <w:tcW w:w="5080" w:type="dxa"/>
            <w:vAlign w:val="bottom"/>
          </w:tcPr>
          <w:p>
            <w:pPr>
              <w:ind w:left="360"/>
              <w:spacing w:after="0"/>
              <w:rPr>
                <w:sz w:val="20"/>
                <w:szCs w:val="20"/>
                <w:color w:val="auto"/>
              </w:rPr>
            </w:pPr>
            <w:r>
              <w:rPr>
                <w:rFonts w:ascii="Arial" w:cs="Arial" w:eastAsia="Arial" w:hAnsi="Arial"/>
                <w:sz w:val="14"/>
                <w:szCs w:val="14"/>
                <w:color w:val="auto"/>
              </w:rPr>
              <w:t>U.S. government corporations and agencies(1)</w:t>
            </w:r>
          </w:p>
        </w:tc>
        <w:tc>
          <w:tcPr>
            <w:tcW w:w="120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170</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8</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ind w:left="820"/>
              <w:spacing w:after="0"/>
              <w:rPr>
                <w:sz w:val="20"/>
                <w:szCs w:val="20"/>
                <w:color w:val="auto"/>
              </w:rPr>
            </w:pPr>
            <w:r>
              <w:rPr>
                <w:rFonts w:ascii="Arial" w:cs="Arial" w:eastAsia="Arial" w:hAnsi="Arial"/>
                <w:sz w:val="14"/>
                <w:szCs w:val="14"/>
                <w:color w:val="auto"/>
              </w:rPr>
              <w:t>(1)</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177</w:t>
            </w:r>
          </w:p>
        </w:tc>
      </w:tr>
      <w:tr>
        <w:trPr>
          <w:trHeight w:val="216"/>
        </w:trPr>
        <w:tc>
          <w:tcPr>
            <w:tcW w:w="5080" w:type="dxa"/>
            <w:vAlign w:val="bottom"/>
          </w:tcPr>
          <w:p>
            <w:pPr>
              <w:ind w:left="160"/>
              <w:spacing w:after="0"/>
              <w:rPr>
                <w:sz w:val="20"/>
                <w:szCs w:val="20"/>
                <w:color w:val="auto"/>
              </w:rPr>
            </w:pPr>
            <w:r>
              <w:rPr>
                <w:rFonts w:ascii="Arial" w:cs="Arial" w:eastAsia="Arial" w:hAnsi="Arial"/>
                <w:sz w:val="14"/>
                <w:szCs w:val="14"/>
                <w:color w:val="auto"/>
              </w:rPr>
              <w:t>Municipal bonds(2)</w:t>
            </w:r>
          </w:p>
        </w:tc>
        <w:tc>
          <w:tcPr>
            <w:tcW w:w="1200" w:type="dxa"/>
            <w:vAlign w:val="bottom"/>
          </w:tcPr>
          <w:p>
            <w:pPr>
              <w:spacing w:after="0"/>
              <w:rPr>
                <w:sz w:val="18"/>
                <w:szCs w:val="18"/>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58</w:t>
            </w:r>
          </w:p>
        </w:tc>
        <w:tc>
          <w:tcPr>
            <w:tcW w:w="380" w:type="dxa"/>
            <w:vAlign w:val="bottom"/>
          </w:tcPr>
          <w:p>
            <w:pPr>
              <w:spacing w:after="0"/>
              <w:rPr>
                <w:sz w:val="18"/>
                <w:szCs w:val="18"/>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6</w:t>
            </w:r>
          </w:p>
        </w:tc>
        <w:tc>
          <w:tcPr>
            <w:tcW w:w="380" w:type="dxa"/>
            <w:vAlign w:val="bottom"/>
          </w:tcPr>
          <w:p>
            <w:pPr>
              <w:spacing w:after="0"/>
              <w:rPr>
                <w:sz w:val="18"/>
                <w:szCs w:val="18"/>
                <w:color w:val="auto"/>
              </w:rPr>
            </w:pPr>
          </w:p>
        </w:tc>
        <w:tc>
          <w:tcPr>
            <w:tcW w:w="1180" w:type="dxa"/>
            <w:vAlign w:val="bottom"/>
          </w:tcPr>
          <w:p>
            <w:pPr>
              <w:ind w:left="8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208"/>
        </w:trPr>
        <w:tc>
          <w:tcPr>
            <w:tcW w:w="5080" w:type="dxa"/>
            <w:vAlign w:val="bottom"/>
          </w:tcPr>
          <w:p>
            <w:pPr>
              <w:ind w:left="160"/>
              <w:spacing w:after="0"/>
              <w:rPr>
                <w:sz w:val="20"/>
                <w:szCs w:val="20"/>
                <w:color w:val="auto"/>
              </w:rPr>
            </w:pPr>
            <w:r>
              <w:rPr>
                <w:rFonts w:ascii="Arial" w:cs="Arial" w:eastAsia="Arial" w:hAnsi="Arial"/>
                <w:sz w:val="14"/>
                <w:szCs w:val="14"/>
                <w:color w:val="auto"/>
              </w:rPr>
              <w:t>Other securities(3)</w:t>
            </w:r>
          </w:p>
        </w:tc>
        <w:tc>
          <w:tcPr>
            <w:tcW w:w="1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129</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(1)</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r>
      <w:tr>
        <w:trPr>
          <w:trHeight w:val="231"/>
        </w:trPr>
        <w:tc>
          <w:tcPr>
            <w:tcW w:w="5080" w:type="dxa"/>
            <w:vAlign w:val="bottom"/>
          </w:tcPr>
          <w:p>
            <w:pPr>
              <w:spacing w:after="0"/>
              <w:rPr>
                <w:sz w:val="20"/>
                <w:szCs w:val="20"/>
                <w:color w:val="auto"/>
              </w:rPr>
            </w:pPr>
            <w:r>
              <w:rPr>
                <w:rFonts w:ascii="Arial" w:cs="Arial" w:eastAsia="Arial" w:hAnsi="Arial"/>
                <w:sz w:val="14"/>
                <w:szCs w:val="14"/>
                <w:color w:val="auto"/>
              </w:rPr>
              <w:t>Total debt securities</w:t>
            </w:r>
          </w:p>
        </w:tc>
        <w:tc>
          <w:tcPr>
            <w:tcW w:w="1200" w:type="dxa"/>
            <w:vAlign w:val="bottom"/>
          </w:tcPr>
          <w:p>
            <w:pPr>
              <w:spacing w:after="0"/>
              <w:rPr>
                <w:sz w:val="20"/>
                <w:szCs w:val="20"/>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357</w:t>
            </w:r>
          </w:p>
        </w:tc>
        <w:tc>
          <w:tcPr>
            <w:tcW w:w="380" w:type="dxa"/>
            <w:vAlign w:val="bottom"/>
          </w:tcPr>
          <w:p>
            <w:pPr>
              <w:spacing w:after="0"/>
              <w:rPr>
                <w:sz w:val="20"/>
                <w:szCs w:val="20"/>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20</w:t>
            </w:r>
          </w:p>
        </w:tc>
        <w:tc>
          <w:tcPr>
            <w:tcW w:w="380" w:type="dxa"/>
            <w:vAlign w:val="bottom"/>
          </w:tcPr>
          <w:p>
            <w:pPr>
              <w:spacing w:after="0"/>
              <w:rPr>
                <w:sz w:val="20"/>
                <w:szCs w:val="20"/>
                <w:color w:val="auto"/>
              </w:rPr>
            </w:pPr>
          </w:p>
        </w:tc>
        <w:tc>
          <w:tcPr>
            <w:tcW w:w="1180" w:type="dxa"/>
            <w:vAlign w:val="bottom"/>
          </w:tcPr>
          <w:p>
            <w:pPr>
              <w:ind w:left="820"/>
              <w:spacing w:after="0"/>
              <w:rPr>
                <w:sz w:val="20"/>
                <w:szCs w:val="20"/>
                <w:color w:val="auto"/>
              </w:rPr>
            </w:pPr>
            <w:r>
              <w:rPr>
                <w:rFonts w:ascii="Arial" w:cs="Arial" w:eastAsia="Arial" w:hAnsi="Arial"/>
                <w:sz w:val="14"/>
                <w:szCs w:val="14"/>
                <w:color w:val="auto"/>
              </w:rPr>
              <w:t>(2)</w:t>
            </w: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375</w:t>
            </w:r>
          </w:p>
        </w:tc>
      </w:tr>
      <w:tr>
        <w:trPr>
          <w:trHeight w:val="216"/>
        </w:trPr>
        <w:tc>
          <w:tcPr>
            <w:tcW w:w="5080" w:type="dxa"/>
            <w:vAlign w:val="bottom"/>
          </w:tcPr>
          <w:p>
            <w:pPr>
              <w:spacing w:after="0"/>
              <w:rPr>
                <w:sz w:val="20"/>
                <w:szCs w:val="20"/>
                <w:color w:val="auto"/>
              </w:rPr>
            </w:pPr>
            <w:r>
              <w:rPr>
                <w:rFonts w:ascii="Arial" w:cs="Arial" w:eastAsia="Arial" w:hAnsi="Arial"/>
                <w:sz w:val="14"/>
                <w:szCs w:val="14"/>
                <w:color w:val="auto"/>
              </w:rPr>
              <w:t>Equity securities</w:t>
            </w:r>
          </w:p>
        </w:tc>
        <w:tc>
          <w:tcPr>
            <w:tcW w:w="1200" w:type="dxa"/>
            <w:vAlign w:val="bottom"/>
          </w:tcPr>
          <w:p>
            <w:pPr>
              <w:spacing w:after="0"/>
              <w:rPr>
                <w:sz w:val="18"/>
                <w:szCs w:val="18"/>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238</w:t>
            </w:r>
          </w:p>
        </w:tc>
        <w:tc>
          <w:tcPr>
            <w:tcW w:w="380" w:type="dxa"/>
            <w:vAlign w:val="bottom"/>
          </w:tcPr>
          <w:p>
            <w:pPr>
              <w:spacing w:after="0"/>
              <w:rPr>
                <w:sz w:val="18"/>
                <w:szCs w:val="18"/>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333</w:t>
            </w:r>
          </w:p>
        </w:tc>
        <w:tc>
          <w:tcPr>
            <w:tcW w:w="380" w:type="dxa"/>
            <w:vAlign w:val="bottom"/>
          </w:tcPr>
          <w:p>
            <w:pPr>
              <w:spacing w:after="0"/>
              <w:rPr>
                <w:sz w:val="18"/>
                <w:szCs w:val="18"/>
                <w:color w:val="auto"/>
              </w:rPr>
            </w:pPr>
          </w:p>
        </w:tc>
        <w:tc>
          <w:tcPr>
            <w:tcW w:w="1180" w:type="dxa"/>
            <w:vAlign w:val="bottom"/>
          </w:tcPr>
          <w:p>
            <w:pPr>
              <w:ind w:left="820"/>
              <w:spacing w:after="0"/>
              <w:rPr>
                <w:sz w:val="20"/>
                <w:szCs w:val="20"/>
                <w:color w:val="auto"/>
              </w:rPr>
            </w:pPr>
            <w:r>
              <w:rPr>
                <w:rFonts w:ascii="Arial" w:cs="Arial" w:eastAsia="Arial" w:hAnsi="Arial"/>
                <w:sz w:val="14"/>
                <w:szCs w:val="14"/>
                <w:color w:val="auto"/>
              </w:rPr>
              <w:t>(2)</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569</w:t>
            </w:r>
          </w:p>
        </w:tc>
      </w:tr>
      <w:tr>
        <w:trPr>
          <w:trHeight w:val="208"/>
        </w:trPr>
        <w:tc>
          <w:tcPr>
            <w:tcW w:w="508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162"/>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12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603</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353</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(4)</w:t>
            </w:r>
          </w:p>
        </w:tc>
        <w:tc>
          <w:tcPr>
            <w:tcW w:w="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952</w:t>
            </w:r>
          </w:p>
        </w:tc>
      </w:tr>
      <w:tr>
        <w:trPr>
          <w:trHeight w:val="21"/>
        </w:trPr>
        <w:tc>
          <w:tcPr>
            <w:tcW w:w="50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5"/>
        </w:trPr>
        <w:tc>
          <w:tcPr>
            <w:tcW w:w="5080" w:type="dxa"/>
            <w:vAlign w:val="bottom"/>
          </w:tcPr>
          <w:p>
            <w:pPr>
              <w:spacing w:after="0"/>
              <w:rPr>
                <w:sz w:val="20"/>
                <w:szCs w:val="20"/>
                <w:color w:val="auto"/>
              </w:rPr>
            </w:pPr>
            <w:r>
              <w:rPr>
                <w:rFonts w:ascii="Arial" w:cs="Arial" w:eastAsia="Arial" w:hAnsi="Arial"/>
                <w:sz w:val="14"/>
                <w:szCs w:val="14"/>
                <w:b w:val="1"/>
                <w:bCs w:val="1"/>
                <w:color w:val="auto"/>
              </w:rPr>
              <w:t>As of December 31, 2012:</w:t>
            </w: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4"/>
                <w:szCs w:val="14"/>
                <w:color w:val="auto"/>
              </w:rPr>
              <w:t>Debt securities:</w:t>
            </w: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6"/>
        </w:trPr>
        <w:tc>
          <w:tcPr>
            <w:tcW w:w="5080" w:type="dxa"/>
            <w:vAlign w:val="bottom"/>
          </w:tcPr>
          <w:p>
            <w:pPr>
              <w:ind w:left="160"/>
              <w:spacing w:after="0"/>
              <w:rPr>
                <w:sz w:val="20"/>
                <w:szCs w:val="20"/>
                <w:color w:val="auto"/>
              </w:rPr>
            </w:pPr>
            <w:r>
              <w:rPr>
                <w:rFonts w:ascii="Arial" w:cs="Arial" w:eastAsia="Arial" w:hAnsi="Arial"/>
                <w:sz w:val="14"/>
                <w:szCs w:val="14"/>
                <w:color w:val="auto"/>
              </w:rPr>
              <w:t>Debt securities issued by the U.S. Treasury and other</w:t>
            </w: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72"/>
        </w:trPr>
        <w:tc>
          <w:tcPr>
            <w:tcW w:w="5080" w:type="dxa"/>
            <w:vAlign w:val="bottom"/>
          </w:tcPr>
          <w:p>
            <w:pPr>
              <w:ind w:left="360"/>
              <w:spacing w:after="0"/>
              <w:rPr>
                <w:sz w:val="20"/>
                <w:szCs w:val="20"/>
                <w:color w:val="auto"/>
              </w:rPr>
            </w:pPr>
            <w:r>
              <w:rPr>
                <w:rFonts w:ascii="Arial" w:cs="Arial" w:eastAsia="Arial" w:hAnsi="Arial"/>
                <w:sz w:val="14"/>
                <w:szCs w:val="14"/>
                <w:color w:val="auto"/>
              </w:rPr>
              <w:t>U.S. government corporations and agencies</w:t>
            </w:r>
          </w:p>
        </w:tc>
        <w:tc>
          <w:tcPr>
            <w:tcW w:w="120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147</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ind w:left="82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156</w:t>
            </w:r>
          </w:p>
        </w:tc>
      </w:tr>
      <w:tr>
        <w:trPr>
          <w:trHeight w:val="216"/>
        </w:trPr>
        <w:tc>
          <w:tcPr>
            <w:tcW w:w="5080" w:type="dxa"/>
            <w:vAlign w:val="bottom"/>
          </w:tcPr>
          <w:p>
            <w:pPr>
              <w:ind w:left="160"/>
              <w:spacing w:after="0"/>
              <w:rPr>
                <w:sz w:val="20"/>
                <w:szCs w:val="20"/>
                <w:color w:val="auto"/>
              </w:rPr>
            </w:pPr>
            <w:r>
              <w:rPr>
                <w:rFonts w:ascii="Arial" w:cs="Arial" w:eastAsia="Arial" w:hAnsi="Arial"/>
                <w:sz w:val="14"/>
                <w:szCs w:val="14"/>
                <w:color w:val="auto"/>
              </w:rPr>
              <w:t>Municipal bonds</w:t>
            </w:r>
          </w:p>
        </w:tc>
        <w:tc>
          <w:tcPr>
            <w:tcW w:w="1200" w:type="dxa"/>
            <w:vAlign w:val="bottom"/>
          </w:tcPr>
          <w:p>
            <w:pPr>
              <w:spacing w:after="0"/>
              <w:rPr>
                <w:sz w:val="18"/>
                <w:szCs w:val="18"/>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57</w:t>
            </w:r>
          </w:p>
        </w:tc>
        <w:tc>
          <w:tcPr>
            <w:tcW w:w="380" w:type="dxa"/>
            <w:vAlign w:val="bottom"/>
          </w:tcPr>
          <w:p>
            <w:pPr>
              <w:spacing w:after="0"/>
              <w:rPr>
                <w:sz w:val="18"/>
                <w:szCs w:val="18"/>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6</w:t>
            </w:r>
          </w:p>
        </w:tc>
        <w:tc>
          <w:tcPr>
            <w:tcW w:w="380" w:type="dxa"/>
            <w:vAlign w:val="bottom"/>
          </w:tcPr>
          <w:p>
            <w:pPr>
              <w:spacing w:after="0"/>
              <w:rPr>
                <w:sz w:val="18"/>
                <w:szCs w:val="18"/>
                <w:color w:val="auto"/>
              </w:rPr>
            </w:pPr>
          </w:p>
        </w:tc>
        <w:tc>
          <w:tcPr>
            <w:tcW w:w="1180" w:type="dxa"/>
            <w:vAlign w:val="bottom"/>
          </w:tcPr>
          <w:p>
            <w:pPr>
              <w:ind w:left="8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208"/>
        </w:trPr>
        <w:tc>
          <w:tcPr>
            <w:tcW w:w="5080" w:type="dxa"/>
            <w:vAlign w:val="bottom"/>
          </w:tcPr>
          <w:p>
            <w:pPr>
              <w:ind w:left="160"/>
              <w:spacing w:after="0"/>
              <w:rPr>
                <w:sz w:val="20"/>
                <w:szCs w:val="20"/>
                <w:color w:val="auto"/>
              </w:rPr>
            </w:pPr>
            <w:r>
              <w:rPr>
                <w:rFonts w:ascii="Arial" w:cs="Arial" w:eastAsia="Arial" w:hAnsi="Arial"/>
                <w:sz w:val="14"/>
                <w:szCs w:val="14"/>
                <w:color w:val="auto"/>
              </w:rPr>
              <w:t>Other securities</w:t>
            </w:r>
          </w:p>
        </w:tc>
        <w:tc>
          <w:tcPr>
            <w:tcW w:w="1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121</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(1)</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r>
      <w:tr>
        <w:trPr>
          <w:trHeight w:val="231"/>
        </w:trPr>
        <w:tc>
          <w:tcPr>
            <w:tcW w:w="5080" w:type="dxa"/>
            <w:vAlign w:val="bottom"/>
          </w:tcPr>
          <w:p>
            <w:pPr>
              <w:spacing w:after="0"/>
              <w:rPr>
                <w:sz w:val="20"/>
                <w:szCs w:val="20"/>
                <w:color w:val="auto"/>
              </w:rPr>
            </w:pPr>
            <w:r>
              <w:rPr>
                <w:rFonts w:ascii="Arial" w:cs="Arial" w:eastAsia="Arial" w:hAnsi="Arial"/>
                <w:sz w:val="14"/>
                <w:szCs w:val="14"/>
                <w:color w:val="auto"/>
              </w:rPr>
              <w:t>Total debt securities</w:t>
            </w:r>
          </w:p>
        </w:tc>
        <w:tc>
          <w:tcPr>
            <w:tcW w:w="1200" w:type="dxa"/>
            <w:vAlign w:val="bottom"/>
          </w:tcPr>
          <w:p>
            <w:pPr>
              <w:spacing w:after="0"/>
              <w:rPr>
                <w:sz w:val="20"/>
                <w:szCs w:val="20"/>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325</w:t>
            </w:r>
          </w:p>
        </w:tc>
        <w:tc>
          <w:tcPr>
            <w:tcW w:w="380" w:type="dxa"/>
            <w:vAlign w:val="bottom"/>
          </w:tcPr>
          <w:p>
            <w:pPr>
              <w:spacing w:after="0"/>
              <w:rPr>
                <w:sz w:val="20"/>
                <w:szCs w:val="20"/>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25</w:t>
            </w:r>
          </w:p>
        </w:tc>
        <w:tc>
          <w:tcPr>
            <w:tcW w:w="380" w:type="dxa"/>
            <w:vAlign w:val="bottom"/>
          </w:tcPr>
          <w:p>
            <w:pPr>
              <w:spacing w:after="0"/>
              <w:rPr>
                <w:sz w:val="20"/>
                <w:szCs w:val="20"/>
                <w:color w:val="auto"/>
              </w:rPr>
            </w:pPr>
          </w:p>
        </w:tc>
        <w:tc>
          <w:tcPr>
            <w:tcW w:w="1180" w:type="dxa"/>
            <w:vAlign w:val="bottom"/>
          </w:tcPr>
          <w:p>
            <w:pPr>
              <w:ind w:left="820"/>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349</w:t>
            </w:r>
          </w:p>
        </w:tc>
      </w:tr>
      <w:tr>
        <w:trPr>
          <w:trHeight w:val="216"/>
        </w:trPr>
        <w:tc>
          <w:tcPr>
            <w:tcW w:w="5080" w:type="dxa"/>
            <w:vAlign w:val="bottom"/>
          </w:tcPr>
          <w:p>
            <w:pPr>
              <w:spacing w:after="0"/>
              <w:rPr>
                <w:sz w:val="20"/>
                <w:szCs w:val="20"/>
                <w:color w:val="auto"/>
              </w:rPr>
            </w:pPr>
            <w:r>
              <w:rPr>
                <w:rFonts w:ascii="Arial" w:cs="Arial" w:eastAsia="Arial" w:hAnsi="Arial"/>
                <w:sz w:val="14"/>
                <w:szCs w:val="14"/>
                <w:color w:val="auto"/>
              </w:rPr>
              <w:t>Equity securities</w:t>
            </w:r>
          </w:p>
        </w:tc>
        <w:tc>
          <w:tcPr>
            <w:tcW w:w="1200" w:type="dxa"/>
            <w:vAlign w:val="bottom"/>
          </w:tcPr>
          <w:p>
            <w:pPr>
              <w:spacing w:after="0"/>
              <w:rPr>
                <w:sz w:val="18"/>
                <w:szCs w:val="18"/>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249</w:t>
            </w:r>
          </w:p>
        </w:tc>
        <w:tc>
          <w:tcPr>
            <w:tcW w:w="380" w:type="dxa"/>
            <w:vAlign w:val="bottom"/>
          </w:tcPr>
          <w:p>
            <w:pPr>
              <w:spacing w:after="0"/>
              <w:rPr>
                <w:sz w:val="18"/>
                <w:szCs w:val="18"/>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292</w:t>
            </w:r>
          </w:p>
        </w:tc>
        <w:tc>
          <w:tcPr>
            <w:tcW w:w="380" w:type="dxa"/>
            <w:vAlign w:val="bottom"/>
          </w:tcPr>
          <w:p>
            <w:pPr>
              <w:spacing w:after="0"/>
              <w:rPr>
                <w:sz w:val="18"/>
                <w:szCs w:val="18"/>
                <w:color w:val="auto"/>
              </w:rPr>
            </w:pPr>
          </w:p>
        </w:tc>
        <w:tc>
          <w:tcPr>
            <w:tcW w:w="1180" w:type="dxa"/>
            <w:vAlign w:val="bottom"/>
          </w:tcPr>
          <w:p>
            <w:pPr>
              <w:ind w:left="820"/>
              <w:spacing w:after="0"/>
              <w:rPr>
                <w:sz w:val="20"/>
                <w:szCs w:val="20"/>
                <w:color w:val="auto"/>
              </w:rPr>
            </w:pPr>
            <w:r>
              <w:rPr>
                <w:rFonts w:ascii="Arial" w:cs="Arial" w:eastAsia="Arial" w:hAnsi="Arial"/>
                <w:sz w:val="14"/>
                <w:szCs w:val="14"/>
                <w:color w:val="auto"/>
              </w:rPr>
              <w:t>(2)</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539</w:t>
            </w:r>
          </w:p>
        </w:tc>
      </w:tr>
      <w:tr>
        <w:trPr>
          <w:trHeight w:val="208"/>
        </w:trPr>
        <w:tc>
          <w:tcPr>
            <w:tcW w:w="508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r>
      <w:tr>
        <w:trPr>
          <w:trHeight w:val="162"/>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12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594</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317</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(3)</w:t>
            </w:r>
          </w:p>
        </w:tc>
        <w:tc>
          <w:tcPr>
            <w:tcW w:w="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908</w:t>
            </w:r>
          </w:p>
        </w:tc>
      </w:tr>
      <w:tr>
        <w:trPr>
          <w:trHeight w:val="21"/>
        </w:trPr>
        <w:tc>
          <w:tcPr>
            <w:tcW w:w="50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ind w:left="200"/>
        <w:spacing w:after="0"/>
        <w:tabs>
          <w:tab w:leader="none" w:pos="540" w:val="left"/>
        </w:tabs>
        <w:rPr>
          <w:sz w:val="20"/>
          <w:szCs w:val="20"/>
          <w:color w:val="auto"/>
        </w:rPr>
      </w:pPr>
      <w:r>
        <w:rPr>
          <w:rFonts w:ascii="Arial" w:cs="Arial" w:eastAsia="Arial" w:hAnsi="Arial"/>
          <w:sz w:val="14"/>
          <w:szCs w:val="14"/>
          <w:i w:val="1"/>
          <w:iCs w:val="1"/>
          <w:color w:val="auto"/>
        </w:rPr>
        <w:t>(1)</w:t>
        <w:tab/>
        <w:t>Maturity dates are 2013-2042</w:t>
      </w:r>
    </w:p>
    <w:p>
      <w:pPr>
        <w:spacing w:after="0" w:line="6" w:lineRule="exact"/>
        <w:rPr>
          <w:sz w:val="20"/>
          <w:szCs w:val="20"/>
          <w:color w:val="auto"/>
        </w:rPr>
      </w:pPr>
    </w:p>
    <w:p>
      <w:pPr>
        <w:ind w:left="200"/>
        <w:spacing w:after="0"/>
        <w:tabs>
          <w:tab w:leader="none" w:pos="540" w:val="left"/>
        </w:tabs>
        <w:rPr>
          <w:sz w:val="20"/>
          <w:szCs w:val="20"/>
          <w:color w:val="auto"/>
        </w:rPr>
      </w:pPr>
      <w:r>
        <w:rPr>
          <w:rFonts w:ascii="Arial" w:cs="Arial" w:eastAsia="Arial" w:hAnsi="Arial"/>
          <w:sz w:val="14"/>
          <w:szCs w:val="14"/>
          <w:i w:val="1"/>
          <w:iCs w:val="1"/>
          <w:color w:val="auto"/>
        </w:rPr>
        <w:t>(2)</w:t>
        <w:tab/>
        <w:t>Maturity dates are 2013-2111</w:t>
      </w:r>
    </w:p>
    <w:p>
      <w:pPr>
        <w:spacing w:after="0" w:line="1" w:lineRule="exact"/>
        <w:rPr>
          <w:sz w:val="20"/>
          <w:szCs w:val="20"/>
          <w:color w:val="auto"/>
        </w:rPr>
      </w:pPr>
    </w:p>
    <w:p>
      <w:pPr>
        <w:ind w:left="200"/>
        <w:spacing w:after="0"/>
        <w:tabs>
          <w:tab w:leader="none" w:pos="540" w:val="left"/>
        </w:tabs>
        <w:rPr>
          <w:sz w:val="20"/>
          <w:szCs w:val="20"/>
          <w:color w:val="auto"/>
        </w:rPr>
      </w:pPr>
      <w:r>
        <w:rPr>
          <w:rFonts w:ascii="Arial" w:cs="Arial" w:eastAsia="Arial" w:hAnsi="Arial"/>
          <w:sz w:val="14"/>
          <w:szCs w:val="14"/>
          <w:i w:val="1"/>
          <w:iCs w:val="1"/>
          <w:color w:val="auto"/>
        </w:rPr>
        <w:t>(3)</w:t>
        <w:tab/>
        <w:t>Maturity dates are 2013-2112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proceeds from sales of securities in the trusts and gross realized gains and losses on those sales: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340" w:type="dxa"/>
            <w:vAlign w:val="bottom"/>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color w:val="auto"/>
              </w:rPr>
              <w:t>Three months ended March 31,</w:t>
            </w:r>
          </w:p>
        </w:tc>
        <w:tc>
          <w:tcPr>
            <w:tcW w:w="1880" w:type="dxa"/>
            <w:vAlign w:val="bottom"/>
            <w:tcBorders>
              <w:bottom w:val="single" w:sz="8" w:color="auto"/>
            </w:tcBorders>
          </w:tcPr>
          <w:p>
            <w:pPr>
              <w:spacing w:after="0"/>
              <w:rPr>
                <w:sz w:val="14"/>
                <w:szCs w:val="14"/>
                <w:color w:val="auto"/>
              </w:rPr>
            </w:pPr>
          </w:p>
        </w:tc>
      </w:tr>
      <w:tr>
        <w:trPr>
          <w:trHeight w:val="223"/>
        </w:trPr>
        <w:tc>
          <w:tcPr>
            <w:tcW w:w="5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color w:val="auto"/>
              </w:rPr>
              <w:t>2013</w:t>
            </w:r>
          </w:p>
        </w:tc>
        <w:tc>
          <w:tcPr>
            <w:tcW w:w="16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301"/>
              <w:spacing w:after="0"/>
              <w:rPr>
                <w:sz w:val="20"/>
                <w:szCs w:val="20"/>
                <w:color w:val="auto"/>
              </w:rPr>
            </w:pPr>
            <w:r>
              <w:rPr>
                <w:rFonts w:ascii="Arial" w:cs="Arial" w:eastAsia="Arial" w:hAnsi="Arial"/>
                <w:sz w:val="14"/>
                <w:szCs w:val="14"/>
                <w:color w:val="auto"/>
              </w:rPr>
              <w:t>2012</w:t>
            </w:r>
          </w:p>
        </w:tc>
      </w:tr>
      <w:tr>
        <w:trPr>
          <w:trHeight w:val="197"/>
        </w:trPr>
        <w:tc>
          <w:tcPr>
            <w:tcW w:w="5340" w:type="dxa"/>
            <w:vAlign w:val="bottom"/>
          </w:tcPr>
          <w:p>
            <w:pPr>
              <w:spacing w:after="0"/>
              <w:rPr>
                <w:sz w:val="20"/>
                <w:szCs w:val="20"/>
                <w:color w:val="auto"/>
              </w:rPr>
            </w:pPr>
            <w:r>
              <w:rPr>
                <w:rFonts w:ascii="Arial" w:cs="Arial" w:eastAsia="Arial" w:hAnsi="Arial"/>
                <w:sz w:val="16"/>
                <w:szCs w:val="16"/>
                <w:color w:val="auto"/>
              </w:rPr>
              <w:t>Proceeds from sales</w:t>
            </w:r>
          </w:p>
        </w:tc>
        <w:tc>
          <w:tcPr>
            <w:tcW w:w="1840" w:type="dxa"/>
            <w:vAlign w:val="bottom"/>
          </w:tcPr>
          <w:p>
            <w:pPr>
              <w:jc w:val="right"/>
              <w:ind w:right="763"/>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421"/>
              <w:spacing w:after="0"/>
              <w:rPr>
                <w:sz w:val="20"/>
                <w:szCs w:val="20"/>
                <w:color w:val="auto"/>
              </w:rPr>
            </w:pPr>
            <w:r>
              <w:rPr>
                <w:rFonts w:ascii="Arial" w:cs="Arial" w:eastAsia="Arial" w:hAnsi="Arial"/>
                <w:sz w:val="16"/>
                <w:szCs w:val="16"/>
                <w:color w:val="auto"/>
              </w:rPr>
              <w:t>134</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16"/>
        </w:trPr>
        <w:tc>
          <w:tcPr>
            <w:tcW w:w="5340" w:type="dxa"/>
            <w:vAlign w:val="bottom"/>
          </w:tcPr>
          <w:p>
            <w:pPr>
              <w:spacing w:after="0"/>
              <w:rPr>
                <w:sz w:val="20"/>
                <w:szCs w:val="20"/>
                <w:color w:val="auto"/>
              </w:rPr>
            </w:pPr>
            <w:r>
              <w:rPr>
                <w:rFonts w:ascii="Arial" w:cs="Arial" w:eastAsia="Arial" w:hAnsi="Arial"/>
                <w:sz w:val="16"/>
                <w:szCs w:val="16"/>
                <w:color w:val="auto"/>
              </w:rPr>
              <w:t>Gross realized gains</w:t>
            </w:r>
          </w:p>
        </w:tc>
        <w:tc>
          <w:tcPr>
            <w:tcW w:w="1840" w:type="dxa"/>
            <w:vAlign w:val="bottom"/>
          </w:tcPr>
          <w:p>
            <w:pPr>
              <w:spacing w:after="0"/>
              <w:rPr>
                <w:sz w:val="18"/>
                <w:szCs w:val="18"/>
                <w:color w:val="auto"/>
              </w:rPr>
            </w:pPr>
          </w:p>
        </w:tc>
        <w:tc>
          <w:tcPr>
            <w:tcW w:w="1640" w:type="dxa"/>
            <w:vAlign w:val="bottom"/>
          </w:tcPr>
          <w:p>
            <w:pPr>
              <w:jc w:val="right"/>
              <w:ind w:right="421"/>
              <w:spacing w:after="0"/>
              <w:rPr>
                <w:sz w:val="20"/>
                <w:szCs w:val="20"/>
                <w:color w:val="auto"/>
              </w:rPr>
            </w:pPr>
            <w:r>
              <w:rPr>
                <w:rFonts w:ascii="Arial" w:cs="Arial" w:eastAsia="Arial" w:hAnsi="Arial"/>
                <w:sz w:val="16"/>
                <w:szCs w:val="16"/>
                <w:color w:val="auto"/>
              </w:rPr>
              <w:t>5</w:t>
            </w:r>
          </w:p>
        </w:tc>
        <w:tc>
          <w:tcPr>
            <w:tcW w:w="7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09"/>
        </w:trPr>
        <w:tc>
          <w:tcPr>
            <w:tcW w:w="5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Gross realized losses</w:t>
            </w:r>
          </w:p>
        </w:tc>
        <w:tc>
          <w:tcPr>
            <w:tcW w:w="18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rPr>
              <w:t>(3)</w:t>
            </w:r>
          </w:p>
        </w:tc>
        <w:tc>
          <w:tcPr>
            <w:tcW w:w="7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
        </w:trPr>
        <w:tc>
          <w:tcPr>
            <w:tcW w:w="5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 unrealized gains (losses) are included in Regulatory Liabilities Arising from Removal Obligations on the Condensed Consolidated Balance Sheets. We determine the cost of securities in the trusts on the basis of specific identification.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Non-Recurring Fair Value Measures – Sempra Energy Consolidated</w:t>
      </w:r>
    </w:p>
    <w:p>
      <w:pPr>
        <w:spacing w:after="0" w:line="24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discuss non-recurring fair value measures and the associated accounting impact on our investments in RBS Sempra Commodities, our Argentine utilities and Rockies Express in Note 4 of the Notes to Consolidated Financial Statements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2637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NOTE 9. CALIFORNIA UTILITIES' REGULATORY MATTERS</w:t>
      </w:r>
    </w:p>
    <w:p>
      <w:pPr>
        <w:sectPr>
          <w:pgSz w:w="11900" w:h="16838" w:orient="portrait"/>
          <w:cols w:equalWidth="0" w:num="1">
            <w:col w:w="11420"/>
          </w:cols>
          <w:pgMar w:left="240" w:top="557" w:right="239" w:bottom="66" w:gutter="0" w:footer="0" w:header="0"/>
        </w:sectPr>
      </w:pPr>
    </w:p>
    <w:bookmarkStart w:id="35" w:name="page36"/>
    <w:bookmarkEnd w:id="35"/>
    <w:p>
      <w:pPr>
        <w:ind w:right="120"/>
        <w:spacing w:after="0" w:line="277" w:lineRule="auto"/>
        <w:rPr>
          <w:sz w:val="20"/>
          <w:szCs w:val="20"/>
          <w:color w:val="auto"/>
        </w:rPr>
      </w:pPr>
      <w:r>
        <w:rPr>
          <w:rFonts w:ascii="Arial" w:cs="Arial" w:eastAsia="Arial" w:hAnsi="Arial"/>
          <w:sz w:val="18"/>
          <w:szCs w:val="18"/>
          <w:color w:val="auto"/>
        </w:rPr>
        <w:t>We discuss matters affecting our California Utilities in Note 14 of the Notes to Consolidated Financial Statements in the Annual Report, and provide updates to those discussions and details of any new matters below.</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MATTERS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General Rate Case (GRC)</w:t>
      </w:r>
    </w:p>
    <w:p>
      <w:pPr>
        <w:spacing w:after="0" w:line="24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CPUC uses a general rate case proceeding to prospectively set rates sufficient to allow the California Utilities to recover their reasonable cost of operations and maintenance and to provide the opportunity to realize their authorized rates of return on their investment. In December 2010, the California Utilities filed their 2012 General Rate Case (GRC) applications to establish their authorized 2012 revenue requirements and the ratemaking mechanisms by which those requirements will change on an annual basis over the subsequent three-year (2013-2015) period. Both SDG&amp;E and SoCalGas filed revised applications with the CPUC in July 2011. Evidentiary hearings were completed in January 2012, and final briefs reflecting the results from these hearings were filed with the CPUC in May 2012.</w:t>
      </w:r>
    </w:p>
    <w:p>
      <w:pPr>
        <w:spacing w:after="0" w:line="22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February 2012, the California Utilities filed amendments to update their July 2011 revised applications. With these amendments, SDG&amp;E is requesting a revenue requirement in 2012 of $1.849 billion, an increase of $235 million (or 14.6 percent) over 2011, of which $67 million is being requested for cost recovery of the incremental wildfire insurance premiums which are not included in the 2011 revenue requirement as set forth in the 2008 GRC. SoCalGas is requesting a revenue requirement in 2012 of $2.112 billion, an increase of $268 million (14.5 percent) over 2011.</w:t>
      </w:r>
    </w:p>
    <w:p>
      <w:pPr>
        <w:spacing w:after="0" w:line="19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In March 2013, the CPUC issued a proposed draft decision (2012 GRC PD) that would establish a 2012 revenue requirement of $1.749 billion for SDG&amp;E and $1.952 billion for SoCalGas. This represents an increase of $135 million (8.4 percent) and $108 million (5.9 percent) over the authorized 2011 revenue requirements of SDG&amp;E and SoCalGas, respectively. The 2012 GRC PD would also establish a four-year GRC period (through 2015); subsequent escalation of the adopted revenue requirements for years 2013, 2014 and 2015 based on the Consumer Price Index </w:t>
      </w:r>
      <w:r>
        <w:rPr>
          <w:rFonts w:ascii="Arial" w:cs="Arial" w:eastAsia="Arial" w:hAnsi="Arial"/>
          <w:sz w:val="17"/>
          <w:szCs w:val="17"/>
          <w:color w:val="auto"/>
        </w:rPr>
        <w:t>–</w:t>
      </w:r>
      <w:r>
        <w:rPr>
          <w:rFonts w:ascii="Arial" w:cs="Arial" w:eastAsia="Arial" w:hAnsi="Arial"/>
          <w:sz w:val="16"/>
          <w:szCs w:val="16"/>
          <w:color w:val="auto"/>
        </w:rPr>
        <w:t xml:space="preserve"> Urban (CPI-U); and the continuation of the Z-Factor mechanism for qualifying cost recovery. The Z-Factor mechanism allows the California Utilities to seek cost recovery of significant cost increases, under certain circumstances, incurred between GRC filings from unforeseen events subject to a $5 million deductible per event.</w:t>
      </w:r>
    </w:p>
    <w:p>
      <w:pPr>
        <w:spacing w:after="0" w:line="19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On April 18, 2013, the California Utilities filed comments in response to the 2012 GRC PD with the CPUC recommending changes to the proposed 2012 revenue requirements, citing significant errors that should be addressed. The issues identified by the California Utilities in their filed comments equate to the 2012 GRC PD’s proposed revenue requirement being understated by $3 million and $52 million for SDG&amp;E and SoCalGas, respectively. Among the major issues in the 2012 GRC PD identified by the California Utilities in the filed comments are: 1) discrepancies between the detail in the model used by the CPUC in determining the proposed 2012 revenue requirements when compared to the language in the 2012 GRC PD; 2) recovery of amounts for the funding of pension plans that are in excess of what the current funding levels of these plans are expected to be based on current pension funding guidelines; 3) reductions for the funding of critical SoCalGas gas operations and customer service departments; and 4) the level of funding for the employees’ short-term incentive compensation plans when compared to the CPUC’s assessment of the level of total employee compensation for the California Utilities and to what has been approved in other recent California investor-owned utilities’ GRC decisions.</w:t>
      </w:r>
    </w:p>
    <w:p>
      <w:pPr>
        <w:spacing w:after="0" w:line="20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addition to the issues comprising the understatement of the 2012 GRC PD’s revenue requirement for 2012, the filed comments also identify an inconsistency in the 2012 GRC PD’s design of the proposed attrition mechanism when compared to the attrition mechanism adopted in other recent California investor-owned utilities’ GRC decisions. The 2012 GRC PD proposes the use of the CPI-U, rather than a utility-industry index, as the basis for Post Test Year escalation. The filed comments provide a comparison of what the attrition would be based on the CPI-U as compared to the attrition mechanism adopted in recent GRCs for other regulated utilities. This comparison shows that, on average over the past five years (2007 – 2012), the utility-industry index for SDG&amp;E and SoCalGas was 170 basis points (1.7 percent) and 140 basis points (1.4 percent) higher, respectively, than the CPI-U. In their filed comments, the California Utilities urge the CPUC to reject the use of the CPI-U as the index and adopt a utility-industry index or indices, similar to what was adopted for other California investor-owned utilities in their most recent GRC proceedings.</w:t>
      </w:r>
    </w:p>
    <w:p>
      <w:pPr>
        <w:spacing w:after="0" w:line="20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expect a final CPUC decision, which will be made effective retroactive to January 1, 2012, in the second quarter of 2013. The financial impact of the final CPUC decision, retroactive to January 1, 2012, will be reflected in the California Utilities’ financial statements in the period in which the final CPUC decision is issued. Because a final decision for the 2012 GRC was not issued by March 31, 2013, the California Utilities have recorded revenues in 2012 and in the first quarter of 2013 based on levels authorized in 2011 plus, for SDG&amp;E and consistent with the recent CPUC decisions for cost recovery for SDG&amp;E’s incremental wildfire insurance premiums, an amount for the recovery of 2012 wildfire insurance premiums.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Capital</w:t>
      </w:r>
    </w:p>
    <w:p>
      <w:pPr>
        <w:spacing w:after="0" w:line="24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A cost of capital proceeding determines a utility’s authorized capital structure and authorized rate of return on rate base (ROR), which is a weighted average of the authorized returns on debt, preferred stock, and common equity (return on equity or ROE), weighted on a basis consistent with the authorized capital structure. The authorized ROR is the rate that the California Utilities are authorized to use in establishing rates to recover the cost of debt and equity used to finance their investment in electric and natural gas distribution, natural gas transmission and electric generation assets. In addition, a cost of capital proceeding also addresses the automatic ROR adjustment mechanism which applies market-based benchmarks to determine whether an adjustment to the authorized ROR is required during the interim years between cost of capital proceedings.</w:t>
      </w:r>
    </w:p>
    <w:p>
      <w:pPr>
        <w:spacing w:after="0" w:line="20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SDG&amp;E and SoCalGas filed separate applications with the CPUC in April 2012 to update their cost of capital effective January 1, 2013. The CPUC issued a ruling in June 2012 bifurcating the proceeding. Phase 1 addressed each utility’s cost of capital for 2013, with a final decision issued in December 2012, which granted SDG&amp;E and SoCalGas an authorized ROR of 7.79 percent and 8.02 percent, respectively. The CPUC-authorized ROR in effect prior to the effective date of this decision was 8.40 percent for SDG&amp;E and 8.68 percent for SoCalGas. We provide additional details regarding the cost of capital proceeding in Note 14 of the Notes to Consolidated Financial Statements in the Annual Report. Phase 2 addressed the cost of capital adjustment mechanisms for SDG&amp;E, SoCalGas, Southern California Edison (Edison) and Pacific Gas &amp; Electric Company (PG&amp;E).</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SDG&amp;E, SoCalGas, PG&amp;E, Edison and the Division of Ratepayer Advocates (DRA) sponsored a joint stipulation in Phase 2 of the proceeding. In March 2013, the CPUC’s final decision adopted the joint stipulation, as proposed. SDG&amp;E retains its current cost of capital adjustment mechanism, and SoCalGas will implement this same adjustment mechanism, which we describe in Note 14 of the Notes to Consolidated Financial Statements in the Annual Report. Both utilities are forgoing their proposed off-ramp provision.</w:t>
      </w:r>
    </w:p>
    <w:p>
      <w:pPr>
        <w:sectPr>
          <w:pgSz w:w="11900" w:h="16838" w:orient="portrait"/>
          <w:cols w:equalWidth="0" w:num="1">
            <w:col w:w="11420"/>
          </w:cols>
          <w:pgMar w:left="240" w:top="125" w:right="239" w:bottom="0" w:gutter="0" w:footer="0" w:header="0"/>
        </w:sectPr>
      </w:pPr>
    </w:p>
    <w:bookmarkStart w:id="36" w:name="page37"/>
    <w:bookmarkEnd w:id="36"/>
    <w:p>
      <w:pPr>
        <w:spacing w:after="0"/>
        <w:rPr>
          <w:sz w:val="20"/>
          <w:szCs w:val="20"/>
          <w:color w:val="auto"/>
        </w:rPr>
      </w:pPr>
      <w:r>
        <w:rPr>
          <w:rFonts w:ascii="Arial" w:cs="Arial" w:eastAsia="Arial" w:hAnsi="Arial"/>
          <w:sz w:val="20"/>
          <w:szCs w:val="20"/>
          <w:b w:val="1"/>
          <w:bCs w:val="1"/>
          <w:i w:val="1"/>
          <w:iCs w:val="1"/>
          <w:color w:val="auto"/>
        </w:rPr>
        <w:t>Natural Gas Pipeline Operations Safety Assessments</w:t>
      </w:r>
    </w:p>
    <w:p>
      <w:pPr>
        <w:spacing w:after="0" w:line="245"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Various regulatory agencies, including the CPUC, are evaluating natural gas pipeline safety regulations, practices and procedures. In February 2011, the CPUC opened a forward-looking rulemaking proceeding to examine what changes should be made to existing pipeline safety regulations for California natural gas pipelines. The California Utilities are parties to this proceeding.</w:t>
      </w:r>
    </w:p>
    <w:p>
      <w:pPr>
        <w:spacing w:after="0" w:line="20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June 2011, the CPUC directed SoCalGas, SDG&amp;E, PG&amp;E and Southwest Gas to file comprehensive implementation plans to test or replace all natural gas transmission pipelines that have not been pressure tested. The California Utilities filed their Pipeline Safety Enhancement Plan (PSEP) with the CPUC in August 2011. The proposed safety measures, investments and estimated costs are not included in the California Utilities’ 2012 GRC requests discussed above.</w:t>
      </w:r>
    </w:p>
    <w:p>
      <w:pPr>
        <w:spacing w:after="0" w:line="17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December 2011, the assigned Commissioner to the rulemaking proceeding for the pipeline safety regulations ruled that SDG&amp;E’s and SoCalGas’ Triennial Cost Allocation Proceeding (TCAP) would be the most logical proceeding to conduct the reasonableness and ratemaking review of the companies’ PSEP.</w:t>
      </w:r>
    </w:p>
    <w:p>
      <w:pPr>
        <w:spacing w:after="0" w:line="15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January 2012, the CPUC Consumer Protection and Safety Division (CPSD) issued a Technical Report of the California Utilities’ PSEP. The report, along with testimony and evidentiary hearings, will be used to evaluate the PSEP in the regulatory process. Generally, the report found that the PSEP approach to pipeline replacement and pressure testing and other proposed enhancements is reasonable.</w:t>
      </w:r>
    </w:p>
    <w:p>
      <w:pPr>
        <w:spacing w:after="0" w:line="20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February 2012, the assigned Commissioner in the TCAP issued a ruling setting a schedule for the review of the SDG&amp;E and SoCalGas PSEP with evidentiary hearings held in August 2012. SDG&amp;E and SoCalGas expect a final decision in 2013. In April 2012, the CPUC issued an interim decision in the rulemaking proceeding formally transferring the PSEP to the TCAP and authorizing SDG&amp;E and SoCalGas to establish regulatory accounts to record the incremental costs of initiating the PSEP prior to a final decision on the PSEP. The TCAP proceeding will address the recovery of the costs recorded in the regulatory account.</w:t>
      </w:r>
    </w:p>
    <w:p>
      <w:pPr>
        <w:spacing w:after="0" w:line="21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April 2012, the CPUC issued a decision expanding the scope of the rulemaking proceeding to incorporate the provisions of California Senate Bill (SB) 705, which requires gas utilities to develop and implement a plan for the safe and reliable operation of their gas pipeline facilities. SDG&amp;E and SoCalGas submitted their pipeline safety plans in June 2012. The CPUC decision also orders the utilities to undergo independent management and financial audits to assure that the utilities are fully meeting their safety responsibilities. CPSD will select the independent auditors and will oversee the audits. A schedule for the audits has not been established. In December 2012, the CPUC issued a final decision accepting the utility safety plans filed pursuant to SB 705.</w:t>
      </w:r>
    </w:p>
    <w:p>
      <w:pPr>
        <w:spacing w:after="0" w:line="18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provide additional information regarding these rulemaking proceedings and the California Utilities’ PSEP in Note 14 of the Notes to Consolidated Financial Statements in the Annual Report.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Utility Incentive Mechanisms</w:t>
      </w: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CPUC applies performance-based measures and incentive mechanisms to all California investor-owned utilities, under which the California Utilities have earnings potential above authorized base margins if they achieve or exceed specific performance and operating goals.</w:t>
      </w:r>
    </w:p>
    <w:p>
      <w:pPr>
        <w:spacing w:after="0" w:line="1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provide additional information regarding these incentive mechanisms in Note 14 of the Notes to Consolidated Financial Statements in the Annual Report, and below.</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Procurement</w:t>
      </w:r>
    </w:p>
    <w:p>
      <w:pPr>
        <w:spacing w:after="0" w:line="245"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In the first quarter of 2012, the CPUC approved and SoCalGas recorded SoCalGas’ application for its Gas Cost Incentive Mechanism (GCIM) award of $6.2 million for natural gas procured for its core customers during the 12-month period ending March 31, 2011. SoCalGas expects a final decision on its pending application requesting a GCIM award of $5.4 million for the 12-month period ending March 31, 2012 in the second half of 2013.</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SDG&amp;E MATTERS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Onofre Nuclear Generating Station (SONGS)</w:t>
      </w:r>
    </w:p>
    <w:p>
      <w:pPr>
        <w:spacing w:after="0" w:line="245" w:lineRule="exact"/>
        <w:rPr>
          <w:sz w:val="20"/>
          <w:szCs w:val="20"/>
          <w:color w:val="auto"/>
        </w:rPr>
      </w:pPr>
    </w:p>
    <w:p>
      <w:pPr>
        <w:jc w:val="both"/>
        <w:ind w:right="720"/>
        <w:spacing w:after="0" w:line="342" w:lineRule="auto"/>
        <w:rPr>
          <w:sz w:val="20"/>
          <w:szCs w:val="20"/>
          <w:color w:val="auto"/>
        </w:rPr>
      </w:pPr>
      <w:r>
        <w:rPr>
          <w:rFonts w:ascii="Arial" w:cs="Arial" w:eastAsia="Arial" w:hAnsi="Arial"/>
          <w:sz w:val="16"/>
          <w:szCs w:val="16"/>
          <w:color w:val="auto"/>
        </w:rPr>
        <w:t>SDG&amp;E has a 20-percent ownership interest in San Onofre Nuclear Generating Station (SONGS), a 2,150-MW nuclear generating facility near San Clemente, California. SONGS is operated by Edison and is subject to the jurisdiction of the Nuclear Regulatory Commission (NRC) and the CPUC.</w:t>
      </w:r>
    </w:p>
    <w:p>
      <w:pPr>
        <w:spacing w:after="0" w:line="15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2005, the CPUC authorized a project to install four new steam generators in Units 2 and 3 at SONGS and remove and dispose of their predecessor generators. Edison completed the installation of these steam generators in 2010 and 2011 for Units 2 and 3, respectively. In January 2012, a water leak occurred in the Unit 3 steam generator which caused it to be shut down. Edison conducted inspection testing and determined that the water leak was the result of excessive wear from tubes rubbing against each other as well as against retainer bars in the heat transfer tube bundles. Unit 2 was shut down at the time of this event for a planned maintenance and refueling outage. Inspection of Unit 2 steam generators performed in February 2012 found unexpectedly high levels of wear in some heat transfer tubes of the Unit 2 steam generators. As a result of these findings, Edison has plugged and removed from service all tubes showing excessive wear in each of the steam generators. In addition, Edison has preventively plugged all tubes in contact with the retainer bars or in the area of the tube bundles where tube-to-tube contact occurred. As of the filing date of this report, both Units 2 and 3 remain offline.</w:t>
      </w:r>
    </w:p>
    <w:p>
      <w:pPr>
        <w:spacing w:after="0" w:line="19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Restart of one or both of the Units will need to be approved by the NRC. In March 2012, the NRC issued a Confirmatory Action Letter (CAL) that required NRC permission to restart Unit 2 and Unit 3 and outlined actions that Edison must complete before permission to restart either Unit may be sought. The NRC could also impose additional inspections and assessment processes that could result in significant costs or additional delay. In October 2012, Edison submitted to the NRC a response to the CAL along with a restart plan for Unit 2, proposing to operate the Unit at a reduced power level for five months and then shut it down for further inspection. The plan submitted to the NRC does not address Unit 3. The NRC has been engaged in a series of inspections, evaluations, reviews and public meetings about the causes of the outage and to verify that Edison has performed the actions described in the CAL response. The NRC has</w:t>
      </w:r>
    </w:p>
    <w:p>
      <w:pPr>
        <w:sectPr>
          <w:pgSz w:w="11900" w:h="16838" w:orient="portrait"/>
          <w:cols w:equalWidth="0" w:num="1">
            <w:col w:w="11400"/>
          </w:cols>
          <w:pgMar w:left="240" w:top="609" w:right="259" w:bottom="0" w:gutter="0" w:footer="0" w:header="0"/>
        </w:sectPr>
      </w:pPr>
    </w:p>
    <w:bookmarkStart w:id="37" w:name="page38"/>
    <w:bookmarkEnd w:id="37"/>
    <w:p>
      <w:pPr>
        <w:ind w:right="160"/>
        <w:spacing w:after="0" w:line="264" w:lineRule="auto"/>
        <w:rPr>
          <w:sz w:val="20"/>
          <w:szCs w:val="20"/>
          <w:color w:val="auto"/>
        </w:rPr>
      </w:pPr>
      <w:r>
        <w:rPr>
          <w:rFonts w:ascii="Arial" w:cs="Arial" w:eastAsia="Arial" w:hAnsi="Arial"/>
          <w:sz w:val="18"/>
          <w:szCs w:val="18"/>
          <w:color w:val="auto"/>
        </w:rPr>
        <w:t>made numerous requests for additional information to determine whether to allow SONGS to operate at less than 100 percent thermal power or have Edison submit further operational assessments demonstrating the structural integrity of the steam generator tubes at 100 percent thermal power. The CAL is also currently the subject of a hearing request before the NRC.</w:t>
      </w:r>
    </w:p>
    <w:p>
      <w:pPr>
        <w:spacing w:after="0" w:line="20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Although Edison has advised the NRC that it does not believe a license amendment would be required, in March 2013 Edison voluntarily submitted an additional operational assessment addressing the issue of structural integrity at 100 percent thermal power, and in April 2013, Edison submitted a license amendment request (LAR) for Unit 2. The LAR is intended to modify the license to reflect the reduced maximum power level, as a temporary change for approximately two years, after which new amendments for long-term power operations would be required. The NRC published the LAR in the Federal Register on April 16, 2013. In the Federal Register notice, the NRC explained that it has made a proposed determination that the LAR involves no significant hazards consideration (NSHC). Third parties have 30 days after the date of publication of the notice to submit comments on the proposed NSHC determination and 60 days to file requests for a hearing or petitions to intervene. If the NRC makes a NSHC determination, then a license amendment can be issued without further proceeding. If the NRC does not make such a NSHC determination, then the LAR could become subject to an extensive public hearing process prior to its issuance of a license amendment. Even if the NRC does make a final NSHC determination and issues the license amendment, any such determination could be subject to a motion for stay of issuance of the license amendment before the NRC or the applicable United States Court of Appeals.</w:t>
      </w:r>
    </w:p>
    <w:p>
      <w:pPr>
        <w:spacing w:after="0" w:line="196"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In summary, two separate processes are underway at the NRC that will affect whether Edison will be in a position to restart Unit 2 in a timely manner. The NRC must approve a restart under the CAL and must issue the requested license amendment before Unit 2 restart can proceed. Both of these processes are subject to potentially extended hearings prior to the NRC taking the requested action. In addition, the NRC is not obligated to act on either request within a specified period of time and may decline to approve a restart of Unit 2 under the CAL, issue the requested license amendment, or both.</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Accordingly, there can be no assurance about the length of time the NRC may take to review the request to restart Unit 2 and other submissions, including the operational assessment and the LAR, or whether the request to restart will be granted in whole or in part. However, in connection with making the LAR, Edison has requested the NRC Staff to reach conclusions about the restart of Unit 2 by June 1, if possible. Based on discussions with Edison, neither SDG&amp;E nor Edison expect such decision by the requested date.</w:t>
      </w:r>
    </w:p>
    <w:p>
      <w:pPr>
        <w:spacing w:after="0" w:line="21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Also, due to the more extensive tube-to-tube wear that occurred in Unit 3, it remains unclear whether Unit 3 will be able to restart without additional repairs and corrective actions. The ability to restart Unit 3 may also be affected by the information obtained about the operating performance of Unit 2, should Unit 2 be restarted. Each Unit will only be restarted when all necessary repairs and appropriate mitigation plans for that Unit are completed in accordance with the CAL and when the NRC and Edison are satisfied that it is safe to restart and operate such Unit.</w:t>
      </w:r>
    </w:p>
    <w:p>
      <w:pPr>
        <w:spacing w:after="0" w:line="19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If Edison is unable to restart Unit 2, a retirement of Unit 2 could also result in the retirement of Unit 3. If Unit 2 does restart, then an assessment of the feasibility of restarting Unit 3 without extensive repairs will be conducted. Without a restart of Unit 2, a decision to retire one or both Units could be made before year-end 2013. Through March 31, 2013, SDG&amp;E’s proportional investment in the steam generators, net of accumulated depreciation, was approximately $149 million. In March 2013, Edison filed the final costs for the steam generator project with the CPUC. The total project costs, after adjusting for inflation using the Handy-Whitman Index, was within the amount authorized in the CPUC decision approving the project.</w:t>
      </w:r>
    </w:p>
    <w:p>
      <w:pPr>
        <w:spacing w:after="0" w:line="20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October 2012, the CPUC issued an Order Instituting Investigation (OII) into the SONGS outage pursuant to California Public Utilities Code Section 455.5 to determine whether Edison and SDG&amp;E should remove from customer rates some or the entire revenue requirement associated with the portion of the facility that is out of service. This OII will consolidate all SONGS issues from related regulatory proceedings and consider the appropriate cost recovery for SONGS, including among other costs, the cost of the steam generator replacement project, replacement power costs, capital expenditures, operation and maintenance costs and seismic study costs. The OII requires that all costs related to SONGS incurred since January 1, 2012 be tracked in a separate memorandum account, with all revenues collected in recovery of such costs subject to refund, and will address the extent to which such revenues, if any, will be required to be refunded to customers.</w:t>
      </w:r>
    </w:p>
    <w:p>
      <w:pPr>
        <w:spacing w:after="0" w:line="2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the unscheduled outage at SONGS, SDG&amp;E has procured replacement power, the cost of which is fully recovered in revenues subject to review and potential disallowance by the CPUC. The estimated replacement power cost requirements specified in the OII proceeding, including estimated foregone energy sales from excess SONGS production, produce a replacement power cost estimate, in excess of avoided nuclear fuel costs, that is incurred by SDG&amp;E through March 31, 2013, as a result of the unscheduled SONGS outage (commencing in 2012 on January 31 for Unit 3 and March 5 for Unit 2) of approximately $107 million, of which $35 million was incurred in the first quarter of 2013. Total replacement power costs will not be known until the Units are returned to service and are fully operational.</w:t>
      </w:r>
    </w:p>
    <w:p>
      <w:pPr>
        <w:spacing w:after="0" w:line="22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Currently, SDG&amp;E is collecting in customer rates its share of the operating costs, depreciation and return on its investment in SONGS. In 2012, SDG&amp;E recognized approximately $199 million of revenue associated with its investment in SONGS and related operating costs. For the quarter ended March 31, 2013, SDG&amp;E recognized an estimated $39 million of such revenue. Following is a summary of SDG&amp;E’s March 31, 2013 net book investment, excluding any decommissioning-related assets and liabilities, and its rate base investment in SONGS: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SDG&amp;E NET BOOK INVESTMENT AND RATE BASE INVESTMENT IN SONGS(1)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Unit 2</w:t>
            </w:r>
          </w:p>
        </w:tc>
        <w:tc>
          <w:tcPr>
            <w:tcW w:w="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Unit 3</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Common Plant</w:t>
            </w:r>
          </w:p>
        </w:tc>
        <w:tc>
          <w:tcPr>
            <w:tcW w:w="4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Total</w:t>
            </w:r>
          </w:p>
        </w:tc>
      </w:tr>
      <w:tr>
        <w:trPr>
          <w:trHeight w:val="224"/>
        </w:trPr>
        <w:tc>
          <w:tcPr>
            <w:tcW w:w="5040" w:type="dxa"/>
            <w:vAlign w:val="bottom"/>
          </w:tcPr>
          <w:p>
            <w:pPr>
              <w:spacing w:after="0"/>
              <w:rPr>
                <w:sz w:val="20"/>
                <w:szCs w:val="20"/>
                <w:color w:val="auto"/>
              </w:rPr>
            </w:pPr>
            <w:r>
              <w:rPr>
                <w:rFonts w:ascii="Arial" w:cs="Arial" w:eastAsia="Arial" w:hAnsi="Arial"/>
                <w:sz w:val="16"/>
                <w:szCs w:val="16"/>
                <w:color w:val="auto"/>
              </w:rPr>
              <w:t>Net book investment:</w:t>
            </w: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6"/>
        </w:trPr>
        <w:tc>
          <w:tcPr>
            <w:tcW w:w="5040" w:type="dxa"/>
            <w:vAlign w:val="bottom"/>
          </w:tcPr>
          <w:p>
            <w:pPr>
              <w:ind w:left="240"/>
              <w:spacing w:after="0"/>
              <w:rPr>
                <w:sz w:val="20"/>
                <w:szCs w:val="20"/>
                <w:color w:val="auto"/>
              </w:rPr>
            </w:pPr>
            <w:r>
              <w:rPr>
                <w:rFonts w:ascii="Arial" w:cs="Arial" w:eastAsia="Arial" w:hAnsi="Arial"/>
                <w:sz w:val="16"/>
                <w:szCs w:val="16"/>
                <w:color w:val="auto"/>
              </w:rPr>
              <w:t>Net property, plant and equipment, including</w:t>
            </w: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040" w:type="dxa"/>
            <w:vAlign w:val="bottom"/>
          </w:tcPr>
          <w:p>
            <w:pPr>
              <w:ind w:left="480"/>
              <w:spacing w:after="0"/>
              <w:rPr>
                <w:sz w:val="20"/>
                <w:szCs w:val="20"/>
                <w:color w:val="auto"/>
              </w:rPr>
            </w:pPr>
            <w:r>
              <w:rPr>
                <w:rFonts w:ascii="Arial" w:cs="Arial" w:eastAsia="Arial" w:hAnsi="Arial"/>
                <w:sz w:val="16"/>
                <w:szCs w:val="16"/>
                <w:color w:val="auto"/>
              </w:rPr>
              <w:t>construction work in progress</w:t>
            </w:r>
          </w:p>
        </w:tc>
        <w:tc>
          <w:tcPr>
            <w:tcW w:w="1240" w:type="dxa"/>
            <w:vAlign w:val="bottom"/>
          </w:tcPr>
          <w:p>
            <w:pPr>
              <w:jc w:val="right"/>
              <w:ind w:right="701"/>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w w:val="97"/>
              </w:rPr>
              <w:t>151</w:t>
            </w:r>
          </w:p>
        </w:tc>
        <w:tc>
          <w:tcPr>
            <w:tcW w:w="4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115</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127</w:t>
            </w:r>
          </w:p>
        </w:tc>
        <w:tc>
          <w:tcPr>
            <w:tcW w:w="4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393</w:t>
            </w:r>
          </w:p>
        </w:tc>
      </w:tr>
      <w:tr>
        <w:trPr>
          <w:trHeight w:val="216"/>
        </w:trPr>
        <w:tc>
          <w:tcPr>
            <w:tcW w:w="5040" w:type="dxa"/>
            <w:vAlign w:val="bottom"/>
          </w:tcPr>
          <w:p>
            <w:pPr>
              <w:ind w:left="240"/>
              <w:spacing w:after="0"/>
              <w:rPr>
                <w:sz w:val="20"/>
                <w:szCs w:val="20"/>
                <w:color w:val="auto"/>
              </w:rPr>
            </w:pPr>
            <w:r>
              <w:rPr>
                <w:rFonts w:ascii="Arial" w:cs="Arial" w:eastAsia="Arial" w:hAnsi="Arial"/>
                <w:sz w:val="16"/>
                <w:szCs w:val="16"/>
                <w:color w:val="auto"/>
              </w:rPr>
              <w:t>Materials and supplies</w:t>
            </w:r>
          </w:p>
        </w:tc>
        <w:tc>
          <w:tcPr>
            <w:tcW w:w="1240" w:type="dxa"/>
            <w:vAlign w:val="bottom"/>
          </w:tcPr>
          <w:p>
            <w:pPr>
              <w:spacing w:after="0"/>
              <w:rPr>
                <w:sz w:val="18"/>
                <w:szCs w:val="18"/>
                <w:color w:val="auto"/>
              </w:rPr>
            </w:pP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10</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5040" w:type="dxa"/>
            <w:vAlign w:val="bottom"/>
          </w:tcPr>
          <w:p>
            <w:pPr>
              <w:ind w:left="240"/>
              <w:spacing w:after="0"/>
              <w:rPr>
                <w:sz w:val="20"/>
                <w:szCs w:val="20"/>
                <w:color w:val="auto"/>
              </w:rPr>
            </w:pPr>
            <w:r>
              <w:rPr>
                <w:rFonts w:ascii="Arial" w:cs="Arial" w:eastAsia="Arial" w:hAnsi="Arial"/>
                <w:sz w:val="16"/>
                <w:szCs w:val="16"/>
                <w:color w:val="auto"/>
              </w:rPr>
              <w:t>Nuclear fuel</w:t>
            </w:r>
          </w:p>
        </w:tc>
        <w:tc>
          <w:tcPr>
            <w:tcW w:w="1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116</w:t>
            </w: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r>
      <w:tr>
        <w:trPr>
          <w:trHeight w:val="216"/>
        </w:trPr>
        <w:tc>
          <w:tcPr>
            <w:tcW w:w="50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Net book investment</w:t>
            </w:r>
          </w:p>
        </w:tc>
        <w:tc>
          <w:tcPr>
            <w:tcW w:w="1240" w:type="dxa"/>
            <w:vAlign w:val="bottom"/>
            <w:tcBorders>
              <w:bottom w:val="single" w:sz="8" w:color="auto"/>
            </w:tcBorders>
          </w:tcPr>
          <w:p>
            <w:pPr>
              <w:jc w:val="right"/>
              <w:ind w:right="70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7"/>
              </w:rPr>
              <w:t>151</w:t>
            </w: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115</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253</w:t>
            </w:r>
          </w:p>
        </w:tc>
        <w:tc>
          <w:tcPr>
            <w:tcW w:w="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w:t>
            </w:r>
          </w:p>
        </w:tc>
      </w:tr>
      <w:tr>
        <w:trPr>
          <w:trHeight w:val="21"/>
        </w:trPr>
        <w:tc>
          <w:tcPr>
            <w:tcW w:w="50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99"/>
        </w:trPr>
        <w:tc>
          <w:tcPr>
            <w:tcW w:w="5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Rate base investment</w:t>
            </w:r>
          </w:p>
        </w:tc>
        <w:tc>
          <w:tcPr>
            <w:tcW w:w="1240" w:type="dxa"/>
            <w:vAlign w:val="bottom"/>
            <w:tcBorders>
              <w:bottom w:val="single" w:sz="8" w:color="auto"/>
            </w:tcBorders>
          </w:tcPr>
          <w:p>
            <w:pPr>
              <w:jc w:val="right"/>
              <w:ind w:right="70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99</w:t>
            </w: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94</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78</w:t>
            </w:r>
          </w:p>
        </w:tc>
        <w:tc>
          <w:tcPr>
            <w:tcW w:w="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r>
      <w:tr>
        <w:trPr>
          <w:trHeight w:val="21"/>
        </w:trPr>
        <w:tc>
          <w:tcPr>
            <w:tcW w:w="50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ind w:left="480" w:hanging="324"/>
        <w:spacing w:after="0"/>
        <w:tabs>
          <w:tab w:leader="none" w:pos="480"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Excludes nuclear decommissioning-related assets and liabilities.</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7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Under Section 455.5, any determination to adjust rates would be made after the CPUC conducts hearings. If, after investigation and hearings, the CPUC were to require SDG&amp;E to reduce rates as a result of a Unit being out of service and the Unit is subsequently returned to service, rates may be readjusted to reflect</w:t>
      </w:r>
    </w:p>
    <w:p>
      <w:pPr>
        <w:sectPr>
          <w:pgSz w:w="11900" w:h="16838" w:orient="portrait"/>
          <w:cols w:equalWidth="0" w:num="1">
            <w:col w:w="11420"/>
          </w:cols>
          <w:pgMar w:left="240" w:top="125" w:right="239" w:bottom="0" w:gutter="0" w:footer="0" w:header="0"/>
          <w:type w:val="continuous"/>
        </w:sectPr>
      </w:pPr>
    </w:p>
    <w:bookmarkStart w:id="38" w:name="page39"/>
    <w:bookmarkEnd w:id="38"/>
    <w:p>
      <w:pPr>
        <w:ind w:right="140"/>
        <w:spacing w:after="0" w:line="277" w:lineRule="auto"/>
        <w:rPr>
          <w:sz w:val="20"/>
          <w:szCs w:val="20"/>
          <w:color w:val="auto"/>
        </w:rPr>
      </w:pPr>
      <w:r>
        <w:rPr>
          <w:rFonts w:ascii="Arial" w:cs="Arial" w:eastAsia="Arial" w:hAnsi="Arial"/>
          <w:sz w:val="18"/>
          <w:szCs w:val="18"/>
          <w:color w:val="auto"/>
        </w:rPr>
        <w:t>that return to service after 100 continuous hours of operation. Notwithstanding the requirements of Section 455.5, the CPUC may institute other proceedings relating to the impact of the extended outage at SONGS and its potential effects on rates.</w:t>
      </w:r>
    </w:p>
    <w:p>
      <w:pPr>
        <w:spacing w:after="0" w:line="19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 ruling was issued in January 2013 setting the initial scope and schedule for the OII, which will be managed in phases. The first phase will identify the costs at issue, including the excess replacement power costs, for 2012, with a decision expected by mid-2013. Phase 2 will address the issue of costs remaining in rates, with a decision expected by the end of 2013. Phase 3 will review the steam generator replacement project costs for reasonableness, with a decision expected by the end of 2014. Costs at issue for 2013 would be addressed in a fourth phase of the OII, but a schedule for this phase has not been established.</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SDG&amp;E continues to provide information to the CPUC in response to inquiries stemming from the OII, and it is SDG&amp;E’s intent to continue to pursue continued recovery in rates of its investment in SONGS (including the cost of the steam generator replacement project), it’s authorized return on its investment in SONGS and recovery of all costs incurred related to its proportionate share of the SONGS operating and maintenance costs and the cost incurred for replacement power in excess of avoided nuclear fuel costs. As of March 31, 2013, it is SDG&amp;E’s opinion that there is insufficient information available to conclude that it is probable that the CPUC will require SDG&amp;E to refund any of the SONGS revenue that is subject to review in the OII to customers. Should SDG&amp;E conclude that it is probable that a portion or all of such revenue will be required to be refunded to customers, SDG&amp;E will record a charge against earnings at the time such conclusion is reached.</w:t>
      </w:r>
    </w:p>
    <w:p>
      <w:pPr>
        <w:spacing w:after="0" w:line="216"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steam generators were designed and supplied by Mitsubishi Heavy Industries (MHI) and are warranted for an initial period of 20 years from acceptance. MHI is contractually obligated to repair or replace defective items and to pay specified damages for certain repairs. In July 2012, the NRC issued a report providing the result of the inspection performed by the Augmented Inspection Team (AIT) of Edison’s performance as the SONGS Operating Agent. The inspection concluded that faulty computer modeling that inadequately predicted conditions in the steam generators at SONGS and manufacturing issues contributed to excessive wear of the components. The most probable causes of the tube-to-tube wear were a combination of higher than predicted thermal/hydraulic conditions and changes in the manufacturing of the Unit 3 steam generators. This report also identified a number of yet unresolved issues that are continuing to be examined. Edison’s purchase contract with MHI states that MHI’s liability under the purchase agreement is limited to $138 million and excludes consequential damages, defined to include the cost of replacement power. Such limitations in the contract are subject to certain exceptions. Edison, on behalf of all owners, has formally notified MHI that it believes that one or more of such exceptions now apply and that MHI’s liability is not limited to $138 million. MHI has advised Edison that it disagrees with Edison’s position. This disagreement may ultimately become the subject of dispute resolution procedures as set forth in the contract with MHI, including international arbitration. Edison has submitted invoices on behalf of all owners to MHI in the aggregate amount of $139 million for certain steam generator repair costs incurred through February 28, 2013, of which MHI has paid $45 million but reserved the right to challenge any of the charges in the invoice. In January 2013, MHI advised Edison that it rejected a portion of the first invoice and required further documentation regarding the remainder of the invoice. Edison expects to continue to invoice MHI for any additional costs incurred.</w:t>
      </w:r>
    </w:p>
    <w:p>
      <w:pPr>
        <w:spacing w:after="0" w:line="19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SDG&amp;E is a named insured on the Edison insurance policies covering SONGS. These policies, issued by Nuclear Electric Insurance Limited (NEIL), cover nuclear property and non-nuclear property damage at the SONGS facility, as well as accidental outage insurance. Edison has placed NEIL on notice of potential claims for loss recovery. As of the date of this report, Edison submitted to NEIL a separate Partial Proof of Loss on behalf of each of Edison, SDG&amp;E and the City of Riverside in connection with the outages of SONGS Units 2 and 3 through December 29, 2012, that total $234 million. The NEIL policies contain a number of exclusions and limitations that may reduce or eliminate coverage. SDG&amp;E will assist Edison in pursuing claims recoveries from NEIL, as well as warranty claims with MHI, but there is no assurance that SDG&amp;E will recover all or any of its applicable costs pursuant to these arrangements. We provide additional information about insurance related to SONGS in Note 10.</w:t>
      </w:r>
    </w:p>
    <w:p>
      <w:pPr>
        <w:spacing w:after="0" w:line="20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Edison is also addressing a number of other regulatory and performance issues at SONGS. Edison continues to implement plans and address the identified issues, however a number of these issues remain outstanding. To the extent that these issues persist, it is likely that additional action will be required by Edison, which may result in increased SONGS operating costs and/or materially adversely impacted operations. Currently, SDG&amp;E is allowed to fully offset its share of SONGS operating costs in revenue. If further action is required, it may result in an increase in SDG&amp;E’s Operation and Maintenance expense, with any increase being fully offset in Operating Revenues – Electric.</w:t>
      </w:r>
    </w:p>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light of the aftermath and the significant safety events at the Fukushima Daiichi nuclear plant in Japan resulting from the earthquake and tsunami in March 2011, the NRC plans to perform additional operation and safety reviews of nuclear facilities in the United States. The NRC has also required additional actions by licensees to address severe accident risk and has requested additional analysis on external hazards such as seismic and tsunami. The lessons learned from the events in Japan and the results of the NRC reviews may materially impact future operations and capital requirements at nuclear facilities in the United States, including the operations and capital requirements at SONGS.</w:t>
      </w:r>
    </w:p>
    <w:p>
      <w:pPr>
        <w:spacing w:after="0" w:line="21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provide more information about SONGS in Note 10 following and in Notes 6, 14 and 15 of the Notes to Consolidated Financial Statements in the Annual Report.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Power Procurement and Resource Planning</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Cleveland National Forest Transmission Projects</w:t>
      </w:r>
    </w:p>
    <w:p>
      <w:pPr>
        <w:spacing w:after="0" w:line="24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SDG&amp;E filed an application with the CPUC in October 2012 for a permit to construct various transmission replacement projects in and around the Cleveland National Forest. The proposed projects will replace and fire-harden five transmission lines at an estimated cost of $420 million. The projects are subject to review by the U.S. Forest Service (USFS). A joint environmental report will be developed by the CPUC and USFS. SDG&amp;E expects a CPUC decision approving the transmission projects in 2014. We expect the projects to be in service by 2017.</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South Orange County Reliability Enhancement</w:t>
      </w:r>
    </w:p>
    <w:p>
      <w:pPr>
        <w:spacing w:after="0" w:line="24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SDG&amp;E filed an application with the CPUC in May 2012 for a Certificate of Public Convenience and Necessity to construct the South Orange County Reliability Enhancement project. The purpose of the project is to enhance the capacity and reliability of SDG&amp;E’s electric service to the south Orange County area. The proposed project primarily includes replacing and upgrading approximately eight miles of transmission lines and rebuilding and upgrading a substation at an existing site. SDG&amp;E expects a final CPUC decision approving the estimated $473 million project in 2014. SDG&amp;E obtained approval for the project from the ISO in May 2011. The project is planned to be in service by the second half of 2017.</w:t>
      </w:r>
    </w:p>
    <w:p>
      <w:pPr>
        <w:sectPr>
          <w:pgSz w:w="11900" w:h="16838" w:orient="portrait"/>
          <w:cols w:equalWidth="0" w:num="1">
            <w:col w:w="11420"/>
          </w:cols>
          <w:pgMar w:left="240" w:top="125" w:right="239" w:bottom="128" w:gutter="0" w:footer="0" w:header="0"/>
        </w:sectPr>
      </w:pPr>
    </w:p>
    <w:bookmarkStart w:id="39" w:name="page40"/>
    <w:bookmarkEnd w:id="39"/>
    <w:p>
      <w:pPr>
        <w:spacing w:after="0"/>
        <w:rPr>
          <w:sz w:val="20"/>
          <w:szCs w:val="20"/>
          <w:color w:val="auto"/>
        </w:rPr>
      </w:pPr>
      <w:r>
        <w:rPr>
          <w:rFonts w:ascii="Arial" w:cs="Arial" w:eastAsia="Arial" w:hAnsi="Arial"/>
          <w:sz w:val="20"/>
          <w:szCs w:val="20"/>
          <w:b w:val="1"/>
          <w:bCs w:val="1"/>
          <w:i w:val="1"/>
          <w:iCs w:val="1"/>
          <w:color w:val="auto"/>
        </w:rPr>
        <w:t>Incremental Insurance Premium Cost Recovery</w:t>
      </w:r>
    </w:p>
    <w:p>
      <w:pPr>
        <w:spacing w:after="0" w:line="24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Since December 2010, the CPUC has approved SDG&amp;E’s requests to recover in rates the incremental increase in its general liability and wildfire liability insurance premium costs starting with the July 2009/June 2010 policy period and for each subsequent policy period through December 31, 2011, which SDG&amp;E began incurring commencing July 1, 2009.</w:t>
      </w:r>
    </w:p>
    <w:p>
      <w:pPr>
        <w:spacing w:after="0" w:line="20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the CPUC’s December 2010 decision, discussed above and in Note 14 of the Notes to Consolidated Financial Statements in the Annual Report, the CPUC directed SDG&amp;E to include in its 2012 GRC application the amount of the incremental wildfire insurance premiums it would be seeking recovery for in rates subsequent to December 31, 2011. SDG&amp;E’s 2012 GRC application does request $67 million of revenue requirement for cost recovery of wildfire insurance premiums in 2012. As a decision on SDG&amp;E’s 2012 GRC application is pending with the CPUC, and based on the CPUC’s rulings for the recovery of the cost of the incremental wildfire insurance premiums incurred since July 2009, SDG&amp;E’s first quarter 2012 and 2013 revenue reflects the recovery of the cost of the incremental wildfire insurance premiums at a level consistent with what was approved for recovery for the policy period starting July 2011.</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Excess Wildfire Claims Cost Recovery</w:t>
      </w:r>
    </w:p>
    <w:p>
      <w:pPr>
        <w:spacing w:after="0" w:line="24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SDG&amp;E and SoCalGas filed an application, along with other related filings, with the CPUC in August 2009 proposing a new framework and mechanism for the future recovery of all wildfire-related expenses for claims, litigation expenses and insurance premiums that are in excess of amounts authorized by the CPUC for recovery in distribution rates. In December 2012, the CPUC issued a final decision that ultimately did not approve the proposed framework for the utilities but allowed SDG&amp;E to maintain its authorized memorandum account, so that SDG&amp;E may file applications with the CPUC requesting recovery of amounts properly recorded in the memorandum account at a later time, subject to reasonableness review.</w:t>
      </w:r>
    </w:p>
    <w:p>
      <w:pPr>
        <w:spacing w:after="0" w:line="20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SDG&amp;E intends to pursue recovery of such costs in a future application. SDG&amp;E will continue to assess the potential for recovery of these costs in rates. Should SDG&amp;E conclude that recovery in rates is no longer probable, SDG&amp;E will record a charge against earnings at the time such conclusion is reached. If SDG&amp;E had concluded that the recovery of regulatory assets related to CPUC-regulated operations was no longer probable or was less than currently estimated as of March 31, 2013, the resulting after-tax charge against earnings would have been up to $190 million. In addition, in periods following any such conclusion, SDG&amp;E’s earnings will be adversely impacted by increases in the estimated cost to litigate or settle pending wildfire claims. We discuss how we assess the probability of recovery of our regulatory assets in Note 1 of the Notes to Consolidated Financial Statements in the Annual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about 2007 wildfire litigation costs and their recovery in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637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color w:val="auto"/>
        </w:rPr>
        <w:t>NOTE 10.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4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accrue losses for legal proceedings when it is probable that a loss has been incurred and the amounts of the loss can be reasonably estimated. However, the uncertainties inherent in legal proceedings make it difficult to estimate with reasonable certainty the costs and effects of resolving these matters. Accordingly, actual costs incurred may differ materially from amounts accrued, may exceed applicable insurance coverage and could materially adversely affect our business, cash flows, results of operations, financial condition and prospects. Unless otherwise indicated, we are unable to estimate reasonably possible losses in excess of any amounts accrued.</w:t>
      </w:r>
    </w:p>
    <w:p>
      <w:pPr>
        <w:spacing w:after="0" w:line="215"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At March 31, 2013, Sempra Energy’s accrued liabilities for material legal proceedings, on a consolidated basis, were $283 million. At March 31, 2013, accrued liabilities for material legal proceedings for SDG&amp;E and SoCalGas were $267 million and $5 million, respectively. At March 31, 2013, accrued liabilities of $266 million at Sempra Energy and SDG&amp;E were related to wildfire litigation discussed below.</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2007 Wildfire Litigation</w:t>
      </w:r>
    </w:p>
    <w:p>
      <w:pPr>
        <w:spacing w:after="0" w:line="24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October 2007, San Diego County experienced several catastrophic wildfires. Reports issued by the California Department of Forestry and Fire Protection (Cal Fire) concluded that two of these fires (the Witch and Rice fires) were SDG&amp;E “power line caused” and that a third fire (the Guejito fire) occurred when a wire securing a Cox Communications’ (Cox) fiber optic cable came into contact with an SDG&amp;E power line “causing an arc and starting the fire.” Cal Fire reported that the Rice fire burned approximately 9,500 acres and damaged 206 homes and two commercial properties, and the Witch and Guejito fires merged and eventually burned approximately 198,000 acres, resulting in two fatalities, approximately 40 firefighters injured and an estimated 1,141 homes destroyed.</w:t>
      </w:r>
    </w:p>
    <w:p>
      <w:pPr>
        <w:spacing w:after="0" w:line="18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 September 2008 staff report issued by the CPUC’s CPSD reached substantially the same conclusions as the Cal Fire reports, but also contended that the power lines involved in the Witch and Rice fires and the lashing wire involved in the Guejito fire were not properly designed, constructed and maintained. In April 2010, proceedings initiated by the CPUC to determine if any of its rules were violated were settled with SDG&amp;E’s payment of $14.75 million.</w:t>
      </w:r>
    </w:p>
    <w:p>
      <w:pPr>
        <w:spacing w:after="0" w:line="17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Numerous parties have sued SDG&amp;E and Sempra Energy in San Diego County Superior Court seeking recovery of unspecified amounts of damages, including punitive damages, from the three fires. These include owners and insurers of properties that were destroyed or damaged in the fires and government entities seeking recovery of firefighting, emergency response, and environmental costs. They assert various bases for recovery, including inverse condemnation based upon a California Court of Appeal decision finding that another California investor-owned utility was subject to strict liability, without regard to foreseeability or negligence, for property damages resulting from a wildfire ignited by power lines.</w:t>
      </w:r>
    </w:p>
    <w:p>
      <w:pPr>
        <w:sectPr>
          <w:pgSz w:w="11900" w:h="16838" w:orient="portrait"/>
          <w:cols w:equalWidth="0" w:num="1">
            <w:col w:w="11400"/>
          </w:cols>
          <w:pgMar w:left="240" w:top="122" w:right="259" w:bottom="0" w:gutter="0" w:footer="0" w:header="0"/>
        </w:sectPr>
      </w:pPr>
    </w:p>
    <w:bookmarkStart w:id="40" w:name="page41"/>
    <w:bookmarkEnd w:id="40"/>
    <w:p>
      <w:pPr>
        <w:jc w:val="both"/>
        <w:ind w:right="120"/>
        <w:spacing w:after="0" w:line="264" w:lineRule="auto"/>
        <w:rPr>
          <w:sz w:val="20"/>
          <w:szCs w:val="20"/>
          <w:color w:val="auto"/>
        </w:rPr>
      </w:pPr>
      <w:r>
        <w:rPr>
          <w:rFonts w:ascii="Arial" w:cs="Arial" w:eastAsia="Arial" w:hAnsi="Arial"/>
          <w:sz w:val="18"/>
          <w:szCs w:val="18"/>
          <w:color w:val="auto"/>
        </w:rPr>
        <w:t>In October 2010, the Court of Appeal affirmed the trial court’s ruling that these claims must be pursued in individual lawsuits, rather than as class actions on behalf of all persons who incurred wildfire damages. In February 2011, the California Supreme Court denied a petition for review of the affirmance. No trial date is currently scheduled.</w:t>
      </w:r>
    </w:p>
    <w:p>
      <w:pPr>
        <w:spacing w:after="0" w:line="20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SDG&amp;E filed cross-complaints against Cox seeking indemnification for any liability that SDG&amp;E might incur in connection with the Guejito fire, two SDG&amp;E contractors seeking indemnification in connection with the Witch fire, and one SDG&amp;E contractor seeking indemnification in connection with the Rice fire. SDG&amp;E settled its claims against Cox and the three contractors for a total of approximately $824 million. Among other things, the settlement agreements provide that SDG&amp;E will defend and indemnify Cox and the three contractors against all compensatory damage claims and related costs arising out of the wildfires.</w:t>
      </w:r>
    </w:p>
    <w:p>
      <w:pPr>
        <w:spacing w:after="0" w:line="215"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SDG&amp;E has settled all of the approximately 19,000 claims brought by homeowner insurers for damage to insured property relating to the three fires. Under the settlement agreements, SDG&amp;E has paid or will pay 57.5 percent of the approximately $1.6 billion paid or reserved for payment by the insurers to their policyholders and received an assignment of the insurers’ claims against other parties potentially responsible for the fires.</w:t>
      </w:r>
    </w:p>
    <w:p>
      <w:pPr>
        <w:spacing w:after="0" w:line="19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wildfire litigation also includes claims of non-insurer plaintiffs for damage to uninsured and underinsured structures, business interruption, evacuation expenses, agricultural damage, emotional harm, personal injuries and other losses. SDG&amp;E has settled the claims of approximately 5,250 of these plaintiffs, including all of the government entities. Approximately 1,100 of the approximately 1,250 remaining individual and business plaintiffs have submitted settlement demands and damage estimates totaling approximately $1 billion. SDG&amp;E does not expect a significant number of additional plaintiffs to file lawsuits given the applicable statutes of limitation, but does expect to receive additional settlement demands and damage estimates from existing plaintiffs as settlement negotiations continue. SDG&amp;E has established reserves for the wildfire litigation as we discuss below.</w:t>
      </w:r>
    </w:p>
    <w:p>
      <w:pPr>
        <w:spacing w:after="0" w:line="20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SDG&amp;E’s settled claims and defense costs have exceeded its $1.1 billion of liability insurance coverage for the covered period and the $824 million recovered from third parties. It expects that its wildfire reserves and amounts paid to resolve wildfire claims will continue to increase as it obtains additional information.</w:t>
      </w:r>
    </w:p>
    <w:p>
      <w:pPr>
        <w:spacing w:after="0" w:line="20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we discuss in Note 9, SDG&amp;E has concluded that it is probable that it will be permitted to recover in rates a substantial portion of its reasonably incurred costs of resolving wildfire claims in excess of its liability insurance coverage and the amounts recovered from third parties. Accordingly, although such recovery will require future regulatory approval, at March 31, 2013, Sempra Energy and SDG&amp;E have recorded assets of $360 million in Regulatory Assets Arising From Wildfire Litigation Costs on their Condensed Consolidated Balance Sheets, including $321 million related to CPUC-regulated operations, which represents the amount substantially equal to the aggregate amount it has paid or reserved for payment for the resolution of wildfire claims and related costs in excess of its liability insurance coverage and amounts recovered from third parties. SDG&amp;E will increase the regulatory assets if the estimate of amounts to settle remaining claims increases.</w:t>
      </w:r>
    </w:p>
    <w:p>
      <w:pPr>
        <w:spacing w:after="0" w:line="2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SDG&amp;E will continue to assess the probability of recovery of these excess wildfire costs in rates. Should SDG&amp;E conclude that recovery in rates is no longer probable, SDG&amp;E will record a charge against earnings at the time such conclusion is reached. If SDG&amp;E had concluded that the recovery of regulatory assets related to CPUC-regulated operations was no longer probable or was less than currently estimated as of March 31, 2013, the resulting after-tax charge against earnings would have been up to $190 million. In addition, in periods following any such conclusion, SDG&amp;E’s earnings will be adversely impacted by increases in the estimated cost to litigate or settle pending wildfire claims. We provide additional information about excess wildfire claims cost recovery and related CPUC actions in Note 9 and discuss how we assess the probability of recovery of our regulatory assets in Note 1 of the Notes to Consolidated Financial Statements in the Annual Report.</w:t>
      </w:r>
    </w:p>
    <w:p>
      <w:pPr>
        <w:spacing w:after="0" w:line="2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SDG&amp;E’s cash flow may be materially adversely affected due to the timing differences between the resolution of claims and the recoveries in rates, which may extend over a number of years. Also, recovery from customers will require future regulatory actions, and a failure to obtain substantial or full recovery, or any negative assessment of the likelihood of recovery, would likely have a material adverse effect on Sempra Energy’s and SDG&amp;E’s businesses, financial condition, cash flows, results of operations and prospects.</w:t>
      </w:r>
    </w:p>
    <w:p>
      <w:pPr>
        <w:spacing w:after="0" w:line="21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SDG&amp;E will continue to gather information to evaluate and assess the remaining wildfire claims and the likelihood, amount and timing of related recoveries in rates and will make appropriate adjustments to wildfire reserves and the related regulatory assets as additional information becomes available.</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Since 2010, as liabilities for wildfire litigation have become reasonably estimable in the form of settlement demands, damage estimates, and other damage information, SDG&amp;E has recorded related reserves as a liability. The impact of this liability at March 31, 2013 is offset by the recognition of regulatory assets, as discussed above, for reserves in excess of the insurance coverage and recoveries from third parties. The impact of the reserves on SDG&amp;E’s and Sempra Energy’s after-tax earnings was $0.3 million and $1.6 million for the three months ended March 31, 2013 and 2012, respectively. At March 31, 2013, wildfire litigation reserves were $266 million ($221 million current and $45 million long-term). Additionally, through March 31, 2013, SDG&amp;E has expended $190 million (cumulative, excluding amounts covered by insurance and amounts recovered from third parties) to pay for the settlement of wildfire claims and related costs.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Sunrise Powerlink Electric Transmission Line</w:t>
      </w:r>
    </w:p>
    <w:p>
      <w:pPr>
        <w:spacing w:after="0" w:line="24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Sunrise Powerlink is a 117-mile, 500-kilovolt (kV) electric transmission line between the Imperial Valley and the San Diego region that was energized and placed in service in June 2012. The Sunrise Powerlink project was approved by the CPUC in December 2008, the Bureau of Land Management (BLM) in January 2009, and the USFS in July 2010. Numerous administrative appeals and legal challenges have been resolved in favor of the project. Three legal challenges are pending.</w:t>
      </w:r>
    </w:p>
    <w:p>
      <w:pPr>
        <w:spacing w:after="0" w:line="214"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February 2010, project opponents filed a lawsuit in Federal District Court in San Diego alleging that the BLM failed to properly address the environmental impacts of the approved Sunrise Powerlink route and the related potential development of renewable resources in east San Diego County and Imperial County. In July 2012, the U.S. Court of Appeals for the Ninth Circuit affirmed the District Court’s grant of the defendants’ motion for summary judgment.</w:t>
      </w:r>
    </w:p>
    <w:p>
      <w:pPr>
        <w:spacing w:after="0" w:line="17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January 2011, project opponents filed a lawsuit in Federal District Court in San Diego alleging that the federal approvals for construction of the project on USFS land and BLM land violated the National Environmental Policy Act and other federal environmental laws. In June 2012, the U.S. Court of Appeals for the Ninth Circuit affirmed the District Court’s denial of plaintiffs’ motion for a preliminary injunction.</w:t>
      </w:r>
    </w:p>
    <w:p>
      <w:pPr>
        <w:sectPr>
          <w:pgSz w:w="11900" w:h="16838" w:orient="portrait"/>
          <w:cols w:equalWidth="0" w:num="1">
            <w:col w:w="11400"/>
          </w:cols>
          <w:pgMar w:left="240" w:top="125" w:right="259" w:bottom="164" w:gutter="0" w:footer="0" w:header="0"/>
        </w:sectPr>
      </w:pPr>
    </w:p>
    <w:bookmarkStart w:id="41" w:name="page42"/>
    <w:bookmarkEnd w:id="41"/>
    <w:p>
      <w:pPr>
        <w:spacing w:after="0" w:line="264" w:lineRule="auto"/>
        <w:rPr>
          <w:sz w:val="20"/>
          <w:szCs w:val="20"/>
          <w:color w:val="auto"/>
        </w:rPr>
      </w:pPr>
      <w:r>
        <w:rPr>
          <w:rFonts w:ascii="Arial" w:cs="Arial" w:eastAsia="Arial" w:hAnsi="Arial"/>
          <w:sz w:val="18"/>
          <w:szCs w:val="18"/>
          <w:color w:val="auto"/>
        </w:rPr>
        <w:t>In February 2011, opponents of the Sunrise Powerlink filed a lawsuit in Sacramento County Superior Court against the State Water Resources Control Board and SDG&amp;E alleging that the water quality certification issued by the Board under the Federal Clean Water Act violated the California Environmental Quality Act. The Superior Court denied the plaintiffs’ petition in July 2012, and the plaintiffs have appealed.</w:t>
      </w:r>
    </w:p>
    <w:p>
      <w:pPr>
        <w:spacing w:after="0" w:line="20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SDG&amp;E is currently evaluating a claim for additional compensation submitted by one of its contractors on the Sunrise Powerlink project. The contractor was awarded the transmission line overhead and underground construction contract on a fixed-fee basis of $456 million after agreed-upon amendments. The contractor has submitted a request for additional compensation above the fixed-fee portion of the contract, seeking an additional $230 million. At this time, based on the documentation submitted by the contractor and the terms of the fixed-fee agreement, SDG&amp;E has concluded that the contractor has not supported its claim for additional compensation in the amount it has requested.</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September 2011 Power Outage</w:t>
      </w:r>
    </w:p>
    <w:p>
      <w:pPr>
        <w:spacing w:after="0" w:line="24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September 2011, a power outage lasting approximately 12 hours affected millions of people from Mexico to southern Orange County, California. Within several days of the outage, several SDG&amp;E customers filed a class action lawsuit in Federal District Court in San Diego against Arizona Public Service Company, Pinnacle West, and SDG&amp;E alleging that the companies failed to prevent the outage. The lawsuit seeks recovery of unspecified amounts of damages, including punitive damages. In July 2012, the court granted SDG&amp;E’s motion to dismiss the punitive damages request and dismissed Arizona Public Service Company and Pinnacle West from the lawsuit. In addition, more than 7,000 customers’ claims, primarily related to food spoilage, have been submitted directly to SDG&amp;E. The Federal Energy Regulatory Commission (FERC) and North American Electric Reliability Corporation (NERC) conducted a joint inquiry to determine the cause of the power failure and issued a report in May 2012 regarding their findings. The report does not make any findings of failure on SDG&amp;E’s part that led to the power failure.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Smart Meters Patent Infringement Lawsuit</w:t>
      </w:r>
    </w:p>
    <w:p>
      <w:pPr>
        <w:spacing w:after="0" w:line="24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October 2011, SDG&amp;E was sued by a Texas design and manufacturing company in Federal District Court, Southern District of California, and later transferred to the Federal District Court, Western District of Oklahoma, alleging that SDG&amp;E’s recently installed smart meters infringed certain patents. The meters were purchased from a third party vendor that has agreed to defend and indemnify SDG&amp;E. The lawsuit seeks injunctive relief and recovery of unspecified amounts of damages.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4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SoCalGas, along with Monsanto Co., Solutia, Inc., Pharmacia Corp., and Pfizer, Inc., are defendants in six Los Angeles County Superior Court lawsuits filed beginning in April 2011 seeking recovery of unspecified amounts of damages, including punitive damages, as a result of plaintiffs’ exposure to PCBs (polychlorinated biphenyls). The lawsuits allege plaintiffs were exposed to PCBs not only through the food chain and other various sources but from PCB-contaminated natural gas pipelines owned and operated by SoCalGas. This contamination allegedly caused plaintiffs to develop cancer and other serious illnesses. Plaintiffs assert various bases for recovery, including negligence and products liability. SoCalGas has settled two of the six lawsuits for an amount that is not significant and has been recorded.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Natural Gas</w:t>
      </w:r>
    </w:p>
    <w:p>
      <w:pPr>
        <w:spacing w:after="0" w:line="245"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color w:val="auto"/>
        </w:rPr>
        <w:t>Liberty Gas Storage, LLC (Liberty) received a demand for arbitration from Williams Midstream Natural Gas Liquids, Inc. (Williams) in February 2011 related to a sublease agreement. Williams alleges that Liberty was negligent in its attempt to convert certain salt caverns to natural gas storage and seeks damages of $56.7 million. Liberty filed a counterclaim alleging breach of contract in the inducement and seeks damages of more than $215 million.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w:t>
      </w:r>
    </w:p>
    <w:p>
      <w:pPr>
        <w:spacing w:after="0" w:line="24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Sempra Mexico has been engaged in a long-running land dispute relating to property adjacent to its Energía Costa Azul LNG terminal near Ensenada, Mexico. The adjacent property is not required by environmental or other regulatory permits for the operation of the terminal. A claimant to the adjacent property has nonetheless asserted that his health and safety are endangered by the operation of the facility. In February 2011, based on a complaint by the claimant, the new Ensenada Mayor attempted to temporarily close the terminal based on claims of irregularities in municipal permits issued six years earlier. This attempt was promptly countermanded by Mexican federal and Baja California state authorities. No terminal permits or operations were affected as a result of these proceedings or events and the terminal has continued to operate normally. Sempra Mexico expects additional Mexican court proceedings and governmental actions regarding the claimant’s assertions as to whether the terminal’s permits should be modified or revoked in any manner.</w:t>
      </w:r>
    </w:p>
    <w:p>
      <w:pPr>
        <w:spacing w:after="0" w:line="19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property claimant also filed a lawsuit in July 2010 against Sempra Energy in Federal District Court in San Diego seeking compensatory and punitive damages as well as the earnings from the Energía Costa Azul LNG terminal based on his allegations that he was wrongfully evicted from the adjacent property and that he has been harmed by other allegedly improper actions.</w:t>
      </w:r>
    </w:p>
    <w:p>
      <w:pPr>
        <w:spacing w:after="0" w:line="20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Additionally, several administrative challenges are pending in Mexico before the Mexican environmental protection agency (SEMARNAT) and/or the Federal Tax and Administrative Courts seeking revocation of the environmental impact authorization (EIA) issued to Energía Costa Azul in 2003. These cases generally allege that the conditions and mitigation measures in the EIA are inadequate and challenge findings that the activities of the terminal are consistent with regional development guidelines. A similar administrative challenge seeking to revoke the port concession for our marine operations at our Energía Costa Azul LNG terminal, which was filed with and rejected by the Mexican Communications and Transportation ministry, remains on appeal in Mexican federal court as well. Also, there are two real property cases pending against Energía Costa Azul in which the plaintiffs seek to annul the recorded property titles for parcels on which the Energía Costa Azul LNG terminal is situated and to obtain possession of different parcels that allegedly sit in the same place. A third complaint was served in April 2013 seeking to invalidate the contract by which Energía Costa Azul, S. de R.L. de C.V. purchased another of the terminal parcels, on the grounds the purchase price was unfair. Sempra Mexico expects further proceedings on each of these matters.</w:t>
      </w:r>
    </w:p>
    <w:p>
      <w:pPr>
        <w:spacing w:after="0" w:line="19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 July 2012, a Mexicali state court issued a ruling declaring the purchase contract by which Termoeléctrica de Mexicali (TDM) acquired the property on which the facility is located to be invalid, on the grounds that the proceeding in which the seller acquired title was invalid. TDM has appealed the ruling, and</w:t>
      </w:r>
    </w:p>
    <w:p>
      <w:pPr>
        <w:sectPr>
          <w:pgSz w:w="11900" w:h="16838" w:orient="portrait"/>
          <w:cols w:equalWidth="0" w:num="1">
            <w:col w:w="11420"/>
          </w:cols>
          <w:pgMar w:left="240" w:top="125" w:right="239" w:bottom="0" w:gutter="0" w:footer="0" w:header="0"/>
        </w:sectPr>
      </w:pPr>
    </w:p>
    <w:bookmarkStart w:id="42" w:name="page43"/>
    <w:bookmarkEnd w:id="42"/>
    <w:p>
      <w:pPr>
        <w:spacing w:after="0" w:line="8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it is not enforceable while the appeal is pending. In accordance with Mexican law, TDM remains in possession of the property, and its operations have not been affected.</w:t>
      </w:r>
    </w:p>
    <w:p>
      <w:pPr>
        <w:spacing w:after="0" w:line="19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October 2012, a competitor for one of the two contracts awarded by the Mexican Federal Electricity Commission (Comisión Federal de Electricidad, or CFE) for the construction and operation of a natural gas pipeline in Sonora filed an </w:t>
      </w:r>
      <w:r>
        <w:rPr>
          <w:rFonts w:ascii="Arial" w:cs="Arial" w:eastAsia="Arial" w:hAnsi="Arial"/>
          <w:sz w:val="16"/>
          <w:szCs w:val="16"/>
          <w:i w:val="1"/>
          <w:iCs w:val="1"/>
          <w:color w:val="auto"/>
        </w:rPr>
        <w:t>amparo</w:t>
      </w:r>
      <w:r>
        <w:rPr>
          <w:rFonts w:ascii="Arial" w:cs="Arial" w:eastAsia="Arial" w:hAnsi="Arial"/>
          <w:sz w:val="16"/>
          <w:szCs w:val="16"/>
          <w:color w:val="auto"/>
        </w:rPr>
        <w:t xml:space="preserve"> in the Mexican federal district court in Mexico City, challenging the tender process and the award to us. The competitor, a subsidiary of Fermaca, Sásabe Pipeline, S. de R.L. de C.V., filed suit against 11 different governmental authorities, including the CFE, the President of Mexico, and the Mexican Energy Ministry. Sásabe Pipeline, which was the second-place bidder, alleges CFE discriminated against it in the bidding process, including by failing to accept its comments on the bid guidelines. In February 2013, we were notified that Guaymas Pipeline S. de R. L. de C.V., another subsidiary of Fermaca, filed another, similar </w:t>
      </w:r>
      <w:r>
        <w:rPr>
          <w:rFonts w:ascii="Arial" w:cs="Arial" w:eastAsia="Arial" w:hAnsi="Arial"/>
          <w:sz w:val="16"/>
          <w:szCs w:val="16"/>
          <w:i w:val="1"/>
          <w:iCs w:val="1"/>
          <w:color w:val="auto"/>
        </w:rPr>
        <w:t>amparo</w:t>
      </w:r>
      <w:r>
        <w:rPr>
          <w:rFonts w:ascii="Arial" w:cs="Arial" w:eastAsia="Arial" w:hAnsi="Arial"/>
          <w:sz w:val="16"/>
          <w:szCs w:val="16"/>
          <w:color w:val="auto"/>
        </w:rPr>
        <w:t xml:space="preserve"> challenging the process by which the second of the two contracts was awarded, although it did not submit a bid for the project. Both cases were dismissed in April 2013.</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Litigation</w:t>
      </w:r>
    </w:p>
    <w:p>
      <w:pPr>
        <w:spacing w:after="0" w:line="24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described in Note 4, we hold a noncontrolling interest in RBS Sempra Commodities, a limited liability partnership in the process of being liquidated. In March 2012, RBS received a letter from the United Kingdom’s Revenue and Customs Department (HMRC) regarding a value-added-tax (VAT) matter related to RBS Sempra Energy Europe (RBS SEE), a former indirect subsidiary of RBS Sempra Commodities that was sold to JP Morgan. The letter states that HMRC is conducting a number of investigations into VAT tax refund claims made by various businesses related to the purchase and sale of carbon credit allowances. The letter also states that HMRC believes it has grounds to deny RBS the ability to reduce its VAT liability by VAT paid during 2009 because it knew or should have known that certain vendors in the trading chain did not remit their own VAT to HMRC. In September 2012, HMRC issued an assessment of £86 million for the VAT paid in connection with these transactions and identified several options for responding, including requesting a review by HMRC and appealing to an independent tribunal. HMRC indicated that the assessment was issued on a protective basis as discussion about the issues is continuing.</w:t>
      </w:r>
    </w:p>
    <w:p>
      <w:pPr>
        <w:spacing w:after="0" w:line="19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August 2007, the U.S. Court of Appeals for the Ninth Circuit issued a decision reversing and remanding certain FERC orders declining to provide refunds regarding short-term bilateral sales up to one month in the Pacific Northwest for the December 2000 to June 2001 time period. In December 2010, the FERC approved a comprehensive settlement previously reached by Sempra Energy and RBS Sempra Commodities with the State of California. The settlement resolves all issues with regard to sales between the California Department of Water Resources (DWR) and Sempra Commodities in the Pacific Northwest, but potential claims may exist regarding sales in the Pacific Northwest between Sempra Commodities and other parties. The FERC is in the process of addressing these potential claims on remand. Pursuant to the agreements related to the formation of RBS Sempra Commodities, we have indemnified RBS should the liability from the final resolution of these matters be greater than the reserves related to Sempra Commodities. Pursuant to our agreement with the Noble Group Ltd., one of the buyers of RBS Sempra Commodities’ businesses, we have also indemnified Noble Americas Gas &amp; Power Corp. and its affiliates for all losses incurred by such parties resulting from these proceedings as related to Sempra Commodities.</w:t>
      </w:r>
    </w:p>
    <w:p>
      <w:pPr>
        <w:spacing w:after="0" w:line="194"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We are also defendants in ordinary routine litigation incidental to our businesses, including personal injury, product liability, property damage and other claims. California juries have demonstrated an increasing willingness to grant large awards, including punitive damages, in these types of cases.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NUCLEAR INSURANCE</w:t>
      </w:r>
    </w:p>
    <w:p>
      <w:pPr>
        <w:spacing w:after="0" w:line="24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SDG&amp;E and the other owners of SONGS have insurance to cover claims from nuclear liability incidents arising at SONGS. This insurance provides $375 million in coverage limits, the maximum amount available, including coverage for acts of terrorism. In addition, the Price-Anderson Act provides for up to $12.2 billion of secondary financial protection (SFP). If a nuclear liability loss occurring at any U.S. licensed/commercial reactor exceeds the $375 million insurance limit, all nuclear reactor owners could be required to contribute to the SFP. SDG&amp;E’s contribution would be up to $47 million. This amount is subject to an annual maximum of $7 million, unless a default occurs by any other SONGS owner. If the SFP is insufficient to cover the liability loss, SDG&amp;E could be subject to an additional assessment.</w:t>
      </w:r>
    </w:p>
    <w:p>
      <w:pPr>
        <w:spacing w:after="0" w:line="22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SONGS owners, including SDG&amp;E, also have $2.75 billion of nuclear property, decontamination, and debris removal insurance. In addition, the SONGS owners have up to $490 million insurance coverage for outage expenses and replacement power costs due to accidental property damage. This coverage is limited to $3.5 million per week for the first 52 weeks, then $2.8 million per week for up to 110 additional weeks. There is a 12-week waiting period deductible. These insurance coverages are provided through NEIL, a mutual insurance company. Insured members are subject to retrospective premium assessments. SDG&amp;E could be assessed up to $9.7 million.</w:t>
      </w:r>
    </w:p>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nuclear property insurance program includes an industry aggregate loss limit for non-certified acts of terrorism (as defined by the Terrorism Risk Insurance Act). The industry aggregate loss limit for property claims arising from non-certified acts of terrorism is $3.24 billion. This is the maximum amount that will be paid to insured members who suffer losses or damages from these non-certified terrorist acts.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about SONGS in Note 9.</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w:t>
      </w:r>
    </w:p>
    <w:p>
      <w:pPr>
        <w:spacing w:after="0" w:line="24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discuss below significant changes in the first three months of 2013 to contractual commitments discussed in Note 15 of the Notes to Consolidated Financial Statements in the Annual Report.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Natural Gas Contracts</w:t>
      </w:r>
    </w:p>
    <w:p>
      <w:pPr>
        <w:spacing w:after="0" w:line="24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SoCalGas’ natural gas purchase and pipeline capacity commitments have decreased by $50 million since December 31, 2012. The decrease, primarily due to fulfillment of commitments in the first three months of 2013 of $174 million, is partially offset by an increase of $124 million from new natural gas purchase and pipeline capacity contracts. Net future payments are expected to decrease by $64 million in 2013 and to increase by $14 million in 2014 compared to December 31, 2012.</w:t>
      </w:r>
    </w:p>
    <w:p>
      <w:pPr>
        <w:spacing w:after="0" w:line="21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Sempra Natural Gas’ natural gas purchase and storage capacity commitments have increased by $35 million since December 31, 2012, primarily due to new storage capacity contracts in the first three months of 2013. Net future payments are expected to decrease by $6 million in 2013, and increase by $5 million in</w:t>
      </w:r>
    </w:p>
    <w:p>
      <w:pPr>
        <w:sectPr>
          <w:pgSz w:w="11900" w:h="16921" w:orient="portrait"/>
          <w:cols w:equalWidth="0" w:num="1">
            <w:col w:w="11420"/>
          </w:cols>
          <w:pgMar w:left="240" w:top="125" w:right="239" w:bottom="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2014, $7 million in 2015, $7 million in 2016, $7 million in 2017 and $15 million thereafter compared to December 31, 2012.</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LNG Purchase Agreements</w:t>
      </w:r>
    </w:p>
    <w:p>
      <w:pPr>
        <w:spacing w:after="0" w:line="24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At March 31, 2013, Sempra Natural Gas has various purchase agreements with major international companies for the supply of LNG to the Energía Costa Azul and Cameron terminals. We discuss these agreements further in Note 15 of the Notes to Consolidated Financial Statements in the Annual Report. Sempra Natural Gas’ commitments under all LNG purchase agreements, reflecting changes in forward prices since December 31, 2012 and actual transactions for the first three months of 2013, are expected to decrease by $70 million in 2013, increase by $31 million in 2014 and $14 million in 2015, and to decrease by $4 million in 2016, $13 million in 2017 and $400 million thereafter compared to December 31, 2012.</w:t>
      </w:r>
    </w:p>
    <w:p>
      <w:pPr>
        <w:spacing w:after="0" w:line="200"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The LNG commitment amounts above are based on Sempra Natural Gas’ commitment to accept the maximum possible delivery of cargoes under the agreements. Actual LNG purchases for the three months ended March 31, 2013 have been significantly lower than the maximum amounts possible.</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Purchased-Power Contracts</w:t>
      </w:r>
    </w:p>
    <w:p>
      <w:pPr>
        <w:spacing w:after="0" w:line="24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SDG&amp;E’s commitments under purchased-power contract commitments have increased by $2.6 billion since December 31, 2012. The increase is primarily due to new contracts associated with renewable energy development projects. Net future payments are therefore expected to increase by $41 million in 2013, $107 million in 2014, $107 million in 2015, $108 million in 2016, $108 million in 2017 and $2.1 billion thereafter compared to December 31, 2012.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Leases</w:t>
      </w:r>
    </w:p>
    <w:p>
      <w:pPr>
        <w:spacing w:after="0" w:line="24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Sempra Renewables entered into a land lease for the Copper Mountain Solar 3 project, which lease expires in 2050. Future payments on the lease are $1 million in 2013, $2 million each year in 2014 through 2017 and $75 million thereafter.</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Construction and Development Projects</w:t>
      </w:r>
    </w:p>
    <w:p>
      <w:pPr>
        <w:spacing w:after="0" w:line="24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the first three months of 2013, significant increases to contractual commitments at Sempra Mexico were $57 million for contracts related to their construction of an approximately 500-mile natural gas transport pipeline network. The future payments under this contractual commitment are expected to be $27 million in 2013, $15 million in 2014 and $15 million in 2015.</w:t>
      </w:r>
    </w:p>
    <w:p>
      <w:pPr>
        <w:spacing w:after="0" w:line="208"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In the first three months of 2013, significant increases to contractual commitments at Sempra Renewables were $33 million for the construction of Copper Mountain Solar 3 facilities. The future payments under this contractual commitment are expected to be $30 million in 2013 and $3 million in 2014.</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Guarantees</w:t>
      </w:r>
    </w:p>
    <w:p>
      <w:pPr>
        <w:spacing w:after="0" w:line="24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In the first three months of 2013, Sempra Renewables provided additional guarantees to certain wind farm joint ventures aggregating a maximum of $89 million with an associated aggregated carrying value of $3 million for debt service and operation of the wind farms, as we discuss in Note 6.</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w:t>
      </w:r>
    </w:p>
    <w:p>
      <w:pPr>
        <w:spacing w:after="0" w:line="24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February 2013, Sempra Natural Gas entered into a long-term operations and maintenance agreement for its remaining block of the Mesquite Power natural gas-fired power plant, which expires in 2033. The total cost associated with this agreement is estimated to be approximately $36 million. The future payments for this contractual commitment are expected to be $1 million in 2013, $2 million each year in 2014 through 2017 and $27 million thereafter. We provide additional information about Mesquite Power in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676910</wp:posOffset>
            </wp:positionV>
            <wp:extent cx="72637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NOTE 11. SEGMENT INFORMATION</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We have six separately managed reportable segments, as follows:</w:t>
      </w:r>
    </w:p>
    <w:p>
      <w:pPr>
        <w:spacing w:after="0" w:line="252" w:lineRule="exact"/>
        <w:rPr>
          <w:sz w:val="20"/>
          <w:szCs w:val="20"/>
          <w:color w:val="auto"/>
        </w:rPr>
      </w:pPr>
    </w:p>
    <w:p>
      <w:pPr>
        <w:ind w:left="660" w:hanging="229"/>
        <w:spacing w:after="0"/>
        <w:tabs>
          <w:tab w:leader="none" w:pos="66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SDG&amp;E </w:t>
      </w:r>
      <w:r>
        <w:rPr>
          <w:rFonts w:ascii="Arial" w:cs="Arial" w:eastAsia="Arial" w:hAnsi="Arial"/>
          <w:sz w:val="18"/>
          <w:szCs w:val="18"/>
          <w:color w:val="auto"/>
        </w:rPr>
        <w:t>provides electric service to San Diego and southern Orange counties and natural gas service to San Diego County.</w:t>
      </w:r>
    </w:p>
    <w:p>
      <w:pPr>
        <w:spacing w:after="0" w:line="252" w:lineRule="exact"/>
        <w:rPr>
          <w:rFonts w:ascii="Arial" w:cs="Arial" w:eastAsia="Arial" w:hAnsi="Arial"/>
          <w:sz w:val="18"/>
          <w:szCs w:val="18"/>
          <w:i w:val="1"/>
          <w:iCs w:val="1"/>
          <w:color w:val="auto"/>
        </w:rPr>
      </w:pPr>
    </w:p>
    <w:p>
      <w:pPr>
        <w:ind w:left="660" w:hanging="229"/>
        <w:spacing w:after="0"/>
        <w:tabs>
          <w:tab w:leader="none" w:pos="66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SoCalGas </w:t>
      </w:r>
      <w:r>
        <w:rPr>
          <w:rFonts w:ascii="Arial" w:cs="Arial" w:eastAsia="Arial" w:hAnsi="Arial"/>
          <w:sz w:val="18"/>
          <w:szCs w:val="18"/>
          <w:color w:val="auto"/>
        </w:rPr>
        <w:t>is a natural gas distribution utility, serving customers throughout most of Southern California and part of central California.</w:t>
      </w:r>
    </w:p>
    <w:p>
      <w:pPr>
        <w:spacing w:after="0" w:line="252" w:lineRule="exact"/>
        <w:rPr>
          <w:rFonts w:ascii="Arial" w:cs="Arial" w:eastAsia="Arial" w:hAnsi="Arial"/>
          <w:sz w:val="18"/>
          <w:szCs w:val="18"/>
          <w:i w:val="1"/>
          <w:iCs w:val="1"/>
          <w:color w:val="auto"/>
        </w:rPr>
      </w:pPr>
    </w:p>
    <w:p>
      <w:pPr>
        <w:jc w:val="both"/>
        <w:ind w:left="660" w:hanging="229"/>
        <w:spacing w:after="0" w:line="264" w:lineRule="auto"/>
        <w:tabs>
          <w:tab w:leader="none" w:pos="66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Sempra South American Utilities </w:t>
      </w:r>
      <w:r>
        <w:rPr>
          <w:rFonts w:ascii="Arial" w:cs="Arial" w:eastAsia="Arial" w:hAnsi="Arial"/>
          <w:sz w:val="18"/>
          <w:szCs w:val="18"/>
          <w:color w:val="auto"/>
        </w:rPr>
        <w:t>operates electric transmission and distribution utilities in Chile and Peru, and owns interests in utilities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Argentina. We are currently pursuing the sale of our interests in the Argentine utilities, which we discuss further in Note 4 above and in Note 4 of the Notes to Consolidated Financial Statements in the Annual Report.</w:t>
      </w:r>
    </w:p>
    <w:p>
      <w:pPr>
        <w:spacing w:after="0" w:line="208" w:lineRule="exact"/>
        <w:rPr>
          <w:rFonts w:ascii="Arial" w:cs="Arial" w:eastAsia="Arial" w:hAnsi="Arial"/>
          <w:sz w:val="18"/>
          <w:szCs w:val="18"/>
          <w:i w:val="1"/>
          <w:iCs w:val="1"/>
          <w:color w:val="auto"/>
        </w:rPr>
      </w:pPr>
    </w:p>
    <w:p>
      <w:pPr>
        <w:jc w:val="both"/>
        <w:ind w:left="660" w:hanging="229"/>
        <w:spacing w:after="0" w:line="264" w:lineRule="auto"/>
        <w:tabs>
          <w:tab w:leader="none" w:pos="66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Sempra Mexico </w:t>
      </w:r>
      <w:r>
        <w:rPr>
          <w:rFonts w:ascii="Arial" w:cs="Arial" w:eastAsia="Arial" w:hAnsi="Arial"/>
          <w:sz w:val="18"/>
          <w:szCs w:val="18"/>
          <w:color w:val="auto"/>
        </w:rPr>
        <w:t>develops, owns and operates, or holds interests in, natural gas transmission pipelines and propane and ethane systems, a natural gas</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utility, electric generation facilities (including wind), a terminal for the import of LNG, and marketing operations for the purchase of LNG and the purchase and sale of natural gas in Mexico.</w:t>
      </w:r>
    </w:p>
    <w:p>
      <w:pPr>
        <w:spacing w:after="0" w:line="208" w:lineRule="exact"/>
        <w:rPr>
          <w:rFonts w:ascii="Arial" w:cs="Arial" w:eastAsia="Arial" w:hAnsi="Arial"/>
          <w:sz w:val="18"/>
          <w:szCs w:val="18"/>
          <w:i w:val="1"/>
          <w:iCs w:val="1"/>
          <w:color w:val="auto"/>
        </w:rPr>
      </w:pPr>
    </w:p>
    <w:p>
      <w:pPr>
        <w:ind w:left="660" w:hanging="229"/>
        <w:spacing w:after="0"/>
        <w:tabs>
          <w:tab w:leader="none" w:pos="660" w:val="left"/>
        </w:tabs>
        <w:numPr>
          <w:ilvl w:val="0"/>
          <w:numId w:val="4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Sempra Renewables </w:t>
      </w:r>
      <w:r>
        <w:rPr>
          <w:rFonts w:ascii="Arial" w:cs="Arial" w:eastAsia="Arial" w:hAnsi="Arial"/>
          <w:sz w:val="16"/>
          <w:szCs w:val="16"/>
          <w:color w:val="auto"/>
        </w:rPr>
        <w:t>develops, owns and operates, or holds interests in, wind and solar energy projects in Arizona, California, Colorado, Hawaii,</w:t>
      </w:r>
    </w:p>
    <w:p>
      <w:pPr>
        <w:sectPr>
          <w:pgSz w:w="11900" w:h="16838" w:orient="portrait"/>
          <w:cols w:equalWidth="0" w:num="1">
            <w:col w:w="11420"/>
          </w:cols>
          <w:pgMar w:left="240" w:top="125" w:right="239" w:bottom="0" w:gutter="0" w:footer="0" w:header="0"/>
        </w:sectPr>
      </w:pPr>
    </w:p>
    <w:bookmarkStart w:id="44" w:name="page45"/>
    <w:bookmarkEnd w:id="44"/>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Indiana, Kansas, Nevada and Pennsylvania to serve wholesale electricity markets in the United States.</w:t>
      </w:r>
    </w:p>
    <w:p>
      <w:pPr>
        <w:spacing w:after="0" w:line="252" w:lineRule="exact"/>
        <w:rPr>
          <w:sz w:val="20"/>
          <w:szCs w:val="20"/>
          <w:color w:val="auto"/>
        </w:rPr>
      </w:pPr>
    </w:p>
    <w:p>
      <w:pPr>
        <w:ind w:left="660" w:right="20" w:hanging="229"/>
        <w:spacing w:after="0" w:line="342" w:lineRule="auto"/>
        <w:tabs>
          <w:tab w:leader="none" w:pos="660" w:val="left"/>
        </w:tabs>
        <w:numPr>
          <w:ilvl w:val="0"/>
          <w:numId w:val="5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Sempra Natural Gas </w:t>
      </w:r>
      <w:r>
        <w:rPr>
          <w:rFonts w:ascii="Arial" w:cs="Arial" w:eastAsia="Arial" w:hAnsi="Arial"/>
          <w:sz w:val="16"/>
          <w:szCs w:val="16"/>
          <w:color w:val="auto"/>
        </w:rPr>
        <w:t>develops, owns and operates, or holds interests in, a natural gas-fired electric generation asset, natural gas pipelines and storage</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natural gas distribution utilities and a terminal for the import and export of LNG and sale of natural gas, all within the United States.</w:t>
      </w:r>
    </w:p>
    <w:p>
      <w:pPr>
        <w:spacing w:after="0" w:line="15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Sempra South American Utilities and Sempra Mexico comprise our Sempra International operating unit. Sempra Renewables and Sempra Natural Gas comprise our Sempra U.S. Gas &amp; Power operating unit.</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evaluate each segment’s performance based on its contribution to Sempra Energy’s reported earnings. The California Utilities operate in essentially separate service territories, under separate regulatory frameworks and rate structures set by the CPUC. The California Utilities’ operations are based on rates set by the CPUC and the FERC. We describe the accounting policies of all of our segments in Note 1 of the Notes to Consolidated Financial Statements in the Annual Report.</w:t>
      </w:r>
    </w:p>
    <w:p>
      <w:pPr>
        <w:spacing w:after="0" w:line="21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fourth quarter of 2012, Sempra Mexico initiated a public debt offering process through one of its subsidiaries. We discuss this debt issuance, which occurred on February 14, 2013, in Note 6. The subsidiary issuing the debt, now IEnova, was previously included in Parent and Other. As a result of our anticipated debt issuance, we revised the manner in which we make resource allocation decisions to our Sempra Mexico segment and assess its performance. As a result, we have reclassified certain amounts from Parent and Other, which contains interest and other corporate costs and certain holding company activities, to our Sempra Mexico segment. Losses reclassified from Parent and Other to Sempra Mexico as a result of the restatement were $4 million in the three months ended March 31, 2012. In accordance with U.S. GAAP, the historical segment disclosures have been restated to be consistent with the current presentation.</w:t>
      </w:r>
    </w:p>
    <w:p>
      <w:pPr>
        <w:spacing w:after="0" w:line="216"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The following tables show selected information by segment from our Condensed Consolidated Statements of Operations and Condensed Consolidated Balance Sheets. Amounts labeled as “All other” in the following tables consist primarily of parent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2832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9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Three months ended March 31,</w:t>
            </w:r>
          </w:p>
        </w:tc>
        <w:tc>
          <w:tcPr>
            <w:tcW w:w="7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223"/>
        </w:trPr>
        <w:tc>
          <w:tcPr>
            <w:tcW w:w="5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2013</w:t>
            </w:r>
          </w:p>
        </w:tc>
        <w:tc>
          <w:tcPr>
            <w:tcW w:w="9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color w:val="auto"/>
              </w:rPr>
              <w:t>2012</w:t>
            </w:r>
          </w:p>
        </w:tc>
        <w:tc>
          <w:tcPr>
            <w:tcW w:w="920" w:type="dxa"/>
            <w:vAlign w:val="bottom"/>
            <w:tcBorders>
              <w:bottom w:val="single" w:sz="8" w:color="auto"/>
            </w:tcBorders>
          </w:tcPr>
          <w:p>
            <w:pPr>
              <w:spacing w:after="0"/>
              <w:rPr>
                <w:sz w:val="19"/>
                <w:szCs w:val="19"/>
                <w:color w:val="auto"/>
              </w:rPr>
            </w:pPr>
          </w:p>
        </w:tc>
      </w:tr>
      <w:tr>
        <w:trPr>
          <w:trHeight w:val="218"/>
        </w:trPr>
        <w:tc>
          <w:tcPr>
            <w:tcW w:w="5980" w:type="dxa"/>
            <w:vAlign w:val="bottom"/>
          </w:tcPr>
          <w:p>
            <w:pPr>
              <w:spacing w:after="0"/>
              <w:rPr>
                <w:sz w:val="20"/>
                <w:szCs w:val="20"/>
                <w:color w:val="auto"/>
              </w:rPr>
            </w:pPr>
            <w:r>
              <w:rPr>
                <w:rFonts w:ascii="Arial" w:cs="Arial" w:eastAsia="Arial" w:hAnsi="Arial"/>
                <w:sz w:val="16"/>
                <w:szCs w:val="16"/>
                <w:color w:val="auto"/>
              </w:rPr>
              <w:t>REVENUES</w:t>
            </w: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95"/>
        </w:trPr>
        <w:tc>
          <w:tcPr>
            <w:tcW w:w="5980" w:type="dxa"/>
            <w:vAlign w:val="bottom"/>
          </w:tcPr>
          <w:p>
            <w:pPr>
              <w:ind w:left="100"/>
              <w:spacing w:after="0"/>
              <w:rPr>
                <w:sz w:val="20"/>
                <w:szCs w:val="20"/>
                <w:color w:val="auto"/>
              </w:rPr>
            </w:pPr>
            <w:r>
              <w:rPr>
                <w:rFonts w:ascii="Arial" w:cs="Arial" w:eastAsia="Arial" w:hAnsi="Arial"/>
                <w:sz w:val="16"/>
                <w:szCs w:val="16"/>
                <w:color w:val="auto"/>
              </w:rPr>
              <w:t>SDG&amp;E</w:t>
            </w:r>
          </w:p>
        </w:tc>
        <w:tc>
          <w:tcPr>
            <w:tcW w:w="580" w:type="dxa"/>
            <w:vAlign w:val="bottom"/>
          </w:tcPr>
          <w:p>
            <w:pPr>
              <w:jc w:val="right"/>
              <w:ind w:right="4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939</w:t>
            </w:r>
          </w:p>
        </w:tc>
        <w:tc>
          <w:tcPr>
            <w:tcW w:w="980" w:type="dxa"/>
            <w:vAlign w:val="bottom"/>
          </w:tcPr>
          <w:p>
            <w:pPr>
              <w:jc w:val="right"/>
              <w:spacing w:after="0"/>
              <w:rPr>
                <w:sz w:val="20"/>
                <w:szCs w:val="20"/>
                <w:color w:val="auto"/>
              </w:rPr>
            </w:pPr>
            <w:r>
              <w:rPr>
                <w:rFonts w:ascii="Arial" w:cs="Arial" w:eastAsia="Arial" w:hAnsi="Arial"/>
                <w:sz w:val="16"/>
                <w:szCs w:val="16"/>
                <w:color w:val="auto"/>
              </w:rPr>
              <w:t>35 %</w:t>
            </w:r>
          </w:p>
        </w:tc>
        <w:tc>
          <w:tcPr>
            <w:tcW w:w="1160" w:type="dxa"/>
            <w:vAlign w:val="bottom"/>
          </w:tcPr>
          <w:p>
            <w:pPr>
              <w:jc w:val="center"/>
              <w:ind w:right="79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834</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35 %</w:t>
            </w:r>
          </w:p>
        </w:tc>
      </w:tr>
      <w:tr>
        <w:trPr>
          <w:trHeight w:val="216"/>
        </w:trPr>
        <w:tc>
          <w:tcPr>
            <w:tcW w:w="5980" w:type="dxa"/>
            <w:vAlign w:val="bottom"/>
          </w:tcPr>
          <w:p>
            <w:pPr>
              <w:ind w:left="100"/>
              <w:spacing w:after="0"/>
              <w:rPr>
                <w:sz w:val="20"/>
                <w:szCs w:val="20"/>
                <w:color w:val="auto"/>
              </w:rPr>
            </w:pPr>
            <w:r>
              <w:rPr>
                <w:rFonts w:ascii="Arial" w:cs="Arial" w:eastAsia="Arial" w:hAnsi="Arial"/>
                <w:sz w:val="16"/>
                <w:szCs w:val="16"/>
                <w:color w:val="auto"/>
              </w:rPr>
              <w:t>SoCalGas</w:t>
            </w:r>
          </w:p>
        </w:tc>
        <w:tc>
          <w:tcPr>
            <w:tcW w:w="5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983</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37</w:t>
            </w:r>
          </w:p>
        </w:tc>
        <w:tc>
          <w:tcPr>
            <w:tcW w:w="116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880</w:t>
            </w: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37</w:t>
            </w:r>
          </w:p>
        </w:tc>
      </w:tr>
      <w:tr>
        <w:trPr>
          <w:trHeight w:val="216"/>
        </w:trPr>
        <w:tc>
          <w:tcPr>
            <w:tcW w:w="598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5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384</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15</w:t>
            </w:r>
          </w:p>
        </w:tc>
        <w:tc>
          <w:tcPr>
            <w:tcW w:w="116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357</w:t>
            </w: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15</w:t>
            </w:r>
          </w:p>
        </w:tc>
      </w:tr>
      <w:tr>
        <w:trPr>
          <w:trHeight w:val="216"/>
        </w:trPr>
        <w:tc>
          <w:tcPr>
            <w:tcW w:w="598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5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168</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6</w:t>
            </w:r>
          </w:p>
        </w:tc>
        <w:tc>
          <w:tcPr>
            <w:tcW w:w="116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136</w:t>
            </w: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6</w:t>
            </w:r>
          </w:p>
        </w:tc>
      </w:tr>
      <w:tr>
        <w:trPr>
          <w:trHeight w:val="216"/>
        </w:trPr>
        <w:tc>
          <w:tcPr>
            <w:tcW w:w="5980" w:type="dxa"/>
            <w:vAlign w:val="bottom"/>
          </w:tcPr>
          <w:p>
            <w:pPr>
              <w:ind w:left="100"/>
              <w:spacing w:after="0"/>
              <w:rPr>
                <w:sz w:val="20"/>
                <w:szCs w:val="20"/>
                <w:color w:val="auto"/>
              </w:rPr>
            </w:pPr>
            <w:r>
              <w:rPr>
                <w:rFonts w:ascii="Arial" w:cs="Arial" w:eastAsia="Arial" w:hAnsi="Arial"/>
                <w:sz w:val="16"/>
                <w:szCs w:val="16"/>
                <w:color w:val="auto"/>
              </w:rPr>
              <w:t>Sempra Renewables</w:t>
            </w:r>
          </w:p>
        </w:tc>
        <w:tc>
          <w:tcPr>
            <w:tcW w:w="5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21</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116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8</w:t>
            </w: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w:t>
            </w:r>
          </w:p>
        </w:tc>
      </w:tr>
      <w:tr>
        <w:trPr>
          <w:trHeight w:val="216"/>
        </w:trPr>
        <w:tc>
          <w:tcPr>
            <w:tcW w:w="598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5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253</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10</w:t>
            </w:r>
          </w:p>
        </w:tc>
        <w:tc>
          <w:tcPr>
            <w:tcW w:w="116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269</w:t>
            </w: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11</w:t>
            </w:r>
          </w:p>
        </w:tc>
      </w:tr>
      <w:tr>
        <w:trPr>
          <w:trHeight w:val="216"/>
        </w:trPr>
        <w:tc>
          <w:tcPr>
            <w:tcW w:w="5980" w:type="dxa"/>
            <w:vAlign w:val="bottom"/>
          </w:tcPr>
          <w:p>
            <w:pPr>
              <w:ind w:left="80"/>
              <w:spacing w:after="0"/>
              <w:rPr>
                <w:sz w:val="20"/>
                <w:szCs w:val="20"/>
                <w:color w:val="auto"/>
              </w:rPr>
            </w:pPr>
            <w:r>
              <w:rPr>
                <w:rFonts w:ascii="Arial" w:cs="Arial" w:eastAsia="Arial" w:hAnsi="Arial"/>
                <w:sz w:val="16"/>
                <w:szCs w:val="16"/>
                <w:color w:val="auto"/>
              </w:rPr>
              <w:t>Adjustments and eliminations</w:t>
            </w:r>
          </w:p>
        </w:tc>
        <w:tc>
          <w:tcPr>
            <w:tcW w:w="5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8"/>
                <w:szCs w:val="18"/>
                <w:color w:val="auto"/>
              </w:rPr>
            </w:pPr>
          </w:p>
        </w:tc>
        <w:tc>
          <w:tcPr>
            <w:tcW w:w="76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w:t>
            </w:r>
          </w:p>
        </w:tc>
      </w:tr>
      <w:tr>
        <w:trPr>
          <w:trHeight w:val="216"/>
        </w:trPr>
        <w:tc>
          <w:tcPr>
            <w:tcW w:w="5980" w:type="dxa"/>
            <w:vAlign w:val="bottom"/>
          </w:tcPr>
          <w:p>
            <w:pPr>
              <w:ind w:left="100"/>
              <w:spacing w:after="0"/>
              <w:rPr>
                <w:sz w:val="20"/>
                <w:szCs w:val="20"/>
                <w:color w:val="auto"/>
              </w:rPr>
            </w:pPr>
            <w:r>
              <w:rPr>
                <w:rFonts w:ascii="Arial" w:cs="Arial" w:eastAsia="Arial" w:hAnsi="Arial"/>
                <w:sz w:val="16"/>
                <w:szCs w:val="16"/>
                <w:color w:val="auto"/>
              </w:rPr>
              <w:t>Intersegment revenues(1)</w:t>
            </w:r>
          </w:p>
        </w:tc>
        <w:tc>
          <w:tcPr>
            <w:tcW w:w="5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w:t>
            </w:r>
          </w:p>
        </w:tc>
        <w:tc>
          <w:tcPr>
            <w:tcW w:w="1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w:t>
            </w: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(4)</w:t>
            </w:r>
          </w:p>
        </w:tc>
      </w:tr>
      <w:tr>
        <w:trPr>
          <w:trHeight w:val="189"/>
        </w:trPr>
        <w:tc>
          <w:tcPr>
            <w:tcW w:w="59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Total</w:t>
            </w:r>
          </w:p>
        </w:tc>
        <w:tc>
          <w:tcPr>
            <w:tcW w:w="58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2,650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160" w:type="dxa"/>
            <w:vAlign w:val="bottom"/>
            <w:tcBorders>
              <w:bottom w:val="single" w:sz="8" w:color="auto"/>
            </w:tcBorders>
          </w:tcPr>
          <w:p>
            <w:pPr>
              <w:jc w:val="center"/>
              <w:ind w:right="7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2,383</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100 %</w:t>
            </w:r>
          </w:p>
        </w:tc>
      </w:tr>
      <w:tr>
        <w:trPr>
          <w:trHeight w:val="21"/>
        </w:trPr>
        <w:tc>
          <w:tcPr>
            <w:tcW w:w="5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7"/>
        </w:trPr>
        <w:tc>
          <w:tcPr>
            <w:tcW w:w="5980" w:type="dxa"/>
            <w:vAlign w:val="bottom"/>
          </w:tcPr>
          <w:p>
            <w:pPr>
              <w:spacing w:after="0"/>
              <w:rPr>
                <w:sz w:val="20"/>
                <w:szCs w:val="20"/>
                <w:color w:val="auto"/>
              </w:rPr>
            </w:pPr>
            <w:r>
              <w:rPr>
                <w:rFonts w:ascii="Arial" w:cs="Arial" w:eastAsia="Arial" w:hAnsi="Arial"/>
                <w:sz w:val="16"/>
                <w:szCs w:val="16"/>
                <w:color w:val="auto"/>
              </w:rPr>
              <w:t>INTEREST EXPENSE</w:t>
            </w: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980" w:type="dxa"/>
            <w:vAlign w:val="bottom"/>
          </w:tcPr>
          <w:p>
            <w:pPr>
              <w:ind w:left="100"/>
              <w:spacing w:after="0"/>
              <w:rPr>
                <w:sz w:val="20"/>
                <w:szCs w:val="20"/>
                <w:color w:val="auto"/>
              </w:rPr>
            </w:pPr>
            <w:r>
              <w:rPr>
                <w:rFonts w:ascii="Arial" w:cs="Arial" w:eastAsia="Arial" w:hAnsi="Arial"/>
                <w:sz w:val="16"/>
                <w:szCs w:val="16"/>
                <w:color w:val="auto"/>
              </w:rPr>
              <w:t>SDG&amp;E</w:t>
            </w:r>
          </w:p>
        </w:tc>
        <w:tc>
          <w:tcPr>
            <w:tcW w:w="580" w:type="dxa"/>
            <w:vAlign w:val="bottom"/>
          </w:tcPr>
          <w:p>
            <w:pPr>
              <w:jc w:val="right"/>
              <w:ind w:right="4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48</w:t>
            </w:r>
          </w:p>
        </w:tc>
        <w:tc>
          <w:tcPr>
            <w:tcW w:w="980" w:type="dxa"/>
            <w:vAlign w:val="bottom"/>
          </w:tcPr>
          <w:p>
            <w:pPr>
              <w:spacing w:after="0"/>
              <w:rPr>
                <w:sz w:val="18"/>
                <w:szCs w:val="18"/>
                <w:color w:val="auto"/>
              </w:rPr>
            </w:pPr>
          </w:p>
        </w:tc>
        <w:tc>
          <w:tcPr>
            <w:tcW w:w="1160" w:type="dxa"/>
            <w:vAlign w:val="bottom"/>
          </w:tcPr>
          <w:p>
            <w:pPr>
              <w:jc w:val="center"/>
              <w:ind w:right="79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36</w:t>
            </w:r>
          </w:p>
        </w:tc>
        <w:tc>
          <w:tcPr>
            <w:tcW w:w="920" w:type="dxa"/>
            <w:vAlign w:val="bottom"/>
          </w:tcPr>
          <w:p>
            <w:pPr>
              <w:spacing w:after="0"/>
              <w:rPr>
                <w:sz w:val="18"/>
                <w:szCs w:val="18"/>
                <w:color w:val="auto"/>
              </w:rPr>
            </w:pPr>
          </w:p>
        </w:tc>
      </w:tr>
      <w:tr>
        <w:trPr>
          <w:trHeight w:val="216"/>
        </w:trPr>
        <w:tc>
          <w:tcPr>
            <w:tcW w:w="5980" w:type="dxa"/>
            <w:vAlign w:val="bottom"/>
          </w:tcPr>
          <w:p>
            <w:pPr>
              <w:ind w:left="100"/>
              <w:spacing w:after="0"/>
              <w:rPr>
                <w:sz w:val="20"/>
                <w:szCs w:val="20"/>
                <w:color w:val="auto"/>
              </w:rPr>
            </w:pPr>
            <w:r>
              <w:rPr>
                <w:rFonts w:ascii="Arial" w:cs="Arial" w:eastAsia="Arial" w:hAnsi="Arial"/>
                <w:sz w:val="16"/>
                <w:szCs w:val="16"/>
                <w:color w:val="auto"/>
              </w:rPr>
              <w:t>SoCalGas</w:t>
            </w:r>
          </w:p>
        </w:tc>
        <w:tc>
          <w:tcPr>
            <w:tcW w:w="5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17</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17</w:t>
            </w:r>
          </w:p>
        </w:tc>
        <w:tc>
          <w:tcPr>
            <w:tcW w:w="920" w:type="dxa"/>
            <w:vAlign w:val="bottom"/>
          </w:tcPr>
          <w:p>
            <w:pPr>
              <w:spacing w:after="0"/>
              <w:rPr>
                <w:sz w:val="18"/>
                <w:szCs w:val="18"/>
                <w:color w:val="auto"/>
              </w:rPr>
            </w:pPr>
          </w:p>
        </w:tc>
      </w:tr>
      <w:tr>
        <w:trPr>
          <w:trHeight w:val="216"/>
        </w:trPr>
        <w:tc>
          <w:tcPr>
            <w:tcW w:w="598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5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7</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10</w:t>
            </w:r>
          </w:p>
        </w:tc>
        <w:tc>
          <w:tcPr>
            <w:tcW w:w="920" w:type="dxa"/>
            <w:vAlign w:val="bottom"/>
          </w:tcPr>
          <w:p>
            <w:pPr>
              <w:spacing w:after="0"/>
              <w:rPr>
                <w:sz w:val="18"/>
                <w:szCs w:val="18"/>
                <w:color w:val="auto"/>
              </w:rPr>
            </w:pPr>
          </w:p>
        </w:tc>
      </w:tr>
      <w:tr>
        <w:trPr>
          <w:trHeight w:val="216"/>
        </w:trPr>
        <w:tc>
          <w:tcPr>
            <w:tcW w:w="598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5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3</w:t>
            </w:r>
          </w:p>
        </w:tc>
        <w:tc>
          <w:tcPr>
            <w:tcW w:w="920" w:type="dxa"/>
            <w:vAlign w:val="bottom"/>
          </w:tcPr>
          <w:p>
            <w:pPr>
              <w:spacing w:after="0"/>
              <w:rPr>
                <w:sz w:val="18"/>
                <w:szCs w:val="18"/>
                <w:color w:val="auto"/>
              </w:rPr>
            </w:pPr>
          </w:p>
        </w:tc>
      </w:tr>
      <w:tr>
        <w:trPr>
          <w:trHeight w:val="216"/>
        </w:trPr>
        <w:tc>
          <w:tcPr>
            <w:tcW w:w="5980" w:type="dxa"/>
            <w:vAlign w:val="bottom"/>
          </w:tcPr>
          <w:p>
            <w:pPr>
              <w:ind w:left="100"/>
              <w:spacing w:after="0"/>
              <w:rPr>
                <w:sz w:val="20"/>
                <w:szCs w:val="20"/>
                <w:color w:val="auto"/>
              </w:rPr>
            </w:pPr>
            <w:r>
              <w:rPr>
                <w:rFonts w:ascii="Arial" w:cs="Arial" w:eastAsia="Arial" w:hAnsi="Arial"/>
                <w:sz w:val="16"/>
                <w:szCs w:val="16"/>
                <w:color w:val="auto"/>
              </w:rPr>
              <w:t>Sempra Renewables</w:t>
            </w:r>
          </w:p>
        </w:tc>
        <w:tc>
          <w:tcPr>
            <w:tcW w:w="5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8</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4</w:t>
            </w:r>
          </w:p>
        </w:tc>
        <w:tc>
          <w:tcPr>
            <w:tcW w:w="920" w:type="dxa"/>
            <w:vAlign w:val="bottom"/>
          </w:tcPr>
          <w:p>
            <w:pPr>
              <w:spacing w:after="0"/>
              <w:rPr>
                <w:sz w:val="18"/>
                <w:szCs w:val="18"/>
                <w:color w:val="auto"/>
              </w:rPr>
            </w:pPr>
          </w:p>
        </w:tc>
      </w:tr>
      <w:tr>
        <w:trPr>
          <w:trHeight w:val="216"/>
        </w:trPr>
        <w:tc>
          <w:tcPr>
            <w:tcW w:w="598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5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23</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20</w:t>
            </w:r>
          </w:p>
        </w:tc>
        <w:tc>
          <w:tcPr>
            <w:tcW w:w="920" w:type="dxa"/>
            <w:vAlign w:val="bottom"/>
          </w:tcPr>
          <w:p>
            <w:pPr>
              <w:spacing w:after="0"/>
              <w:rPr>
                <w:sz w:val="18"/>
                <w:szCs w:val="18"/>
                <w:color w:val="auto"/>
              </w:rPr>
            </w:pPr>
          </w:p>
        </w:tc>
      </w:tr>
      <w:tr>
        <w:trPr>
          <w:trHeight w:val="216"/>
        </w:trPr>
        <w:tc>
          <w:tcPr>
            <w:tcW w:w="5980" w:type="dxa"/>
            <w:vAlign w:val="bottom"/>
          </w:tcPr>
          <w:p>
            <w:pPr>
              <w:ind w:left="80"/>
              <w:spacing w:after="0"/>
              <w:rPr>
                <w:sz w:val="20"/>
                <w:szCs w:val="20"/>
                <w:color w:val="auto"/>
              </w:rPr>
            </w:pPr>
            <w:r>
              <w:rPr>
                <w:rFonts w:ascii="Arial" w:cs="Arial" w:eastAsia="Arial" w:hAnsi="Arial"/>
                <w:sz w:val="16"/>
                <w:szCs w:val="16"/>
                <w:color w:val="auto"/>
              </w:rPr>
              <w:t>All other</w:t>
            </w:r>
          </w:p>
        </w:tc>
        <w:tc>
          <w:tcPr>
            <w:tcW w:w="5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63</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58</w:t>
            </w:r>
          </w:p>
        </w:tc>
        <w:tc>
          <w:tcPr>
            <w:tcW w:w="920" w:type="dxa"/>
            <w:vAlign w:val="bottom"/>
          </w:tcPr>
          <w:p>
            <w:pPr>
              <w:spacing w:after="0"/>
              <w:rPr>
                <w:sz w:val="18"/>
                <w:szCs w:val="18"/>
                <w:color w:val="auto"/>
              </w:rPr>
            </w:pPr>
          </w:p>
        </w:tc>
      </w:tr>
      <w:tr>
        <w:trPr>
          <w:trHeight w:val="216"/>
        </w:trPr>
        <w:tc>
          <w:tcPr>
            <w:tcW w:w="5980" w:type="dxa"/>
            <w:vAlign w:val="bottom"/>
          </w:tcPr>
          <w:p>
            <w:pPr>
              <w:ind w:left="100"/>
              <w:spacing w:after="0"/>
              <w:rPr>
                <w:sz w:val="20"/>
                <w:szCs w:val="20"/>
                <w:color w:val="auto"/>
              </w:rPr>
            </w:pPr>
            <w:r>
              <w:rPr>
                <w:rFonts w:ascii="Arial" w:cs="Arial" w:eastAsia="Arial" w:hAnsi="Arial"/>
                <w:sz w:val="16"/>
                <w:szCs w:val="16"/>
                <w:color w:val="auto"/>
              </w:rPr>
              <w:t>Intercompany eliminations</w:t>
            </w:r>
          </w:p>
        </w:tc>
        <w:tc>
          <w:tcPr>
            <w:tcW w:w="5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w:t>
            </w:r>
          </w:p>
        </w:tc>
        <w:tc>
          <w:tcPr>
            <w:tcW w:w="9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(35)</w:t>
            </w:r>
          </w:p>
        </w:tc>
        <w:tc>
          <w:tcPr>
            <w:tcW w:w="920" w:type="dxa"/>
            <w:vAlign w:val="bottom"/>
            <w:tcBorders>
              <w:bottom w:val="single" w:sz="8" w:color="auto"/>
            </w:tcBorders>
          </w:tcPr>
          <w:p>
            <w:pPr>
              <w:spacing w:after="0"/>
              <w:rPr>
                <w:sz w:val="18"/>
                <w:szCs w:val="18"/>
                <w:color w:val="auto"/>
              </w:rPr>
            </w:pPr>
          </w:p>
        </w:tc>
      </w:tr>
      <w:tr>
        <w:trPr>
          <w:trHeight w:val="216"/>
        </w:trPr>
        <w:tc>
          <w:tcPr>
            <w:tcW w:w="59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Total</w:t>
            </w:r>
          </w:p>
        </w:tc>
        <w:tc>
          <w:tcPr>
            <w:tcW w:w="58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138</w:t>
            </w:r>
          </w:p>
        </w:tc>
        <w:tc>
          <w:tcPr>
            <w:tcW w:w="9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113</w:t>
            </w:r>
          </w:p>
        </w:tc>
        <w:tc>
          <w:tcPr>
            <w:tcW w:w="920" w:type="dxa"/>
            <w:vAlign w:val="bottom"/>
            <w:tcBorders>
              <w:bottom w:val="single" w:sz="8" w:color="auto"/>
            </w:tcBorders>
          </w:tcPr>
          <w:p>
            <w:pPr>
              <w:spacing w:after="0"/>
              <w:rPr>
                <w:sz w:val="18"/>
                <w:szCs w:val="18"/>
                <w:color w:val="auto"/>
              </w:rPr>
            </w:pPr>
          </w:p>
        </w:tc>
      </w:tr>
      <w:tr>
        <w:trPr>
          <w:trHeight w:val="21"/>
        </w:trPr>
        <w:tc>
          <w:tcPr>
            <w:tcW w:w="5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7"/>
        </w:trPr>
        <w:tc>
          <w:tcPr>
            <w:tcW w:w="5980" w:type="dxa"/>
            <w:vAlign w:val="bottom"/>
          </w:tcPr>
          <w:p>
            <w:pPr>
              <w:spacing w:after="0"/>
              <w:rPr>
                <w:sz w:val="20"/>
                <w:szCs w:val="20"/>
                <w:color w:val="auto"/>
              </w:rPr>
            </w:pPr>
            <w:r>
              <w:rPr>
                <w:rFonts w:ascii="Arial" w:cs="Arial" w:eastAsia="Arial" w:hAnsi="Arial"/>
                <w:sz w:val="16"/>
                <w:szCs w:val="16"/>
                <w:color w:val="auto"/>
              </w:rPr>
              <w:t>INTEREST INCOME</w:t>
            </w: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980" w:type="dxa"/>
            <w:vAlign w:val="bottom"/>
          </w:tcPr>
          <w:p>
            <w:pPr>
              <w:ind w:left="100"/>
              <w:spacing w:after="0"/>
              <w:rPr>
                <w:sz w:val="20"/>
                <w:szCs w:val="20"/>
                <w:color w:val="auto"/>
              </w:rPr>
            </w:pPr>
            <w:r>
              <w:rPr>
                <w:rFonts w:ascii="Arial" w:cs="Arial" w:eastAsia="Arial" w:hAnsi="Arial"/>
                <w:sz w:val="16"/>
                <w:szCs w:val="16"/>
                <w:color w:val="auto"/>
              </w:rPr>
              <w:t>SDG&amp;E</w:t>
            </w:r>
          </w:p>
        </w:tc>
        <w:tc>
          <w:tcPr>
            <w:tcW w:w="580" w:type="dxa"/>
            <w:vAlign w:val="bottom"/>
          </w:tcPr>
          <w:p>
            <w:pPr>
              <w:jc w:val="right"/>
              <w:ind w:right="4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980" w:type="dxa"/>
            <w:vAlign w:val="bottom"/>
          </w:tcPr>
          <w:p>
            <w:pPr>
              <w:spacing w:after="0"/>
              <w:rPr>
                <w:sz w:val="18"/>
                <w:szCs w:val="18"/>
                <w:color w:val="auto"/>
              </w:rPr>
            </w:pPr>
          </w:p>
        </w:tc>
        <w:tc>
          <w:tcPr>
            <w:tcW w:w="1160" w:type="dxa"/>
            <w:vAlign w:val="bottom"/>
          </w:tcPr>
          <w:p>
            <w:pPr>
              <w:jc w:val="center"/>
              <w:ind w:right="79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r>
      <w:tr>
        <w:trPr>
          <w:trHeight w:val="216"/>
        </w:trPr>
        <w:tc>
          <w:tcPr>
            <w:tcW w:w="598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5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4</w:t>
            </w:r>
          </w:p>
        </w:tc>
        <w:tc>
          <w:tcPr>
            <w:tcW w:w="920" w:type="dxa"/>
            <w:vAlign w:val="bottom"/>
          </w:tcPr>
          <w:p>
            <w:pPr>
              <w:spacing w:after="0"/>
              <w:rPr>
                <w:sz w:val="18"/>
                <w:szCs w:val="18"/>
                <w:color w:val="auto"/>
              </w:rPr>
            </w:pPr>
          </w:p>
        </w:tc>
      </w:tr>
      <w:tr>
        <w:trPr>
          <w:trHeight w:val="216"/>
        </w:trPr>
        <w:tc>
          <w:tcPr>
            <w:tcW w:w="598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5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r>
      <w:tr>
        <w:trPr>
          <w:trHeight w:val="216"/>
        </w:trPr>
        <w:tc>
          <w:tcPr>
            <w:tcW w:w="5980" w:type="dxa"/>
            <w:vAlign w:val="bottom"/>
          </w:tcPr>
          <w:p>
            <w:pPr>
              <w:ind w:left="100"/>
              <w:spacing w:after="0"/>
              <w:rPr>
                <w:sz w:val="20"/>
                <w:szCs w:val="20"/>
                <w:color w:val="auto"/>
              </w:rPr>
            </w:pPr>
            <w:r>
              <w:rPr>
                <w:rFonts w:ascii="Arial" w:cs="Arial" w:eastAsia="Arial" w:hAnsi="Arial"/>
                <w:sz w:val="16"/>
                <w:szCs w:val="16"/>
                <w:color w:val="auto"/>
              </w:rPr>
              <w:t>Sempra Renewables</w:t>
            </w:r>
          </w:p>
        </w:tc>
        <w:tc>
          <w:tcPr>
            <w:tcW w:w="5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r>
      <w:tr>
        <w:trPr>
          <w:trHeight w:val="216"/>
        </w:trPr>
        <w:tc>
          <w:tcPr>
            <w:tcW w:w="598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5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11</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11</w:t>
            </w:r>
          </w:p>
        </w:tc>
        <w:tc>
          <w:tcPr>
            <w:tcW w:w="920" w:type="dxa"/>
            <w:vAlign w:val="bottom"/>
          </w:tcPr>
          <w:p>
            <w:pPr>
              <w:spacing w:after="0"/>
              <w:rPr>
                <w:sz w:val="18"/>
                <w:szCs w:val="18"/>
                <w:color w:val="auto"/>
              </w:rPr>
            </w:pPr>
          </w:p>
        </w:tc>
      </w:tr>
      <w:tr>
        <w:trPr>
          <w:trHeight w:val="216"/>
        </w:trPr>
        <w:tc>
          <w:tcPr>
            <w:tcW w:w="5980" w:type="dxa"/>
            <w:vAlign w:val="bottom"/>
          </w:tcPr>
          <w:p>
            <w:pPr>
              <w:ind w:left="80"/>
              <w:spacing w:after="0"/>
              <w:rPr>
                <w:sz w:val="20"/>
                <w:szCs w:val="20"/>
                <w:color w:val="auto"/>
              </w:rPr>
            </w:pPr>
            <w:r>
              <w:rPr>
                <w:rFonts w:ascii="Arial" w:cs="Arial" w:eastAsia="Arial" w:hAnsi="Arial"/>
                <w:sz w:val="16"/>
                <w:szCs w:val="16"/>
                <w:color w:val="auto"/>
              </w:rPr>
              <w:t>All other</w:t>
            </w:r>
          </w:p>
        </w:tc>
        <w:tc>
          <w:tcPr>
            <w:tcW w:w="5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1</w:t>
            </w:r>
          </w:p>
        </w:tc>
        <w:tc>
          <w:tcPr>
            <w:tcW w:w="920" w:type="dxa"/>
            <w:vAlign w:val="bottom"/>
          </w:tcPr>
          <w:p>
            <w:pPr>
              <w:spacing w:after="0"/>
              <w:rPr>
                <w:sz w:val="18"/>
                <w:szCs w:val="18"/>
                <w:color w:val="auto"/>
              </w:rPr>
            </w:pPr>
          </w:p>
        </w:tc>
      </w:tr>
      <w:tr>
        <w:trPr>
          <w:trHeight w:val="216"/>
        </w:trPr>
        <w:tc>
          <w:tcPr>
            <w:tcW w:w="5980" w:type="dxa"/>
            <w:vAlign w:val="bottom"/>
          </w:tcPr>
          <w:p>
            <w:pPr>
              <w:ind w:left="100"/>
              <w:spacing w:after="0"/>
              <w:rPr>
                <w:sz w:val="20"/>
                <w:szCs w:val="20"/>
                <w:color w:val="auto"/>
              </w:rPr>
            </w:pPr>
            <w:r>
              <w:rPr>
                <w:rFonts w:ascii="Arial" w:cs="Arial" w:eastAsia="Arial" w:hAnsi="Arial"/>
                <w:sz w:val="16"/>
                <w:szCs w:val="16"/>
                <w:color w:val="auto"/>
              </w:rPr>
              <w:t>Intercompany eliminations</w:t>
            </w:r>
          </w:p>
        </w:tc>
        <w:tc>
          <w:tcPr>
            <w:tcW w:w="5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w:t>
            </w:r>
          </w:p>
        </w:tc>
        <w:tc>
          <w:tcPr>
            <w:tcW w:w="9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(11)</w:t>
            </w:r>
          </w:p>
        </w:tc>
        <w:tc>
          <w:tcPr>
            <w:tcW w:w="920" w:type="dxa"/>
            <w:vAlign w:val="bottom"/>
            <w:tcBorders>
              <w:bottom w:val="single" w:sz="8" w:color="auto"/>
            </w:tcBorders>
          </w:tcPr>
          <w:p>
            <w:pPr>
              <w:spacing w:after="0"/>
              <w:rPr>
                <w:sz w:val="18"/>
                <w:szCs w:val="18"/>
                <w:color w:val="auto"/>
              </w:rPr>
            </w:pPr>
          </w:p>
        </w:tc>
      </w:tr>
      <w:tr>
        <w:trPr>
          <w:trHeight w:val="216"/>
        </w:trPr>
        <w:tc>
          <w:tcPr>
            <w:tcW w:w="59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Total</w:t>
            </w:r>
          </w:p>
        </w:tc>
        <w:tc>
          <w:tcPr>
            <w:tcW w:w="58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w:t>
            </w:r>
          </w:p>
        </w:tc>
        <w:tc>
          <w:tcPr>
            <w:tcW w:w="9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w:t>
            </w:r>
          </w:p>
        </w:tc>
        <w:tc>
          <w:tcPr>
            <w:tcW w:w="920" w:type="dxa"/>
            <w:vAlign w:val="bottom"/>
            <w:tcBorders>
              <w:bottom w:val="single" w:sz="8" w:color="auto"/>
            </w:tcBorders>
          </w:tcPr>
          <w:p>
            <w:pPr>
              <w:spacing w:after="0"/>
              <w:rPr>
                <w:sz w:val="18"/>
                <w:szCs w:val="18"/>
                <w:color w:val="auto"/>
              </w:rPr>
            </w:pPr>
          </w:p>
        </w:tc>
      </w:tr>
      <w:tr>
        <w:trPr>
          <w:trHeight w:val="21"/>
        </w:trPr>
        <w:tc>
          <w:tcPr>
            <w:tcW w:w="5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4"/>
        </w:trPr>
        <w:tc>
          <w:tcPr>
            <w:tcW w:w="59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5"/>
        </w:trPr>
        <w:tc>
          <w:tcPr>
            <w:tcW w:w="5980" w:type="dxa"/>
            <w:vAlign w:val="bottom"/>
          </w:tcPr>
          <w:p>
            <w:pPr>
              <w:ind w:left="100"/>
              <w:spacing w:after="0"/>
              <w:rPr>
                <w:sz w:val="20"/>
                <w:szCs w:val="20"/>
                <w:color w:val="auto"/>
              </w:rPr>
            </w:pPr>
            <w:r>
              <w:rPr>
                <w:rFonts w:ascii="Arial" w:cs="Arial" w:eastAsia="Arial" w:hAnsi="Arial"/>
                <w:sz w:val="16"/>
                <w:szCs w:val="16"/>
                <w:color w:val="auto"/>
              </w:rPr>
              <w:t>SDG&amp;E</w:t>
            </w:r>
          </w:p>
        </w:tc>
        <w:tc>
          <w:tcPr>
            <w:tcW w:w="580" w:type="dxa"/>
            <w:vAlign w:val="bottom"/>
          </w:tcPr>
          <w:p>
            <w:pPr>
              <w:jc w:val="right"/>
              <w:ind w:right="4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134</w:t>
            </w:r>
          </w:p>
        </w:tc>
        <w:tc>
          <w:tcPr>
            <w:tcW w:w="980" w:type="dxa"/>
            <w:vAlign w:val="bottom"/>
          </w:tcPr>
          <w:p>
            <w:pPr>
              <w:jc w:val="right"/>
              <w:spacing w:after="0"/>
              <w:rPr>
                <w:sz w:val="20"/>
                <w:szCs w:val="20"/>
                <w:color w:val="auto"/>
              </w:rPr>
            </w:pPr>
            <w:r>
              <w:rPr>
                <w:rFonts w:ascii="Arial" w:cs="Arial" w:eastAsia="Arial" w:hAnsi="Arial"/>
                <w:sz w:val="16"/>
                <w:szCs w:val="16"/>
                <w:color w:val="auto"/>
              </w:rPr>
              <w:t>45 %</w:t>
            </w:r>
          </w:p>
        </w:tc>
        <w:tc>
          <w:tcPr>
            <w:tcW w:w="1160" w:type="dxa"/>
            <w:vAlign w:val="bottom"/>
          </w:tcPr>
          <w:p>
            <w:pPr>
              <w:jc w:val="center"/>
              <w:ind w:right="79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112</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44 %</w:t>
            </w:r>
          </w:p>
        </w:tc>
      </w:tr>
      <w:tr>
        <w:trPr>
          <w:trHeight w:val="216"/>
        </w:trPr>
        <w:tc>
          <w:tcPr>
            <w:tcW w:w="5980" w:type="dxa"/>
            <w:vAlign w:val="bottom"/>
          </w:tcPr>
          <w:p>
            <w:pPr>
              <w:ind w:left="100"/>
              <w:spacing w:after="0"/>
              <w:rPr>
                <w:sz w:val="20"/>
                <w:szCs w:val="20"/>
                <w:color w:val="auto"/>
              </w:rPr>
            </w:pPr>
            <w:r>
              <w:rPr>
                <w:rFonts w:ascii="Arial" w:cs="Arial" w:eastAsia="Arial" w:hAnsi="Arial"/>
                <w:sz w:val="16"/>
                <w:szCs w:val="16"/>
                <w:color w:val="auto"/>
              </w:rPr>
              <w:t>SoCalGas</w:t>
            </w:r>
          </w:p>
        </w:tc>
        <w:tc>
          <w:tcPr>
            <w:tcW w:w="5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100</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34</w:t>
            </w:r>
          </w:p>
        </w:tc>
        <w:tc>
          <w:tcPr>
            <w:tcW w:w="116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87</w:t>
            </w: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34</w:t>
            </w:r>
          </w:p>
        </w:tc>
      </w:tr>
      <w:tr>
        <w:trPr>
          <w:trHeight w:val="216"/>
        </w:trPr>
        <w:tc>
          <w:tcPr>
            <w:tcW w:w="598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5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15</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5</w:t>
            </w:r>
          </w:p>
        </w:tc>
        <w:tc>
          <w:tcPr>
            <w:tcW w:w="116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13</w:t>
            </w: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5</w:t>
            </w:r>
          </w:p>
        </w:tc>
      </w:tr>
      <w:tr>
        <w:trPr>
          <w:trHeight w:val="216"/>
        </w:trPr>
        <w:tc>
          <w:tcPr>
            <w:tcW w:w="598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5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5</w:t>
            </w:r>
          </w:p>
        </w:tc>
        <w:tc>
          <w:tcPr>
            <w:tcW w:w="116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16</w:t>
            </w: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6</w:t>
            </w:r>
          </w:p>
        </w:tc>
      </w:tr>
      <w:tr>
        <w:trPr>
          <w:trHeight w:val="216"/>
        </w:trPr>
        <w:tc>
          <w:tcPr>
            <w:tcW w:w="5980" w:type="dxa"/>
            <w:vAlign w:val="bottom"/>
          </w:tcPr>
          <w:p>
            <w:pPr>
              <w:ind w:left="100"/>
              <w:spacing w:after="0"/>
              <w:rPr>
                <w:sz w:val="20"/>
                <w:szCs w:val="20"/>
                <w:color w:val="auto"/>
              </w:rPr>
            </w:pPr>
            <w:r>
              <w:rPr>
                <w:rFonts w:ascii="Arial" w:cs="Arial" w:eastAsia="Arial" w:hAnsi="Arial"/>
                <w:sz w:val="16"/>
                <w:szCs w:val="16"/>
                <w:color w:val="auto"/>
              </w:rPr>
              <w:t>Sempra Renewables</w:t>
            </w:r>
          </w:p>
        </w:tc>
        <w:tc>
          <w:tcPr>
            <w:tcW w:w="5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8</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3</w:t>
            </w:r>
          </w:p>
        </w:tc>
        <w:tc>
          <w:tcPr>
            <w:tcW w:w="116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3</w:t>
            </w: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1</w:t>
            </w:r>
          </w:p>
        </w:tc>
      </w:tr>
      <w:tr>
        <w:trPr>
          <w:trHeight w:val="216"/>
        </w:trPr>
        <w:tc>
          <w:tcPr>
            <w:tcW w:w="598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5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20</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7</w:t>
            </w:r>
          </w:p>
        </w:tc>
        <w:tc>
          <w:tcPr>
            <w:tcW w:w="116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23</w:t>
            </w: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9</w:t>
            </w:r>
          </w:p>
        </w:tc>
      </w:tr>
      <w:tr>
        <w:trPr>
          <w:trHeight w:val="216"/>
        </w:trPr>
        <w:tc>
          <w:tcPr>
            <w:tcW w:w="5980" w:type="dxa"/>
            <w:vAlign w:val="bottom"/>
          </w:tcPr>
          <w:p>
            <w:pPr>
              <w:ind w:left="80"/>
              <w:spacing w:after="0"/>
              <w:rPr>
                <w:sz w:val="20"/>
                <w:szCs w:val="20"/>
                <w:color w:val="auto"/>
              </w:rPr>
            </w:pPr>
            <w:r>
              <w:rPr>
                <w:rFonts w:ascii="Arial" w:cs="Arial" w:eastAsia="Arial" w:hAnsi="Arial"/>
                <w:sz w:val="16"/>
                <w:szCs w:val="16"/>
                <w:color w:val="auto"/>
              </w:rPr>
              <w:t>All other</w:t>
            </w:r>
          </w:p>
        </w:tc>
        <w:tc>
          <w:tcPr>
            <w:tcW w:w="5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w:t>
            </w: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w:t>
            </w:r>
          </w:p>
        </w:tc>
        <w:tc>
          <w:tcPr>
            <w:tcW w:w="1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w:t>
            </w: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r>
      <w:tr>
        <w:trPr>
          <w:trHeight w:val="189"/>
        </w:trPr>
        <w:tc>
          <w:tcPr>
            <w:tcW w:w="59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Total</w:t>
            </w:r>
          </w:p>
        </w:tc>
        <w:tc>
          <w:tcPr>
            <w:tcW w:w="58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160" w:type="dxa"/>
            <w:vAlign w:val="bottom"/>
            <w:tcBorders>
              <w:bottom w:val="single" w:sz="8" w:color="auto"/>
            </w:tcBorders>
          </w:tcPr>
          <w:p>
            <w:pPr>
              <w:jc w:val="center"/>
              <w:ind w:right="7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257</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100 %</w:t>
            </w:r>
          </w:p>
        </w:tc>
      </w:tr>
      <w:tr>
        <w:trPr>
          <w:trHeight w:val="21"/>
        </w:trPr>
        <w:tc>
          <w:tcPr>
            <w:tcW w:w="5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0"/>
        </w:trPr>
        <w:tc>
          <w:tcPr>
            <w:tcW w:w="598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6"/>
        </w:trPr>
        <w:tc>
          <w:tcPr>
            <w:tcW w:w="5980" w:type="dxa"/>
            <w:vAlign w:val="bottom"/>
          </w:tcPr>
          <w:p>
            <w:pPr>
              <w:ind w:left="100"/>
              <w:spacing w:after="0"/>
              <w:rPr>
                <w:sz w:val="20"/>
                <w:szCs w:val="20"/>
                <w:color w:val="auto"/>
              </w:rPr>
            </w:pPr>
            <w:r>
              <w:rPr>
                <w:rFonts w:ascii="Arial" w:cs="Arial" w:eastAsia="Arial" w:hAnsi="Arial"/>
                <w:sz w:val="16"/>
                <w:szCs w:val="16"/>
                <w:color w:val="auto"/>
              </w:rPr>
              <w:t>SDG&amp;E</w:t>
            </w:r>
          </w:p>
        </w:tc>
        <w:tc>
          <w:tcPr>
            <w:tcW w:w="580" w:type="dxa"/>
            <w:vAlign w:val="bottom"/>
          </w:tcPr>
          <w:p>
            <w:pPr>
              <w:jc w:val="right"/>
              <w:ind w:right="4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51</w:t>
            </w:r>
          </w:p>
        </w:tc>
        <w:tc>
          <w:tcPr>
            <w:tcW w:w="980" w:type="dxa"/>
            <w:vAlign w:val="bottom"/>
          </w:tcPr>
          <w:p>
            <w:pPr>
              <w:spacing w:after="0"/>
              <w:rPr>
                <w:sz w:val="18"/>
                <w:szCs w:val="18"/>
                <w:color w:val="auto"/>
              </w:rPr>
            </w:pPr>
          </w:p>
        </w:tc>
        <w:tc>
          <w:tcPr>
            <w:tcW w:w="1160" w:type="dxa"/>
            <w:vAlign w:val="bottom"/>
          </w:tcPr>
          <w:p>
            <w:pPr>
              <w:jc w:val="center"/>
              <w:ind w:right="79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60</w:t>
            </w:r>
          </w:p>
        </w:tc>
        <w:tc>
          <w:tcPr>
            <w:tcW w:w="920" w:type="dxa"/>
            <w:vAlign w:val="bottom"/>
          </w:tcPr>
          <w:p>
            <w:pPr>
              <w:spacing w:after="0"/>
              <w:rPr>
                <w:sz w:val="18"/>
                <w:szCs w:val="18"/>
                <w:color w:val="auto"/>
              </w:rPr>
            </w:pPr>
          </w:p>
        </w:tc>
      </w:tr>
      <w:tr>
        <w:trPr>
          <w:trHeight w:val="216"/>
        </w:trPr>
        <w:tc>
          <w:tcPr>
            <w:tcW w:w="5980" w:type="dxa"/>
            <w:vAlign w:val="bottom"/>
          </w:tcPr>
          <w:p>
            <w:pPr>
              <w:ind w:left="100"/>
              <w:spacing w:after="0"/>
              <w:rPr>
                <w:sz w:val="20"/>
                <w:szCs w:val="20"/>
                <w:color w:val="auto"/>
              </w:rPr>
            </w:pPr>
            <w:r>
              <w:rPr>
                <w:rFonts w:ascii="Arial" w:cs="Arial" w:eastAsia="Arial" w:hAnsi="Arial"/>
                <w:sz w:val="16"/>
                <w:szCs w:val="16"/>
                <w:color w:val="auto"/>
              </w:rPr>
              <w:t>SoCalGas</w:t>
            </w:r>
          </w:p>
        </w:tc>
        <w:tc>
          <w:tcPr>
            <w:tcW w:w="5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24</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40</w:t>
            </w:r>
          </w:p>
        </w:tc>
        <w:tc>
          <w:tcPr>
            <w:tcW w:w="920" w:type="dxa"/>
            <w:vAlign w:val="bottom"/>
          </w:tcPr>
          <w:p>
            <w:pPr>
              <w:spacing w:after="0"/>
              <w:rPr>
                <w:sz w:val="18"/>
                <w:szCs w:val="18"/>
                <w:color w:val="auto"/>
              </w:rPr>
            </w:pPr>
          </w:p>
        </w:tc>
      </w:tr>
      <w:tr>
        <w:trPr>
          <w:trHeight w:val="216"/>
        </w:trPr>
        <w:tc>
          <w:tcPr>
            <w:tcW w:w="598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5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17</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13</w:t>
            </w:r>
          </w:p>
        </w:tc>
        <w:tc>
          <w:tcPr>
            <w:tcW w:w="920" w:type="dxa"/>
            <w:vAlign w:val="bottom"/>
          </w:tcPr>
          <w:p>
            <w:pPr>
              <w:spacing w:after="0"/>
              <w:rPr>
                <w:sz w:val="18"/>
                <w:szCs w:val="18"/>
                <w:color w:val="auto"/>
              </w:rPr>
            </w:pPr>
          </w:p>
        </w:tc>
      </w:tr>
      <w:tr>
        <w:trPr>
          <w:trHeight w:val="216"/>
        </w:trPr>
        <w:tc>
          <w:tcPr>
            <w:tcW w:w="598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5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26</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35</w:t>
            </w:r>
          </w:p>
        </w:tc>
        <w:tc>
          <w:tcPr>
            <w:tcW w:w="920" w:type="dxa"/>
            <w:vAlign w:val="bottom"/>
          </w:tcPr>
          <w:p>
            <w:pPr>
              <w:spacing w:after="0"/>
              <w:rPr>
                <w:sz w:val="18"/>
                <w:szCs w:val="18"/>
                <w:color w:val="auto"/>
              </w:rPr>
            </w:pPr>
          </w:p>
        </w:tc>
      </w:tr>
      <w:tr>
        <w:trPr>
          <w:trHeight w:val="216"/>
        </w:trPr>
        <w:tc>
          <w:tcPr>
            <w:tcW w:w="5980" w:type="dxa"/>
            <w:vAlign w:val="bottom"/>
          </w:tcPr>
          <w:p>
            <w:pPr>
              <w:ind w:left="100"/>
              <w:spacing w:after="0"/>
              <w:rPr>
                <w:sz w:val="20"/>
                <w:szCs w:val="20"/>
                <w:color w:val="auto"/>
              </w:rPr>
            </w:pPr>
            <w:r>
              <w:rPr>
                <w:rFonts w:ascii="Arial" w:cs="Arial" w:eastAsia="Arial" w:hAnsi="Arial"/>
                <w:sz w:val="16"/>
                <w:szCs w:val="16"/>
                <w:color w:val="auto"/>
              </w:rPr>
              <w:t>Sempra Renewables</w:t>
            </w:r>
          </w:p>
        </w:tc>
        <w:tc>
          <w:tcPr>
            <w:tcW w:w="5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jc w:val="right"/>
              <w:ind w:right="199"/>
              <w:spacing w:after="0"/>
              <w:rPr>
                <w:sz w:val="20"/>
                <w:szCs w:val="20"/>
                <w:color w:val="auto"/>
              </w:rPr>
            </w:pPr>
            <w:r>
              <w:rPr>
                <w:rFonts w:ascii="Arial" w:cs="Arial" w:eastAsia="Arial" w:hAnsi="Arial"/>
                <w:sz w:val="16"/>
                <w:szCs w:val="16"/>
                <w:color w:val="auto"/>
              </w:rPr>
              <w:t>(17)</w:t>
            </w:r>
          </w:p>
        </w:tc>
        <w:tc>
          <w:tcPr>
            <w:tcW w:w="920" w:type="dxa"/>
            <w:vAlign w:val="bottom"/>
          </w:tcPr>
          <w:p>
            <w:pPr>
              <w:spacing w:after="0"/>
              <w:rPr>
                <w:sz w:val="18"/>
                <w:szCs w:val="18"/>
                <w:color w:val="auto"/>
              </w:rPr>
            </w:pPr>
          </w:p>
        </w:tc>
      </w:tr>
      <w:tr>
        <w:trPr>
          <w:trHeight w:val="210"/>
        </w:trPr>
        <w:tc>
          <w:tcPr>
            <w:tcW w:w="598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5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33</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2</w:t>
            </w:r>
          </w:p>
        </w:tc>
        <w:tc>
          <w:tcPr>
            <w:tcW w:w="920" w:type="dxa"/>
            <w:vAlign w:val="bottom"/>
          </w:tcPr>
          <w:p>
            <w:pPr>
              <w:spacing w:after="0"/>
              <w:rPr>
                <w:sz w:val="18"/>
                <w:szCs w:val="18"/>
                <w:color w:val="auto"/>
              </w:rPr>
            </w:pPr>
          </w:p>
        </w:tc>
      </w:tr>
      <w:tr>
        <w:trPr>
          <w:trHeight w:val="195"/>
        </w:trPr>
        <w:tc>
          <w:tcPr>
            <w:tcW w:w="5980" w:type="dxa"/>
            <w:vAlign w:val="bottom"/>
          </w:tcPr>
          <w:p>
            <w:pPr>
              <w:ind w:left="80"/>
              <w:spacing w:after="0"/>
              <w:rPr>
                <w:sz w:val="20"/>
                <w:szCs w:val="20"/>
                <w:color w:val="auto"/>
              </w:rPr>
            </w:pPr>
            <w:r>
              <w:rPr>
                <w:rFonts w:ascii="Arial" w:cs="Arial" w:eastAsia="Arial" w:hAnsi="Arial"/>
                <w:sz w:val="16"/>
                <w:szCs w:val="16"/>
                <w:color w:val="auto"/>
              </w:rPr>
              <w:t>All other</w:t>
            </w:r>
          </w:p>
        </w:tc>
        <w:tc>
          <w:tcPr>
            <w:tcW w:w="580" w:type="dxa"/>
            <w:vAlign w:val="bottom"/>
          </w:tcPr>
          <w:p>
            <w:pPr>
              <w:spacing w:after="0"/>
              <w:rPr>
                <w:sz w:val="16"/>
                <w:szCs w:val="16"/>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35</w:t>
            </w: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jc w:val="right"/>
              <w:ind w:right="199"/>
              <w:spacing w:after="0"/>
              <w:rPr>
                <w:sz w:val="20"/>
                <w:szCs w:val="20"/>
                <w:color w:val="auto"/>
              </w:rPr>
            </w:pPr>
            <w:r>
              <w:rPr>
                <w:rFonts w:ascii="Arial" w:cs="Arial" w:eastAsia="Arial" w:hAnsi="Arial"/>
                <w:sz w:val="16"/>
                <w:szCs w:val="16"/>
                <w:color w:val="auto"/>
              </w:rPr>
              <w:t>(16)</w:t>
            </w:r>
          </w:p>
        </w:tc>
        <w:tc>
          <w:tcPr>
            <w:tcW w:w="920" w:type="dxa"/>
            <w:vAlign w:val="bottom"/>
          </w:tcPr>
          <w:p>
            <w:pPr>
              <w:spacing w:after="0"/>
              <w:rPr>
                <w:sz w:val="16"/>
                <w:szCs w:val="16"/>
                <w:color w:val="auto"/>
              </w:rPr>
            </w:pPr>
          </w:p>
        </w:tc>
      </w:tr>
    </w:tbl>
    <w:p>
      <w:pPr>
        <w:sectPr>
          <w:pgSz w:w="11900" w:h="16918" w:orient="portrait"/>
          <w:cols w:equalWidth="0" w:num="1">
            <w:col w:w="11420"/>
          </w:cols>
          <w:pgMar w:left="240" w:top="125" w:right="239" w:bottom="0" w:gutter="0" w:footer="0" w:header="0"/>
        </w:sectPr>
      </w:pPr>
    </w:p>
    <w:bookmarkStart w:id="45" w:name="page46"/>
    <w:bookmarkEnd w:id="45"/>
    <w:p>
      <w:pPr>
        <w:ind w:left="280"/>
        <w:spacing w:after="0"/>
        <w:tabs>
          <w:tab w:leader="none" w:pos="5960" w:val="left"/>
          <w:tab w:leader="none" w:pos="7160" w:val="left"/>
          <w:tab w:leader="none" w:pos="8660" w:val="left"/>
          <w:tab w:leader="none" w:pos="988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3947795</wp:posOffset>
            </wp:positionH>
            <wp:positionV relativeFrom="page">
              <wp:posOffset>226060</wp:posOffset>
            </wp:positionV>
            <wp:extent cx="345630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56305" cy="17145"/>
                    </a:xfrm>
                    <a:prstGeom prst="rect">
                      <a:avLst/>
                    </a:prstGeom>
                    <a:noFill/>
                  </pic:spPr>
                </pic:pic>
              </a:graphicData>
            </a:graphic>
          </wp:anchor>
        </w:drawing>
        <w:t>Total</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178</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2832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INFORMATION (Continued)</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9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3"/>
          </w:tcPr>
          <w:p>
            <w:pPr>
              <w:jc w:val="center"/>
              <w:ind w:right="839"/>
              <w:spacing w:after="0"/>
              <w:rPr>
                <w:sz w:val="20"/>
                <w:szCs w:val="20"/>
                <w:color w:val="auto"/>
              </w:rPr>
            </w:pPr>
            <w:r>
              <w:rPr>
                <w:rFonts w:ascii="Arial" w:cs="Arial" w:eastAsia="Arial" w:hAnsi="Arial"/>
                <w:sz w:val="14"/>
                <w:szCs w:val="14"/>
                <w:color w:val="auto"/>
              </w:rPr>
              <w:t>Three months ended March 31,</w:t>
            </w:r>
          </w:p>
        </w:tc>
        <w:tc>
          <w:tcPr>
            <w:tcW w:w="700" w:type="dxa"/>
            <w:vAlign w:val="bottom"/>
            <w:tcBorders>
              <w:bottom w:val="single" w:sz="8" w:color="auto"/>
            </w:tcBorders>
          </w:tcPr>
          <w:p>
            <w:pPr>
              <w:spacing w:after="0"/>
              <w:rPr>
                <w:sz w:val="14"/>
                <w:szCs w:val="14"/>
                <w:color w:val="auto"/>
              </w:rPr>
            </w:pPr>
          </w:p>
        </w:tc>
      </w:tr>
      <w:tr>
        <w:trPr>
          <w:trHeight w:val="223"/>
        </w:trPr>
        <w:tc>
          <w:tcPr>
            <w:tcW w:w="5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2013</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color w:val="auto"/>
              </w:rPr>
              <w:t>2012</w:t>
            </w:r>
          </w:p>
        </w:tc>
        <w:tc>
          <w:tcPr>
            <w:tcW w:w="700" w:type="dxa"/>
            <w:vAlign w:val="bottom"/>
            <w:tcBorders>
              <w:bottom w:val="single" w:sz="8" w:color="auto"/>
            </w:tcBorders>
          </w:tcPr>
          <w:p>
            <w:pPr>
              <w:spacing w:after="0"/>
              <w:rPr>
                <w:sz w:val="19"/>
                <w:szCs w:val="19"/>
                <w:color w:val="auto"/>
              </w:rPr>
            </w:pPr>
          </w:p>
        </w:tc>
      </w:tr>
      <w:tr>
        <w:trPr>
          <w:trHeight w:val="224"/>
        </w:trPr>
        <w:tc>
          <w:tcPr>
            <w:tcW w:w="5980" w:type="dxa"/>
            <w:vAlign w:val="bottom"/>
          </w:tcPr>
          <w:p>
            <w:pPr>
              <w:spacing w:after="0"/>
              <w:rPr>
                <w:sz w:val="20"/>
                <w:szCs w:val="20"/>
                <w:color w:val="auto"/>
              </w:rPr>
            </w:pPr>
            <w:r>
              <w:rPr>
                <w:rFonts w:ascii="Arial" w:cs="Arial" w:eastAsia="Arial" w:hAnsi="Arial"/>
                <w:sz w:val="16"/>
                <w:szCs w:val="16"/>
                <w:color w:val="auto"/>
              </w:rPr>
              <w:t>EQUITY EARNINGS (LOSSES)</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6"/>
        </w:trPr>
        <w:tc>
          <w:tcPr>
            <w:tcW w:w="5980" w:type="dxa"/>
            <w:vAlign w:val="bottom"/>
          </w:tcPr>
          <w:p>
            <w:pPr>
              <w:ind w:left="60"/>
              <w:spacing w:after="0"/>
              <w:rPr>
                <w:sz w:val="20"/>
                <w:szCs w:val="20"/>
                <w:color w:val="auto"/>
              </w:rPr>
            </w:pPr>
            <w:r>
              <w:rPr>
                <w:rFonts w:ascii="Arial" w:cs="Arial" w:eastAsia="Arial" w:hAnsi="Arial"/>
                <w:sz w:val="16"/>
                <w:szCs w:val="16"/>
                <w:color w:val="auto"/>
              </w:rPr>
              <w:t>Earnings recorded before tax:</w:t>
            </w: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6"/>
                <w:szCs w:val="16"/>
                <w:color w:val="auto"/>
              </w:rPr>
              <w:t>Sempra Renewables</w:t>
            </w: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980" w:type="dxa"/>
            <w:vAlign w:val="bottom"/>
          </w:tcPr>
          <w:p>
            <w:pPr>
              <w:spacing w:after="0"/>
              <w:rPr>
                <w:sz w:val="18"/>
                <w:szCs w:val="18"/>
                <w:color w:val="auto"/>
              </w:rPr>
            </w:pPr>
          </w:p>
        </w:tc>
        <w:tc>
          <w:tcPr>
            <w:tcW w:w="520" w:type="dxa"/>
            <w:vAlign w:val="bottom"/>
          </w:tcPr>
          <w:p>
            <w:pPr>
              <w:jc w:val="center"/>
              <w:ind w:right="15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459"/>
              <w:spacing w:after="0"/>
              <w:rPr>
                <w:sz w:val="20"/>
                <w:szCs w:val="20"/>
                <w:color w:val="auto"/>
              </w:rPr>
            </w:pPr>
            <w:r>
              <w:rPr>
                <w:rFonts w:ascii="Arial" w:cs="Arial" w:eastAsia="Arial" w:hAnsi="Arial"/>
                <w:sz w:val="16"/>
                <w:szCs w:val="16"/>
                <w:color w:val="auto"/>
              </w:rPr>
              <w:t>1</w:t>
            </w:r>
          </w:p>
        </w:tc>
        <w:tc>
          <w:tcPr>
            <w:tcW w:w="700" w:type="dxa"/>
            <w:vAlign w:val="bottom"/>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6"/>
                <w:szCs w:val="16"/>
                <w:color w:val="auto"/>
              </w:rPr>
              <w:t>Sempra Natural Gas</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11</w:t>
            </w:r>
          </w:p>
        </w:tc>
        <w:tc>
          <w:tcPr>
            <w:tcW w:w="700" w:type="dxa"/>
            <w:vAlign w:val="bottom"/>
            <w:tcBorders>
              <w:bottom w:val="single" w:sz="8" w:color="auto"/>
            </w:tcBorders>
          </w:tcPr>
          <w:p>
            <w:pPr>
              <w:spacing w:after="0"/>
              <w:rPr>
                <w:sz w:val="18"/>
                <w:szCs w:val="18"/>
                <w:color w:val="auto"/>
              </w:rPr>
            </w:pPr>
          </w:p>
        </w:tc>
      </w:tr>
      <w:tr>
        <w:trPr>
          <w:trHeight w:val="223"/>
        </w:trPr>
        <w:tc>
          <w:tcPr>
            <w:tcW w:w="5980" w:type="dxa"/>
            <w:vAlign w:val="bottom"/>
          </w:tcPr>
          <w:p>
            <w:pPr>
              <w:ind w:left="320"/>
              <w:spacing w:after="0"/>
              <w:rPr>
                <w:sz w:val="20"/>
                <w:szCs w:val="20"/>
                <w:color w:val="auto"/>
              </w:rPr>
            </w:pPr>
            <w:r>
              <w:rPr>
                <w:rFonts w:ascii="Arial" w:cs="Arial" w:eastAsia="Arial" w:hAnsi="Arial"/>
                <w:sz w:val="16"/>
                <w:szCs w:val="16"/>
                <w:color w:val="auto"/>
              </w:rPr>
              <w:t>Total</w:t>
            </w:r>
          </w:p>
        </w:tc>
        <w:tc>
          <w:tcPr>
            <w:tcW w:w="46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12</w:t>
            </w:r>
          </w:p>
        </w:tc>
        <w:tc>
          <w:tcPr>
            <w:tcW w:w="700" w:type="dxa"/>
            <w:vAlign w:val="bottom"/>
            <w:tcBorders>
              <w:bottom w:val="single" w:sz="8" w:color="auto"/>
            </w:tcBorders>
          </w:tcPr>
          <w:p>
            <w:pPr>
              <w:spacing w:after="0"/>
              <w:rPr>
                <w:sz w:val="19"/>
                <w:szCs w:val="19"/>
                <w:color w:val="auto"/>
              </w:rPr>
            </w:pPr>
          </w:p>
        </w:tc>
      </w:tr>
      <w:tr>
        <w:trPr>
          <w:trHeight w:val="224"/>
        </w:trPr>
        <w:tc>
          <w:tcPr>
            <w:tcW w:w="5980" w:type="dxa"/>
            <w:vAlign w:val="bottom"/>
          </w:tcPr>
          <w:p>
            <w:pPr>
              <w:ind w:left="60"/>
              <w:spacing w:after="0"/>
              <w:rPr>
                <w:sz w:val="20"/>
                <w:szCs w:val="20"/>
                <w:color w:val="auto"/>
              </w:rPr>
            </w:pPr>
            <w:r>
              <w:rPr>
                <w:rFonts w:ascii="Arial" w:cs="Arial" w:eastAsia="Arial" w:hAnsi="Arial"/>
                <w:sz w:val="16"/>
                <w:szCs w:val="16"/>
                <w:color w:val="auto"/>
              </w:rPr>
              <w:t>Earnings (losses) recorded net of tax:</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6"/>
                <w:szCs w:val="16"/>
                <w:color w:val="auto"/>
              </w:rPr>
              <w:t>Sempra South American Utilities</w:t>
            </w: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980" w:type="dxa"/>
            <w:vAlign w:val="bottom"/>
          </w:tcPr>
          <w:p>
            <w:pPr>
              <w:spacing w:after="0"/>
              <w:rPr>
                <w:sz w:val="18"/>
                <w:szCs w:val="18"/>
                <w:color w:val="auto"/>
              </w:rPr>
            </w:pPr>
          </w:p>
        </w:tc>
        <w:tc>
          <w:tcPr>
            <w:tcW w:w="520" w:type="dxa"/>
            <w:vAlign w:val="bottom"/>
          </w:tcPr>
          <w:p>
            <w:pPr>
              <w:jc w:val="center"/>
              <w:ind w:right="15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6"/>
                <w:szCs w:val="16"/>
                <w:color w:val="auto"/>
              </w:rPr>
              <w:t>Sempra Mexico</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11</w:t>
            </w:r>
          </w:p>
        </w:tc>
        <w:tc>
          <w:tcPr>
            <w:tcW w:w="700" w:type="dxa"/>
            <w:vAlign w:val="bottom"/>
            <w:tcBorders>
              <w:bottom w:val="single" w:sz="8" w:color="auto"/>
            </w:tcBorders>
          </w:tcPr>
          <w:p>
            <w:pPr>
              <w:spacing w:after="0"/>
              <w:rPr>
                <w:sz w:val="18"/>
                <w:szCs w:val="18"/>
                <w:color w:val="auto"/>
              </w:rPr>
            </w:pPr>
          </w:p>
        </w:tc>
      </w:tr>
      <w:tr>
        <w:trPr>
          <w:trHeight w:val="216"/>
        </w:trPr>
        <w:tc>
          <w:tcPr>
            <w:tcW w:w="598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Total</w:t>
            </w:r>
          </w:p>
        </w:tc>
        <w:tc>
          <w:tcPr>
            <w:tcW w:w="46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11</w:t>
            </w:r>
          </w:p>
        </w:tc>
        <w:tc>
          <w:tcPr>
            <w:tcW w:w="700" w:type="dxa"/>
            <w:vAlign w:val="bottom"/>
            <w:tcBorders>
              <w:bottom w:val="single" w:sz="8" w:color="auto"/>
            </w:tcBorders>
          </w:tcPr>
          <w:p>
            <w:pPr>
              <w:spacing w:after="0"/>
              <w:rPr>
                <w:sz w:val="18"/>
                <w:szCs w:val="18"/>
                <w:color w:val="auto"/>
              </w:rPr>
            </w:pPr>
          </w:p>
        </w:tc>
      </w:tr>
      <w:tr>
        <w:trPr>
          <w:trHeight w:val="21"/>
        </w:trPr>
        <w:tc>
          <w:tcPr>
            <w:tcW w:w="5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1"/>
        </w:trPr>
        <w:tc>
          <w:tcPr>
            <w:tcW w:w="5980" w:type="dxa"/>
            <w:vAlign w:val="bottom"/>
          </w:tcPr>
          <w:p>
            <w:pPr>
              <w:spacing w:after="0"/>
              <w:rPr>
                <w:sz w:val="20"/>
                <w:szCs w:val="20"/>
                <w:color w:val="auto"/>
              </w:rPr>
            </w:pPr>
            <w:r>
              <w:rPr>
                <w:rFonts w:ascii="Arial" w:cs="Arial" w:eastAsia="Arial" w:hAnsi="Arial"/>
                <w:sz w:val="16"/>
                <w:szCs w:val="16"/>
                <w:color w:val="auto"/>
              </w:rPr>
              <w:t>EARNINGS (LOSSES)</w:t>
            </w: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95"/>
        </w:trPr>
        <w:tc>
          <w:tcPr>
            <w:tcW w:w="5980" w:type="dxa"/>
            <w:vAlign w:val="bottom"/>
          </w:tcPr>
          <w:p>
            <w:pPr>
              <w:ind w:left="140"/>
              <w:spacing w:after="0"/>
              <w:rPr>
                <w:sz w:val="20"/>
                <w:szCs w:val="20"/>
                <w:color w:val="auto"/>
              </w:rPr>
            </w:pPr>
            <w:r>
              <w:rPr>
                <w:rFonts w:ascii="Arial" w:cs="Arial" w:eastAsia="Arial" w:hAnsi="Arial"/>
                <w:sz w:val="16"/>
                <w:szCs w:val="16"/>
                <w:color w:val="auto"/>
              </w:rPr>
              <w:t>SDG&amp;E(2)</w:t>
            </w: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91</w:t>
            </w:r>
          </w:p>
        </w:tc>
        <w:tc>
          <w:tcPr>
            <w:tcW w:w="980" w:type="dxa"/>
            <w:vAlign w:val="bottom"/>
          </w:tcPr>
          <w:p>
            <w:pPr>
              <w:jc w:val="right"/>
              <w:spacing w:after="0"/>
              <w:rPr>
                <w:sz w:val="20"/>
                <w:szCs w:val="20"/>
                <w:color w:val="auto"/>
              </w:rPr>
            </w:pPr>
            <w:r>
              <w:rPr>
                <w:rFonts w:ascii="Arial" w:cs="Arial" w:eastAsia="Arial" w:hAnsi="Arial"/>
                <w:sz w:val="16"/>
                <w:szCs w:val="16"/>
                <w:color w:val="auto"/>
              </w:rPr>
              <w:t>51 %</w:t>
            </w:r>
          </w:p>
        </w:tc>
        <w:tc>
          <w:tcPr>
            <w:tcW w:w="520" w:type="dxa"/>
            <w:vAlign w:val="bottom"/>
          </w:tcPr>
          <w:p>
            <w:pPr>
              <w:jc w:val="center"/>
              <w:ind w:right="15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459"/>
              <w:spacing w:after="0"/>
              <w:rPr>
                <w:sz w:val="20"/>
                <w:szCs w:val="20"/>
                <w:color w:val="auto"/>
              </w:rPr>
            </w:pPr>
            <w:r>
              <w:rPr>
                <w:rFonts w:ascii="Arial" w:cs="Arial" w:eastAsia="Arial" w:hAnsi="Arial"/>
                <w:sz w:val="16"/>
                <w:szCs w:val="16"/>
                <w:color w:val="auto"/>
              </w:rPr>
              <w:t>105</w:t>
            </w: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45 %</w:t>
            </w:r>
          </w:p>
        </w:tc>
      </w:tr>
      <w:tr>
        <w:trPr>
          <w:trHeight w:val="216"/>
        </w:trPr>
        <w:tc>
          <w:tcPr>
            <w:tcW w:w="5980" w:type="dxa"/>
            <w:vAlign w:val="bottom"/>
          </w:tcPr>
          <w:p>
            <w:pPr>
              <w:ind w:left="140"/>
              <w:spacing w:after="0"/>
              <w:rPr>
                <w:sz w:val="20"/>
                <w:szCs w:val="20"/>
                <w:color w:val="auto"/>
              </w:rPr>
            </w:pPr>
            <w:r>
              <w:rPr>
                <w:rFonts w:ascii="Arial" w:cs="Arial" w:eastAsia="Arial" w:hAnsi="Arial"/>
                <w:sz w:val="16"/>
                <w:szCs w:val="16"/>
                <w:color w:val="auto"/>
              </w:rPr>
              <w:t>SoCalGas(2)</w:t>
            </w:r>
          </w:p>
        </w:tc>
        <w:tc>
          <w:tcPr>
            <w:tcW w:w="46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46</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26</w:t>
            </w:r>
          </w:p>
        </w:tc>
        <w:tc>
          <w:tcPr>
            <w:tcW w:w="520" w:type="dxa"/>
            <w:vAlign w:val="bottom"/>
          </w:tcPr>
          <w:p>
            <w:pPr>
              <w:spacing w:after="0"/>
              <w:rPr>
                <w:sz w:val="18"/>
                <w:szCs w:val="18"/>
                <w:color w:val="auto"/>
              </w:rPr>
            </w:pPr>
          </w:p>
        </w:tc>
        <w:tc>
          <w:tcPr>
            <w:tcW w:w="1620" w:type="dxa"/>
            <w:vAlign w:val="bottom"/>
          </w:tcPr>
          <w:p>
            <w:pPr>
              <w:jc w:val="right"/>
              <w:ind w:right="459"/>
              <w:spacing w:after="0"/>
              <w:rPr>
                <w:sz w:val="20"/>
                <w:szCs w:val="20"/>
                <w:color w:val="auto"/>
              </w:rPr>
            </w:pPr>
            <w:r>
              <w:rPr>
                <w:rFonts w:ascii="Arial" w:cs="Arial" w:eastAsia="Arial" w:hAnsi="Arial"/>
                <w:sz w:val="16"/>
                <w:szCs w:val="16"/>
                <w:color w:val="auto"/>
              </w:rPr>
              <w:t>66</w:t>
            </w:r>
          </w:p>
        </w:tc>
        <w:tc>
          <w:tcPr>
            <w:tcW w:w="700" w:type="dxa"/>
            <w:vAlign w:val="bottom"/>
          </w:tcPr>
          <w:p>
            <w:pPr>
              <w:jc w:val="right"/>
              <w:ind w:right="299"/>
              <w:spacing w:after="0"/>
              <w:rPr>
                <w:sz w:val="20"/>
                <w:szCs w:val="20"/>
                <w:color w:val="auto"/>
              </w:rPr>
            </w:pPr>
            <w:r>
              <w:rPr>
                <w:rFonts w:ascii="Arial" w:cs="Arial" w:eastAsia="Arial" w:hAnsi="Arial"/>
                <w:sz w:val="16"/>
                <w:szCs w:val="16"/>
                <w:color w:val="auto"/>
              </w:rPr>
              <w:t>28</w:t>
            </w:r>
          </w:p>
        </w:tc>
      </w:tr>
      <w:tr>
        <w:trPr>
          <w:trHeight w:val="216"/>
        </w:trPr>
        <w:tc>
          <w:tcPr>
            <w:tcW w:w="5980" w:type="dxa"/>
            <w:vAlign w:val="bottom"/>
          </w:tcPr>
          <w:p>
            <w:pPr>
              <w:ind w:left="140"/>
              <w:spacing w:after="0"/>
              <w:rPr>
                <w:sz w:val="20"/>
                <w:szCs w:val="20"/>
                <w:color w:val="auto"/>
              </w:rPr>
            </w:pPr>
            <w:r>
              <w:rPr>
                <w:rFonts w:ascii="Arial" w:cs="Arial" w:eastAsia="Arial" w:hAnsi="Arial"/>
                <w:sz w:val="16"/>
                <w:szCs w:val="16"/>
                <w:color w:val="auto"/>
              </w:rPr>
              <w:t>Sempra South American Utilities</w:t>
            </w:r>
          </w:p>
        </w:tc>
        <w:tc>
          <w:tcPr>
            <w:tcW w:w="46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37</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21</w:t>
            </w:r>
          </w:p>
        </w:tc>
        <w:tc>
          <w:tcPr>
            <w:tcW w:w="520" w:type="dxa"/>
            <w:vAlign w:val="bottom"/>
          </w:tcPr>
          <w:p>
            <w:pPr>
              <w:spacing w:after="0"/>
              <w:rPr>
                <w:sz w:val="18"/>
                <w:szCs w:val="18"/>
                <w:color w:val="auto"/>
              </w:rPr>
            </w:pPr>
          </w:p>
        </w:tc>
        <w:tc>
          <w:tcPr>
            <w:tcW w:w="1620" w:type="dxa"/>
            <w:vAlign w:val="bottom"/>
          </w:tcPr>
          <w:p>
            <w:pPr>
              <w:jc w:val="right"/>
              <w:ind w:right="459"/>
              <w:spacing w:after="0"/>
              <w:rPr>
                <w:sz w:val="20"/>
                <w:szCs w:val="20"/>
                <w:color w:val="auto"/>
              </w:rPr>
            </w:pPr>
            <w:r>
              <w:rPr>
                <w:rFonts w:ascii="Arial" w:cs="Arial" w:eastAsia="Arial" w:hAnsi="Arial"/>
                <w:sz w:val="16"/>
                <w:szCs w:val="16"/>
                <w:color w:val="auto"/>
              </w:rPr>
              <w:t>40</w:t>
            </w:r>
          </w:p>
        </w:tc>
        <w:tc>
          <w:tcPr>
            <w:tcW w:w="700" w:type="dxa"/>
            <w:vAlign w:val="bottom"/>
          </w:tcPr>
          <w:p>
            <w:pPr>
              <w:jc w:val="right"/>
              <w:ind w:right="299"/>
              <w:spacing w:after="0"/>
              <w:rPr>
                <w:sz w:val="20"/>
                <w:szCs w:val="20"/>
                <w:color w:val="auto"/>
              </w:rPr>
            </w:pPr>
            <w:r>
              <w:rPr>
                <w:rFonts w:ascii="Arial" w:cs="Arial" w:eastAsia="Arial" w:hAnsi="Arial"/>
                <w:sz w:val="16"/>
                <w:szCs w:val="16"/>
                <w:color w:val="auto"/>
              </w:rPr>
              <w:t>17</w:t>
            </w:r>
          </w:p>
        </w:tc>
      </w:tr>
      <w:tr>
        <w:trPr>
          <w:trHeight w:val="216"/>
        </w:trPr>
        <w:tc>
          <w:tcPr>
            <w:tcW w:w="5980" w:type="dxa"/>
            <w:vAlign w:val="bottom"/>
          </w:tcPr>
          <w:p>
            <w:pPr>
              <w:ind w:left="140"/>
              <w:spacing w:after="0"/>
              <w:rPr>
                <w:sz w:val="20"/>
                <w:szCs w:val="20"/>
                <w:color w:val="auto"/>
              </w:rPr>
            </w:pPr>
            <w:r>
              <w:rPr>
                <w:rFonts w:ascii="Arial" w:cs="Arial" w:eastAsia="Arial" w:hAnsi="Arial"/>
                <w:sz w:val="16"/>
                <w:szCs w:val="16"/>
                <w:color w:val="auto"/>
              </w:rPr>
              <w:t>Sempra Mexico</w:t>
            </w:r>
          </w:p>
        </w:tc>
        <w:tc>
          <w:tcPr>
            <w:tcW w:w="46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31</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17</w:t>
            </w:r>
          </w:p>
        </w:tc>
        <w:tc>
          <w:tcPr>
            <w:tcW w:w="520" w:type="dxa"/>
            <w:vAlign w:val="bottom"/>
          </w:tcPr>
          <w:p>
            <w:pPr>
              <w:spacing w:after="0"/>
              <w:rPr>
                <w:sz w:val="18"/>
                <w:szCs w:val="18"/>
                <w:color w:val="auto"/>
              </w:rPr>
            </w:pPr>
          </w:p>
        </w:tc>
        <w:tc>
          <w:tcPr>
            <w:tcW w:w="1620" w:type="dxa"/>
            <w:vAlign w:val="bottom"/>
          </w:tcPr>
          <w:p>
            <w:pPr>
              <w:jc w:val="right"/>
              <w:ind w:right="459"/>
              <w:spacing w:after="0"/>
              <w:rPr>
                <w:sz w:val="20"/>
                <w:szCs w:val="20"/>
                <w:color w:val="auto"/>
              </w:rPr>
            </w:pPr>
            <w:r>
              <w:rPr>
                <w:rFonts w:ascii="Arial" w:cs="Arial" w:eastAsia="Arial" w:hAnsi="Arial"/>
                <w:sz w:val="16"/>
                <w:szCs w:val="16"/>
                <w:color w:val="auto"/>
              </w:rPr>
              <w:t>33</w:t>
            </w:r>
          </w:p>
        </w:tc>
        <w:tc>
          <w:tcPr>
            <w:tcW w:w="700" w:type="dxa"/>
            <w:vAlign w:val="bottom"/>
          </w:tcPr>
          <w:p>
            <w:pPr>
              <w:jc w:val="right"/>
              <w:ind w:right="299"/>
              <w:spacing w:after="0"/>
              <w:rPr>
                <w:sz w:val="20"/>
                <w:szCs w:val="20"/>
                <w:color w:val="auto"/>
              </w:rPr>
            </w:pPr>
            <w:r>
              <w:rPr>
                <w:rFonts w:ascii="Arial" w:cs="Arial" w:eastAsia="Arial" w:hAnsi="Arial"/>
                <w:sz w:val="16"/>
                <w:szCs w:val="16"/>
                <w:color w:val="auto"/>
              </w:rPr>
              <w:t>14</w:t>
            </w:r>
          </w:p>
        </w:tc>
      </w:tr>
      <w:tr>
        <w:trPr>
          <w:trHeight w:val="216"/>
        </w:trPr>
        <w:tc>
          <w:tcPr>
            <w:tcW w:w="5980" w:type="dxa"/>
            <w:vAlign w:val="bottom"/>
          </w:tcPr>
          <w:p>
            <w:pPr>
              <w:ind w:left="140"/>
              <w:spacing w:after="0"/>
              <w:rPr>
                <w:sz w:val="20"/>
                <w:szCs w:val="20"/>
                <w:color w:val="auto"/>
              </w:rPr>
            </w:pPr>
            <w:r>
              <w:rPr>
                <w:rFonts w:ascii="Arial" w:cs="Arial" w:eastAsia="Arial" w:hAnsi="Arial"/>
                <w:sz w:val="16"/>
                <w:szCs w:val="16"/>
                <w:color w:val="auto"/>
              </w:rPr>
              <w:t>Sempra Renewables</w:t>
            </w:r>
          </w:p>
        </w:tc>
        <w:tc>
          <w:tcPr>
            <w:tcW w:w="46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2</w:t>
            </w:r>
          </w:p>
        </w:tc>
        <w:tc>
          <w:tcPr>
            <w:tcW w:w="520" w:type="dxa"/>
            <w:vAlign w:val="bottom"/>
          </w:tcPr>
          <w:p>
            <w:pPr>
              <w:spacing w:after="0"/>
              <w:rPr>
                <w:sz w:val="18"/>
                <w:szCs w:val="18"/>
                <w:color w:val="auto"/>
              </w:rPr>
            </w:pPr>
          </w:p>
        </w:tc>
        <w:tc>
          <w:tcPr>
            <w:tcW w:w="1620" w:type="dxa"/>
            <w:vAlign w:val="bottom"/>
          </w:tcPr>
          <w:p>
            <w:pPr>
              <w:jc w:val="right"/>
              <w:ind w:right="459"/>
              <w:spacing w:after="0"/>
              <w:rPr>
                <w:sz w:val="20"/>
                <w:szCs w:val="20"/>
                <w:color w:val="auto"/>
              </w:rPr>
            </w:pPr>
            <w:r>
              <w:rPr>
                <w:rFonts w:ascii="Arial" w:cs="Arial" w:eastAsia="Arial" w:hAnsi="Arial"/>
                <w:sz w:val="16"/>
                <w:szCs w:val="16"/>
                <w:color w:val="auto"/>
              </w:rPr>
              <w:t>10</w:t>
            </w:r>
          </w:p>
        </w:tc>
        <w:tc>
          <w:tcPr>
            <w:tcW w:w="700" w:type="dxa"/>
            <w:vAlign w:val="bottom"/>
          </w:tcPr>
          <w:p>
            <w:pPr>
              <w:jc w:val="right"/>
              <w:ind w:right="299"/>
              <w:spacing w:after="0"/>
              <w:rPr>
                <w:sz w:val="20"/>
                <w:szCs w:val="20"/>
                <w:color w:val="auto"/>
              </w:rPr>
            </w:pPr>
            <w:r>
              <w:rPr>
                <w:rFonts w:ascii="Arial" w:cs="Arial" w:eastAsia="Arial" w:hAnsi="Arial"/>
                <w:sz w:val="16"/>
                <w:szCs w:val="16"/>
                <w:color w:val="auto"/>
              </w:rPr>
              <w:t>4</w:t>
            </w:r>
          </w:p>
        </w:tc>
      </w:tr>
      <w:tr>
        <w:trPr>
          <w:trHeight w:val="216"/>
        </w:trPr>
        <w:tc>
          <w:tcPr>
            <w:tcW w:w="5980" w:type="dxa"/>
            <w:vAlign w:val="bottom"/>
          </w:tcPr>
          <w:p>
            <w:pPr>
              <w:ind w:left="140"/>
              <w:spacing w:after="0"/>
              <w:rPr>
                <w:sz w:val="20"/>
                <w:szCs w:val="20"/>
                <w:color w:val="auto"/>
              </w:rPr>
            </w:pPr>
            <w:r>
              <w:rPr>
                <w:rFonts w:ascii="Arial" w:cs="Arial" w:eastAsia="Arial" w:hAnsi="Arial"/>
                <w:sz w:val="16"/>
                <w:szCs w:val="16"/>
                <w:color w:val="auto"/>
              </w:rPr>
              <w:t>Sempra Natural Gas</w:t>
            </w:r>
          </w:p>
        </w:tc>
        <w:tc>
          <w:tcPr>
            <w:tcW w:w="46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53</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30</w:t>
            </w:r>
          </w:p>
        </w:tc>
        <w:tc>
          <w:tcPr>
            <w:tcW w:w="520" w:type="dxa"/>
            <w:vAlign w:val="bottom"/>
          </w:tcPr>
          <w:p>
            <w:pPr>
              <w:spacing w:after="0"/>
              <w:rPr>
                <w:sz w:val="18"/>
                <w:szCs w:val="18"/>
                <w:color w:val="auto"/>
              </w:rPr>
            </w:pPr>
          </w:p>
        </w:tc>
        <w:tc>
          <w:tcPr>
            <w:tcW w:w="1620" w:type="dxa"/>
            <w:vAlign w:val="bottom"/>
          </w:tcPr>
          <w:p>
            <w:pPr>
              <w:jc w:val="right"/>
              <w:ind w:right="459"/>
              <w:spacing w:after="0"/>
              <w:rPr>
                <w:sz w:val="20"/>
                <w:szCs w:val="20"/>
                <w:color w:val="auto"/>
              </w:rPr>
            </w:pPr>
            <w:r>
              <w:rPr>
                <w:rFonts w:ascii="Arial" w:cs="Arial" w:eastAsia="Arial" w:hAnsi="Arial"/>
                <w:sz w:val="16"/>
                <w:szCs w:val="16"/>
                <w:color w:val="auto"/>
              </w:rPr>
              <w:t>1</w:t>
            </w:r>
          </w:p>
        </w:tc>
        <w:tc>
          <w:tcPr>
            <w:tcW w:w="700" w:type="dxa"/>
            <w:vAlign w:val="bottom"/>
          </w:tcPr>
          <w:p>
            <w:pPr>
              <w:jc w:val="right"/>
              <w:ind w:right="299"/>
              <w:spacing w:after="0"/>
              <w:rPr>
                <w:sz w:val="20"/>
                <w:szCs w:val="20"/>
                <w:color w:val="auto"/>
              </w:rPr>
            </w:pPr>
            <w:r>
              <w:rPr>
                <w:rFonts w:ascii="Arial" w:cs="Arial" w:eastAsia="Arial" w:hAnsi="Arial"/>
                <w:sz w:val="16"/>
                <w:szCs w:val="16"/>
                <w:color w:val="auto"/>
              </w:rPr>
              <w:t>―</w:t>
            </w:r>
          </w:p>
        </w:tc>
      </w:tr>
      <w:tr>
        <w:trPr>
          <w:trHeight w:val="216"/>
        </w:trPr>
        <w:tc>
          <w:tcPr>
            <w:tcW w:w="5980" w:type="dxa"/>
            <w:vAlign w:val="bottom"/>
          </w:tcPr>
          <w:p>
            <w:pPr>
              <w:ind w:left="140"/>
              <w:spacing w:after="0"/>
              <w:rPr>
                <w:sz w:val="20"/>
                <w:szCs w:val="20"/>
                <w:color w:val="auto"/>
              </w:rPr>
            </w:pPr>
            <w:r>
              <w:rPr>
                <w:rFonts w:ascii="Arial" w:cs="Arial" w:eastAsia="Arial" w:hAnsi="Arial"/>
                <w:sz w:val="16"/>
                <w:szCs w:val="16"/>
                <w:color w:val="auto"/>
              </w:rPr>
              <w:t>All other</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(47)</w:t>
            </w:r>
          </w:p>
        </w:tc>
        <w:tc>
          <w:tcPr>
            <w:tcW w:w="5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(19)</w:t>
            </w: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(8)</w:t>
            </w:r>
          </w:p>
        </w:tc>
      </w:tr>
      <w:tr>
        <w:trPr>
          <w:trHeight w:val="189"/>
        </w:trPr>
        <w:tc>
          <w:tcPr>
            <w:tcW w:w="598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Total</w:t>
            </w:r>
          </w:p>
        </w:tc>
        <w:tc>
          <w:tcPr>
            <w:tcW w:w="46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5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236</w:t>
            </w: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100 %</w:t>
            </w:r>
          </w:p>
        </w:tc>
      </w:tr>
      <w:tr>
        <w:trPr>
          <w:trHeight w:val="21"/>
        </w:trPr>
        <w:tc>
          <w:tcPr>
            <w:tcW w:w="5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1"/>
        </w:trPr>
        <w:tc>
          <w:tcPr>
            <w:tcW w:w="5980" w:type="dxa"/>
            <w:vAlign w:val="bottom"/>
          </w:tcPr>
          <w:p>
            <w:pPr>
              <w:spacing w:after="0"/>
              <w:rPr>
                <w:sz w:val="20"/>
                <w:szCs w:val="20"/>
                <w:color w:val="auto"/>
              </w:rPr>
            </w:pPr>
            <w:r>
              <w:rPr>
                <w:rFonts w:ascii="Arial" w:cs="Arial" w:eastAsia="Arial" w:hAnsi="Arial"/>
                <w:sz w:val="16"/>
                <w:szCs w:val="16"/>
                <w:color w:val="auto"/>
              </w:rPr>
              <w:t>EXPENDITURES FOR PROPERTY PLANT &amp; EQUIPMENT</w:t>
            </w: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95"/>
        </w:trPr>
        <w:tc>
          <w:tcPr>
            <w:tcW w:w="5980" w:type="dxa"/>
            <w:vAlign w:val="bottom"/>
          </w:tcPr>
          <w:p>
            <w:pPr>
              <w:ind w:left="140"/>
              <w:spacing w:after="0"/>
              <w:rPr>
                <w:sz w:val="20"/>
                <w:szCs w:val="20"/>
                <w:color w:val="auto"/>
              </w:rPr>
            </w:pPr>
            <w:r>
              <w:rPr>
                <w:rFonts w:ascii="Arial" w:cs="Arial" w:eastAsia="Arial" w:hAnsi="Arial"/>
                <w:sz w:val="16"/>
                <w:szCs w:val="16"/>
                <w:color w:val="auto"/>
              </w:rPr>
              <w:t>SDG&amp;E</w:t>
            </w: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237</w:t>
            </w:r>
          </w:p>
        </w:tc>
        <w:tc>
          <w:tcPr>
            <w:tcW w:w="980" w:type="dxa"/>
            <w:vAlign w:val="bottom"/>
          </w:tcPr>
          <w:p>
            <w:pPr>
              <w:jc w:val="right"/>
              <w:spacing w:after="0"/>
              <w:rPr>
                <w:sz w:val="20"/>
                <w:szCs w:val="20"/>
                <w:color w:val="auto"/>
              </w:rPr>
            </w:pPr>
            <w:r>
              <w:rPr>
                <w:rFonts w:ascii="Arial" w:cs="Arial" w:eastAsia="Arial" w:hAnsi="Arial"/>
                <w:sz w:val="16"/>
                <w:szCs w:val="16"/>
                <w:color w:val="auto"/>
              </w:rPr>
              <w:t>45 %</w:t>
            </w:r>
          </w:p>
        </w:tc>
        <w:tc>
          <w:tcPr>
            <w:tcW w:w="520" w:type="dxa"/>
            <w:vAlign w:val="bottom"/>
          </w:tcPr>
          <w:p>
            <w:pPr>
              <w:jc w:val="center"/>
              <w:ind w:right="15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459"/>
              <w:spacing w:after="0"/>
              <w:rPr>
                <w:sz w:val="20"/>
                <w:szCs w:val="20"/>
                <w:color w:val="auto"/>
              </w:rPr>
            </w:pPr>
            <w:r>
              <w:rPr>
                <w:rFonts w:ascii="Arial" w:cs="Arial" w:eastAsia="Arial" w:hAnsi="Arial"/>
                <w:sz w:val="16"/>
                <w:szCs w:val="16"/>
                <w:color w:val="auto"/>
              </w:rPr>
              <w:t>398</w:t>
            </w: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49 %</w:t>
            </w:r>
          </w:p>
        </w:tc>
      </w:tr>
      <w:tr>
        <w:trPr>
          <w:trHeight w:val="216"/>
        </w:trPr>
        <w:tc>
          <w:tcPr>
            <w:tcW w:w="5980" w:type="dxa"/>
            <w:vAlign w:val="bottom"/>
          </w:tcPr>
          <w:p>
            <w:pPr>
              <w:ind w:left="140"/>
              <w:spacing w:after="0"/>
              <w:rPr>
                <w:sz w:val="20"/>
                <w:szCs w:val="20"/>
                <w:color w:val="auto"/>
              </w:rPr>
            </w:pPr>
            <w:r>
              <w:rPr>
                <w:rFonts w:ascii="Arial" w:cs="Arial" w:eastAsia="Arial" w:hAnsi="Arial"/>
                <w:sz w:val="16"/>
                <w:szCs w:val="16"/>
                <w:color w:val="auto"/>
              </w:rPr>
              <w:t>SoCalGas</w:t>
            </w:r>
          </w:p>
        </w:tc>
        <w:tc>
          <w:tcPr>
            <w:tcW w:w="46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179</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34</w:t>
            </w:r>
          </w:p>
        </w:tc>
        <w:tc>
          <w:tcPr>
            <w:tcW w:w="520" w:type="dxa"/>
            <w:vAlign w:val="bottom"/>
          </w:tcPr>
          <w:p>
            <w:pPr>
              <w:spacing w:after="0"/>
              <w:rPr>
                <w:sz w:val="18"/>
                <w:szCs w:val="18"/>
                <w:color w:val="auto"/>
              </w:rPr>
            </w:pPr>
          </w:p>
        </w:tc>
        <w:tc>
          <w:tcPr>
            <w:tcW w:w="1620" w:type="dxa"/>
            <w:vAlign w:val="bottom"/>
          </w:tcPr>
          <w:p>
            <w:pPr>
              <w:jc w:val="right"/>
              <w:ind w:right="459"/>
              <w:spacing w:after="0"/>
              <w:rPr>
                <w:sz w:val="20"/>
                <w:szCs w:val="20"/>
                <w:color w:val="auto"/>
              </w:rPr>
            </w:pPr>
            <w:r>
              <w:rPr>
                <w:rFonts w:ascii="Arial" w:cs="Arial" w:eastAsia="Arial" w:hAnsi="Arial"/>
                <w:sz w:val="16"/>
                <w:szCs w:val="16"/>
                <w:color w:val="auto"/>
              </w:rPr>
              <w:t>165</w:t>
            </w:r>
          </w:p>
        </w:tc>
        <w:tc>
          <w:tcPr>
            <w:tcW w:w="700" w:type="dxa"/>
            <w:vAlign w:val="bottom"/>
          </w:tcPr>
          <w:p>
            <w:pPr>
              <w:jc w:val="right"/>
              <w:ind w:right="299"/>
              <w:spacing w:after="0"/>
              <w:rPr>
                <w:sz w:val="20"/>
                <w:szCs w:val="20"/>
                <w:color w:val="auto"/>
              </w:rPr>
            </w:pPr>
            <w:r>
              <w:rPr>
                <w:rFonts w:ascii="Arial" w:cs="Arial" w:eastAsia="Arial" w:hAnsi="Arial"/>
                <w:sz w:val="16"/>
                <w:szCs w:val="16"/>
                <w:color w:val="auto"/>
              </w:rPr>
              <w:t>20</w:t>
            </w:r>
          </w:p>
        </w:tc>
      </w:tr>
      <w:tr>
        <w:trPr>
          <w:trHeight w:val="216"/>
        </w:trPr>
        <w:tc>
          <w:tcPr>
            <w:tcW w:w="5980" w:type="dxa"/>
            <w:vAlign w:val="bottom"/>
          </w:tcPr>
          <w:p>
            <w:pPr>
              <w:ind w:left="140"/>
              <w:spacing w:after="0"/>
              <w:rPr>
                <w:sz w:val="20"/>
                <w:szCs w:val="20"/>
                <w:color w:val="auto"/>
              </w:rPr>
            </w:pPr>
            <w:r>
              <w:rPr>
                <w:rFonts w:ascii="Arial" w:cs="Arial" w:eastAsia="Arial" w:hAnsi="Arial"/>
                <w:sz w:val="16"/>
                <w:szCs w:val="16"/>
                <w:color w:val="auto"/>
              </w:rPr>
              <w:t>Sempra South American Utilities</w:t>
            </w:r>
          </w:p>
        </w:tc>
        <w:tc>
          <w:tcPr>
            <w:tcW w:w="46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22</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4</w:t>
            </w:r>
          </w:p>
        </w:tc>
        <w:tc>
          <w:tcPr>
            <w:tcW w:w="520" w:type="dxa"/>
            <w:vAlign w:val="bottom"/>
          </w:tcPr>
          <w:p>
            <w:pPr>
              <w:spacing w:after="0"/>
              <w:rPr>
                <w:sz w:val="18"/>
                <w:szCs w:val="18"/>
                <w:color w:val="auto"/>
              </w:rPr>
            </w:pPr>
          </w:p>
        </w:tc>
        <w:tc>
          <w:tcPr>
            <w:tcW w:w="1620" w:type="dxa"/>
            <w:vAlign w:val="bottom"/>
          </w:tcPr>
          <w:p>
            <w:pPr>
              <w:jc w:val="right"/>
              <w:ind w:right="459"/>
              <w:spacing w:after="0"/>
              <w:rPr>
                <w:sz w:val="20"/>
                <w:szCs w:val="20"/>
                <w:color w:val="auto"/>
              </w:rPr>
            </w:pPr>
            <w:r>
              <w:rPr>
                <w:rFonts w:ascii="Arial" w:cs="Arial" w:eastAsia="Arial" w:hAnsi="Arial"/>
                <w:sz w:val="16"/>
                <w:szCs w:val="16"/>
                <w:color w:val="auto"/>
              </w:rPr>
              <w:t>19</w:t>
            </w:r>
          </w:p>
        </w:tc>
        <w:tc>
          <w:tcPr>
            <w:tcW w:w="700" w:type="dxa"/>
            <w:vAlign w:val="bottom"/>
          </w:tcPr>
          <w:p>
            <w:pPr>
              <w:jc w:val="right"/>
              <w:ind w:right="299"/>
              <w:spacing w:after="0"/>
              <w:rPr>
                <w:sz w:val="20"/>
                <w:szCs w:val="20"/>
                <w:color w:val="auto"/>
              </w:rPr>
            </w:pPr>
            <w:r>
              <w:rPr>
                <w:rFonts w:ascii="Arial" w:cs="Arial" w:eastAsia="Arial" w:hAnsi="Arial"/>
                <w:sz w:val="16"/>
                <w:szCs w:val="16"/>
                <w:color w:val="auto"/>
              </w:rPr>
              <w:t>2</w:t>
            </w:r>
          </w:p>
        </w:tc>
      </w:tr>
      <w:tr>
        <w:trPr>
          <w:trHeight w:val="216"/>
        </w:trPr>
        <w:tc>
          <w:tcPr>
            <w:tcW w:w="5980" w:type="dxa"/>
            <w:vAlign w:val="bottom"/>
          </w:tcPr>
          <w:p>
            <w:pPr>
              <w:ind w:left="140"/>
              <w:spacing w:after="0"/>
              <w:rPr>
                <w:sz w:val="20"/>
                <w:szCs w:val="20"/>
                <w:color w:val="auto"/>
              </w:rPr>
            </w:pPr>
            <w:r>
              <w:rPr>
                <w:rFonts w:ascii="Arial" w:cs="Arial" w:eastAsia="Arial" w:hAnsi="Arial"/>
                <w:sz w:val="16"/>
                <w:szCs w:val="16"/>
                <w:color w:val="auto"/>
              </w:rPr>
              <w:t>Sempra Mexico</w:t>
            </w:r>
          </w:p>
        </w:tc>
        <w:tc>
          <w:tcPr>
            <w:tcW w:w="46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61</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11</w:t>
            </w:r>
          </w:p>
        </w:tc>
        <w:tc>
          <w:tcPr>
            <w:tcW w:w="520" w:type="dxa"/>
            <w:vAlign w:val="bottom"/>
          </w:tcPr>
          <w:p>
            <w:pPr>
              <w:spacing w:after="0"/>
              <w:rPr>
                <w:sz w:val="18"/>
                <w:szCs w:val="18"/>
                <w:color w:val="auto"/>
              </w:rPr>
            </w:pPr>
          </w:p>
        </w:tc>
        <w:tc>
          <w:tcPr>
            <w:tcW w:w="1620" w:type="dxa"/>
            <w:vAlign w:val="bottom"/>
          </w:tcPr>
          <w:p>
            <w:pPr>
              <w:jc w:val="right"/>
              <w:ind w:right="459"/>
              <w:spacing w:after="0"/>
              <w:rPr>
                <w:sz w:val="20"/>
                <w:szCs w:val="20"/>
                <w:color w:val="auto"/>
              </w:rPr>
            </w:pPr>
            <w:r>
              <w:rPr>
                <w:rFonts w:ascii="Arial" w:cs="Arial" w:eastAsia="Arial" w:hAnsi="Arial"/>
                <w:sz w:val="16"/>
                <w:szCs w:val="16"/>
                <w:color w:val="auto"/>
              </w:rPr>
              <w:t>5</w:t>
            </w:r>
          </w:p>
        </w:tc>
        <w:tc>
          <w:tcPr>
            <w:tcW w:w="700" w:type="dxa"/>
            <w:vAlign w:val="bottom"/>
          </w:tcPr>
          <w:p>
            <w:pPr>
              <w:jc w:val="right"/>
              <w:ind w:right="299"/>
              <w:spacing w:after="0"/>
              <w:rPr>
                <w:sz w:val="20"/>
                <w:szCs w:val="20"/>
                <w:color w:val="auto"/>
              </w:rPr>
            </w:pPr>
            <w:r>
              <w:rPr>
                <w:rFonts w:ascii="Arial" w:cs="Arial" w:eastAsia="Arial" w:hAnsi="Arial"/>
                <w:sz w:val="16"/>
                <w:szCs w:val="16"/>
                <w:color w:val="auto"/>
              </w:rPr>
              <w:t>1</w:t>
            </w:r>
          </w:p>
        </w:tc>
      </w:tr>
      <w:tr>
        <w:trPr>
          <w:trHeight w:val="216"/>
        </w:trPr>
        <w:tc>
          <w:tcPr>
            <w:tcW w:w="5980" w:type="dxa"/>
            <w:vAlign w:val="bottom"/>
          </w:tcPr>
          <w:p>
            <w:pPr>
              <w:ind w:left="140"/>
              <w:spacing w:after="0"/>
              <w:rPr>
                <w:sz w:val="20"/>
                <w:szCs w:val="20"/>
                <w:color w:val="auto"/>
              </w:rPr>
            </w:pPr>
            <w:r>
              <w:rPr>
                <w:rFonts w:ascii="Arial" w:cs="Arial" w:eastAsia="Arial" w:hAnsi="Arial"/>
                <w:sz w:val="16"/>
                <w:szCs w:val="16"/>
                <w:color w:val="auto"/>
              </w:rPr>
              <w:t>Sempra Renewables</w:t>
            </w:r>
          </w:p>
        </w:tc>
        <w:tc>
          <w:tcPr>
            <w:tcW w:w="46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6</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520" w:type="dxa"/>
            <w:vAlign w:val="bottom"/>
          </w:tcPr>
          <w:p>
            <w:pPr>
              <w:spacing w:after="0"/>
              <w:rPr>
                <w:sz w:val="18"/>
                <w:szCs w:val="18"/>
                <w:color w:val="auto"/>
              </w:rPr>
            </w:pPr>
          </w:p>
        </w:tc>
        <w:tc>
          <w:tcPr>
            <w:tcW w:w="1620" w:type="dxa"/>
            <w:vAlign w:val="bottom"/>
          </w:tcPr>
          <w:p>
            <w:pPr>
              <w:jc w:val="right"/>
              <w:ind w:right="459"/>
              <w:spacing w:after="0"/>
              <w:rPr>
                <w:sz w:val="20"/>
                <w:szCs w:val="20"/>
                <w:color w:val="auto"/>
              </w:rPr>
            </w:pPr>
            <w:r>
              <w:rPr>
                <w:rFonts w:ascii="Arial" w:cs="Arial" w:eastAsia="Arial" w:hAnsi="Arial"/>
                <w:sz w:val="16"/>
                <w:szCs w:val="16"/>
                <w:color w:val="auto"/>
              </w:rPr>
              <w:t>201</w:t>
            </w:r>
          </w:p>
        </w:tc>
        <w:tc>
          <w:tcPr>
            <w:tcW w:w="700" w:type="dxa"/>
            <w:vAlign w:val="bottom"/>
          </w:tcPr>
          <w:p>
            <w:pPr>
              <w:jc w:val="right"/>
              <w:ind w:right="299"/>
              <w:spacing w:after="0"/>
              <w:rPr>
                <w:sz w:val="20"/>
                <w:szCs w:val="20"/>
                <w:color w:val="auto"/>
              </w:rPr>
            </w:pPr>
            <w:r>
              <w:rPr>
                <w:rFonts w:ascii="Arial" w:cs="Arial" w:eastAsia="Arial" w:hAnsi="Arial"/>
                <w:sz w:val="16"/>
                <w:szCs w:val="16"/>
                <w:color w:val="auto"/>
              </w:rPr>
              <w:t>25</w:t>
            </w:r>
          </w:p>
        </w:tc>
      </w:tr>
      <w:tr>
        <w:trPr>
          <w:trHeight w:val="216"/>
        </w:trPr>
        <w:tc>
          <w:tcPr>
            <w:tcW w:w="5980" w:type="dxa"/>
            <w:vAlign w:val="bottom"/>
          </w:tcPr>
          <w:p>
            <w:pPr>
              <w:ind w:left="140"/>
              <w:spacing w:after="0"/>
              <w:rPr>
                <w:sz w:val="20"/>
                <w:szCs w:val="20"/>
                <w:color w:val="auto"/>
              </w:rPr>
            </w:pPr>
            <w:r>
              <w:rPr>
                <w:rFonts w:ascii="Arial" w:cs="Arial" w:eastAsia="Arial" w:hAnsi="Arial"/>
                <w:sz w:val="16"/>
                <w:szCs w:val="16"/>
                <w:color w:val="auto"/>
              </w:rPr>
              <w:t>Sempra Natural Gas</w:t>
            </w:r>
          </w:p>
        </w:tc>
        <w:tc>
          <w:tcPr>
            <w:tcW w:w="46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26</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5</w:t>
            </w:r>
          </w:p>
        </w:tc>
        <w:tc>
          <w:tcPr>
            <w:tcW w:w="520" w:type="dxa"/>
            <w:vAlign w:val="bottom"/>
          </w:tcPr>
          <w:p>
            <w:pPr>
              <w:spacing w:after="0"/>
              <w:rPr>
                <w:sz w:val="18"/>
                <w:szCs w:val="18"/>
                <w:color w:val="auto"/>
              </w:rPr>
            </w:pPr>
          </w:p>
        </w:tc>
        <w:tc>
          <w:tcPr>
            <w:tcW w:w="1620" w:type="dxa"/>
            <w:vAlign w:val="bottom"/>
          </w:tcPr>
          <w:p>
            <w:pPr>
              <w:jc w:val="right"/>
              <w:ind w:right="459"/>
              <w:spacing w:after="0"/>
              <w:rPr>
                <w:sz w:val="20"/>
                <w:szCs w:val="20"/>
                <w:color w:val="auto"/>
              </w:rPr>
            </w:pPr>
            <w:r>
              <w:rPr>
                <w:rFonts w:ascii="Arial" w:cs="Arial" w:eastAsia="Arial" w:hAnsi="Arial"/>
                <w:sz w:val="16"/>
                <w:szCs w:val="16"/>
                <w:color w:val="auto"/>
              </w:rPr>
              <w:t>22</w:t>
            </w:r>
          </w:p>
        </w:tc>
        <w:tc>
          <w:tcPr>
            <w:tcW w:w="700" w:type="dxa"/>
            <w:vAlign w:val="bottom"/>
          </w:tcPr>
          <w:p>
            <w:pPr>
              <w:jc w:val="right"/>
              <w:ind w:right="299"/>
              <w:spacing w:after="0"/>
              <w:rPr>
                <w:sz w:val="20"/>
                <w:szCs w:val="20"/>
                <w:color w:val="auto"/>
              </w:rPr>
            </w:pPr>
            <w:r>
              <w:rPr>
                <w:rFonts w:ascii="Arial" w:cs="Arial" w:eastAsia="Arial" w:hAnsi="Arial"/>
                <w:sz w:val="16"/>
                <w:szCs w:val="16"/>
                <w:color w:val="auto"/>
              </w:rPr>
              <w:t>3</w:t>
            </w:r>
          </w:p>
        </w:tc>
      </w:tr>
      <w:tr>
        <w:trPr>
          <w:trHeight w:val="216"/>
        </w:trPr>
        <w:tc>
          <w:tcPr>
            <w:tcW w:w="5980" w:type="dxa"/>
            <w:vAlign w:val="bottom"/>
          </w:tcPr>
          <w:p>
            <w:pPr>
              <w:ind w:left="140"/>
              <w:spacing w:after="0"/>
              <w:rPr>
                <w:sz w:val="20"/>
                <w:szCs w:val="20"/>
                <w:color w:val="auto"/>
              </w:rPr>
            </w:pPr>
            <w:r>
              <w:rPr>
                <w:rFonts w:ascii="Arial" w:cs="Arial" w:eastAsia="Arial" w:hAnsi="Arial"/>
                <w:sz w:val="16"/>
                <w:szCs w:val="16"/>
                <w:color w:val="auto"/>
              </w:rPr>
              <w:t>All other</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w:t>
            </w:r>
          </w:p>
        </w:tc>
        <w:tc>
          <w:tcPr>
            <w:tcW w:w="7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r>
      <w:tr>
        <w:trPr>
          <w:trHeight w:val="189"/>
        </w:trPr>
        <w:tc>
          <w:tcPr>
            <w:tcW w:w="598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Total</w:t>
            </w:r>
          </w:p>
        </w:tc>
        <w:tc>
          <w:tcPr>
            <w:tcW w:w="46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531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5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811</w:t>
            </w: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100 %</w:t>
            </w:r>
          </w:p>
        </w:tc>
      </w:tr>
      <w:tr>
        <w:trPr>
          <w:trHeight w:val="21"/>
        </w:trPr>
        <w:tc>
          <w:tcPr>
            <w:tcW w:w="5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7"/>
        </w:trPr>
        <w:tc>
          <w:tcPr>
            <w:tcW w:w="5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jc w:val="right"/>
              <w:ind w:right="679"/>
              <w:spacing w:after="0"/>
              <w:rPr>
                <w:sz w:val="20"/>
                <w:szCs w:val="20"/>
                <w:color w:val="auto"/>
              </w:rPr>
            </w:pPr>
            <w:r>
              <w:rPr>
                <w:rFonts w:ascii="Arial" w:cs="Arial" w:eastAsia="Arial" w:hAnsi="Arial"/>
                <w:sz w:val="14"/>
                <w:szCs w:val="14"/>
                <w:color w:val="auto"/>
              </w:rPr>
              <w:t>March 31, 2013</w:t>
            </w:r>
          </w:p>
        </w:tc>
        <w:tc>
          <w:tcPr>
            <w:tcW w:w="5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December 31, 2012</w:t>
            </w:r>
          </w:p>
        </w:tc>
        <w:tc>
          <w:tcPr>
            <w:tcW w:w="700" w:type="dxa"/>
            <w:vAlign w:val="bottom"/>
            <w:tcBorders>
              <w:bottom w:val="single" w:sz="8" w:color="auto"/>
            </w:tcBorders>
          </w:tcPr>
          <w:p>
            <w:pPr>
              <w:spacing w:after="0"/>
              <w:rPr>
                <w:sz w:val="18"/>
                <w:szCs w:val="18"/>
                <w:color w:val="auto"/>
              </w:rPr>
            </w:pPr>
          </w:p>
        </w:tc>
      </w:tr>
      <w:tr>
        <w:trPr>
          <w:trHeight w:val="218"/>
        </w:trPr>
        <w:tc>
          <w:tcPr>
            <w:tcW w:w="5980" w:type="dxa"/>
            <w:vAlign w:val="bottom"/>
          </w:tcPr>
          <w:p>
            <w:pPr>
              <w:spacing w:after="0"/>
              <w:rPr>
                <w:sz w:val="20"/>
                <w:szCs w:val="20"/>
                <w:color w:val="auto"/>
              </w:rPr>
            </w:pPr>
            <w:r>
              <w:rPr>
                <w:rFonts w:ascii="Arial" w:cs="Arial" w:eastAsia="Arial" w:hAnsi="Arial"/>
                <w:sz w:val="16"/>
                <w:szCs w:val="16"/>
                <w:color w:val="auto"/>
              </w:rPr>
              <w:t>ASSETS</w:t>
            </w: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95"/>
        </w:trPr>
        <w:tc>
          <w:tcPr>
            <w:tcW w:w="5980" w:type="dxa"/>
            <w:vAlign w:val="bottom"/>
          </w:tcPr>
          <w:p>
            <w:pPr>
              <w:ind w:left="140"/>
              <w:spacing w:after="0"/>
              <w:rPr>
                <w:sz w:val="20"/>
                <w:szCs w:val="20"/>
                <w:color w:val="auto"/>
              </w:rPr>
            </w:pPr>
            <w:r>
              <w:rPr>
                <w:rFonts w:ascii="Arial" w:cs="Arial" w:eastAsia="Arial" w:hAnsi="Arial"/>
                <w:sz w:val="16"/>
                <w:szCs w:val="16"/>
                <w:color w:val="auto"/>
              </w:rPr>
              <w:t>SDG&amp;E</w:t>
            </w: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14,852</w:t>
            </w:r>
          </w:p>
        </w:tc>
        <w:tc>
          <w:tcPr>
            <w:tcW w:w="980" w:type="dxa"/>
            <w:vAlign w:val="bottom"/>
          </w:tcPr>
          <w:p>
            <w:pPr>
              <w:jc w:val="right"/>
              <w:spacing w:after="0"/>
              <w:rPr>
                <w:sz w:val="20"/>
                <w:szCs w:val="20"/>
                <w:color w:val="auto"/>
              </w:rPr>
            </w:pPr>
            <w:r>
              <w:rPr>
                <w:rFonts w:ascii="Arial" w:cs="Arial" w:eastAsia="Arial" w:hAnsi="Arial"/>
                <w:sz w:val="16"/>
                <w:szCs w:val="16"/>
                <w:color w:val="auto"/>
              </w:rPr>
              <w:t>40 %</w:t>
            </w:r>
          </w:p>
        </w:tc>
        <w:tc>
          <w:tcPr>
            <w:tcW w:w="520" w:type="dxa"/>
            <w:vAlign w:val="bottom"/>
          </w:tcPr>
          <w:p>
            <w:pPr>
              <w:jc w:val="center"/>
              <w:ind w:right="15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459"/>
              <w:spacing w:after="0"/>
              <w:rPr>
                <w:sz w:val="20"/>
                <w:szCs w:val="20"/>
                <w:color w:val="auto"/>
              </w:rPr>
            </w:pPr>
            <w:r>
              <w:rPr>
                <w:rFonts w:ascii="Arial" w:cs="Arial" w:eastAsia="Arial" w:hAnsi="Arial"/>
                <w:sz w:val="16"/>
                <w:szCs w:val="16"/>
                <w:color w:val="auto"/>
              </w:rPr>
              <w:t>14,744</w:t>
            </w: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40 %</w:t>
            </w:r>
          </w:p>
        </w:tc>
      </w:tr>
      <w:tr>
        <w:trPr>
          <w:trHeight w:val="216"/>
        </w:trPr>
        <w:tc>
          <w:tcPr>
            <w:tcW w:w="5980" w:type="dxa"/>
            <w:vAlign w:val="bottom"/>
          </w:tcPr>
          <w:p>
            <w:pPr>
              <w:ind w:left="140"/>
              <w:spacing w:after="0"/>
              <w:rPr>
                <w:sz w:val="20"/>
                <w:szCs w:val="20"/>
                <w:color w:val="auto"/>
              </w:rPr>
            </w:pPr>
            <w:r>
              <w:rPr>
                <w:rFonts w:ascii="Arial" w:cs="Arial" w:eastAsia="Arial" w:hAnsi="Arial"/>
                <w:sz w:val="16"/>
                <w:szCs w:val="16"/>
                <w:color w:val="auto"/>
              </w:rPr>
              <w:t>SoCalGas</w:t>
            </w:r>
          </w:p>
        </w:tc>
        <w:tc>
          <w:tcPr>
            <w:tcW w:w="46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9,223</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24</w:t>
            </w:r>
          </w:p>
        </w:tc>
        <w:tc>
          <w:tcPr>
            <w:tcW w:w="520" w:type="dxa"/>
            <w:vAlign w:val="bottom"/>
          </w:tcPr>
          <w:p>
            <w:pPr>
              <w:spacing w:after="0"/>
              <w:rPr>
                <w:sz w:val="18"/>
                <w:szCs w:val="18"/>
                <w:color w:val="auto"/>
              </w:rPr>
            </w:pPr>
          </w:p>
        </w:tc>
        <w:tc>
          <w:tcPr>
            <w:tcW w:w="1620" w:type="dxa"/>
            <w:vAlign w:val="bottom"/>
          </w:tcPr>
          <w:p>
            <w:pPr>
              <w:jc w:val="right"/>
              <w:ind w:right="459"/>
              <w:spacing w:after="0"/>
              <w:rPr>
                <w:sz w:val="20"/>
                <w:szCs w:val="20"/>
                <w:color w:val="auto"/>
              </w:rPr>
            </w:pPr>
            <w:r>
              <w:rPr>
                <w:rFonts w:ascii="Arial" w:cs="Arial" w:eastAsia="Arial" w:hAnsi="Arial"/>
                <w:sz w:val="16"/>
                <w:szCs w:val="16"/>
                <w:color w:val="auto"/>
              </w:rPr>
              <w:t>9,071</w:t>
            </w:r>
          </w:p>
        </w:tc>
        <w:tc>
          <w:tcPr>
            <w:tcW w:w="700" w:type="dxa"/>
            <w:vAlign w:val="bottom"/>
          </w:tcPr>
          <w:p>
            <w:pPr>
              <w:jc w:val="right"/>
              <w:ind w:right="299"/>
              <w:spacing w:after="0"/>
              <w:rPr>
                <w:sz w:val="20"/>
                <w:szCs w:val="20"/>
                <w:color w:val="auto"/>
              </w:rPr>
            </w:pPr>
            <w:r>
              <w:rPr>
                <w:rFonts w:ascii="Arial" w:cs="Arial" w:eastAsia="Arial" w:hAnsi="Arial"/>
                <w:sz w:val="16"/>
                <w:szCs w:val="16"/>
                <w:color w:val="auto"/>
              </w:rPr>
              <w:t>25</w:t>
            </w:r>
          </w:p>
        </w:tc>
      </w:tr>
      <w:tr>
        <w:trPr>
          <w:trHeight w:val="216"/>
        </w:trPr>
        <w:tc>
          <w:tcPr>
            <w:tcW w:w="5980" w:type="dxa"/>
            <w:vAlign w:val="bottom"/>
          </w:tcPr>
          <w:p>
            <w:pPr>
              <w:ind w:left="140"/>
              <w:spacing w:after="0"/>
              <w:rPr>
                <w:sz w:val="20"/>
                <w:szCs w:val="20"/>
                <w:color w:val="auto"/>
              </w:rPr>
            </w:pPr>
            <w:r>
              <w:rPr>
                <w:rFonts w:ascii="Arial" w:cs="Arial" w:eastAsia="Arial" w:hAnsi="Arial"/>
                <w:sz w:val="16"/>
                <w:szCs w:val="16"/>
                <w:color w:val="auto"/>
              </w:rPr>
              <w:t>Sempra South American Utilities</w:t>
            </w:r>
          </w:p>
        </w:tc>
        <w:tc>
          <w:tcPr>
            <w:tcW w:w="46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3,669</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10</w:t>
            </w:r>
          </w:p>
        </w:tc>
        <w:tc>
          <w:tcPr>
            <w:tcW w:w="520" w:type="dxa"/>
            <w:vAlign w:val="bottom"/>
          </w:tcPr>
          <w:p>
            <w:pPr>
              <w:spacing w:after="0"/>
              <w:rPr>
                <w:sz w:val="18"/>
                <w:szCs w:val="18"/>
                <w:color w:val="auto"/>
              </w:rPr>
            </w:pPr>
          </w:p>
        </w:tc>
        <w:tc>
          <w:tcPr>
            <w:tcW w:w="1620" w:type="dxa"/>
            <w:vAlign w:val="bottom"/>
          </w:tcPr>
          <w:p>
            <w:pPr>
              <w:jc w:val="right"/>
              <w:ind w:right="459"/>
              <w:spacing w:after="0"/>
              <w:rPr>
                <w:sz w:val="20"/>
                <w:szCs w:val="20"/>
                <w:color w:val="auto"/>
              </w:rPr>
            </w:pPr>
            <w:r>
              <w:rPr>
                <w:rFonts w:ascii="Arial" w:cs="Arial" w:eastAsia="Arial" w:hAnsi="Arial"/>
                <w:sz w:val="16"/>
                <w:szCs w:val="16"/>
                <w:color w:val="auto"/>
              </w:rPr>
              <w:t>3,310</w:t>
            </w:r>
          </w:p>
        </w:tc>
        <w:tc>
          <w:tcPr>
            <w:tcW w:w="700" w:type="dxa"/>
            <w:vAlign w:val="bottom"/>
          </w:tcPr>
          <w:p>
            <w:pPr>
              <w:jc w:val="right"/>
              <w:ind w:right="299"/>
              <w:spacing w:after="0"/>
              <w:rPr>
                <w:sz w:val="20"/>
                <w:szCs w:val="20"/>
                <w:color w:val="auto"/>
              </w:rPr>
            </w:pPr>
            <w:r>
              <w:rPr>
                <w:rFonts w:ascii="Arial" w:cs="Arial" w:eastAsia="Arial" w:hAnsi="Arial"/>
                <w:sz w:val="16"/>
                <w:szCs w:val="16"/>
                <w:color w:val="auto"/>
              </w:rPr>
              <w:t>9</w:t>
            </w:r>
          </w:p>
        </w:tc>
      </w:tr>
      <w:tr>
        <w:trPr>
          <w:trHeight w:val="216"/>
        </w:trPr>
        <w:tc>
          <w:tcPr>
            <w:tcW w:w="5980" w:type="dxa"/>
            <w:vAlign w:val="bottom"/>
          </w:tcPr>
          <w:p>
            <w:pPr>
              <w:ind w:left="140"/>
              <w:spacing w:after="0"/>
              <w:rPr>
                <w:sz w:val="20"/>
                <w:szCs w:val="20"/>
                <w:color w:val="auto"/>
              </w:rPr>
            </w:pPr>
            <w:r>
              <w:rPr>
                <w:rFonts w:ascii="Arial" w:cs="Arial" w:eastAsia="Arial" w:hAnsi="Arial"/>
                <w:sz w:val="16"/>
                <w:szCs w:val="16"/>
                <w:color w:val="auto"/>
              </w:rPr>
              <w:t>Sempra Mexico</w:t>
            </w:r>
          </w:p>
        </w:tc>
        <w:tc>
          <w:tcPr>
            <w:tcW w:w="46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3,314</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9</w:t>
            </w:r>
          </w:p>
        </w:tc>
        <w:tc>
          <w:tcPr>
            <w:tcW w:w="520" w:type="dxa"/>
            <w:vAlign w:val="bottom"/>
          </w:tcPr>
          <w:p>
            <w:pPr>
              <w:spacing w:after="0"/>
              <w:rPr>
                <w:sz w:val="18"/>
                <w:szCs w:val="18"/>
                <w:color w:val="auto"/>
              </w:rPr>
            </w:pPr>
          </w:p>
        </w:tc>
        <w:tc>
          <w:tcPr>
            <w:tcW w:w="1620" w:type="dxa"/>
            <w:vAlign w:val="bottom"/>
          </w:tcPr>
          <w:p>
            <w:pPr>
              <w:jc w:val="right"/>
              <w:ind w:right="459"/>
              <w:spacing w:after="0"/>
              <w:rPr>
                <w:sz w:val="20"/>
                <w:szCs w:val="20"/>
                <w:color w:val="auto"/>
              </w:rPr>
            </w:pPr>
            <w:r>
              <w:rPr>
                <w:rFonts w:ascii="Arial" w:cs="Arial" w:eastAsia="Arial" w:hAnsi="Arial"/>
                <w:sz w:val="16"/>
                <w:szCs w:val="16"/>
                <w:color w:val="auto"/>
              </w:rPr>
              <w:t>2,591</w:t>
            </w:r>
          </w:p>
        </w:tc>
        <w:tc>
          <w:tcPr>
            <w:tcW w:w="700" w:type="dxa"/>
            <w:vAlign w:val="bottom"/>
          </w:tcPr>
          <w:p>
            <w:pPr>
              <w:jc w:val="right"/>
              <w:ind w:right="299"/>
              <w:spacing w:after="0"/>
              <w:rPr>
                <w:sz w:val="20"/>
                <w:szCs w:val="20"/>
                <w:color w:val="auto"/>
              </w:rPr>
            </w:pPr>
            <w:r>
              <w:rPr>
                <w:rFonts w:ascii="Arial" w:cs="Arial" w:eastAsia="Arial" w:hAnsi="Arial"/>
                <w:sz w:val="16"/>
                <w:szCs w:val="16"/>
                <w:color w:val="auto"/>
              </w:rPr>
              <w:t>7</w:t>
            </w:r>
          </w:p>
        </w:tc>
      </w:tr>
      <w:tr>
        <w:trPr>
          <w:trHeight w:val="216"/>
        </w:trPr>
        <w:tc>
          <w:tcPr>
            <w:tcW w:w="5980" w:type="dxa"/>
            <w:vAlign w:val="bottom"/>
          </w:tcPr>
          <w:p>
            <w:pPr>
              <w:ind w:left="140"/>
              <w:spacing w:after="0"/>
              <w:rPr>
                <w:sz w:val="20"/>
                <w:szCs w:val="20"/>
                <w:color w:val="auto"/>
              </w:rPr>
            </w:pPr>
            <w:r>
              <w:rPr>
                <w:rFonts w:ascii="Arial" w:cs="Arial" w:eastAsia="Arial" w:hAnsi="Arial"/>
                <w:sz w:val="16"/>
                <w:szCs w:val="16"/>
                <w:color w:val="auto"/>
              </w:rPr>
              <w:t>Sempra Renewables</w:t>
            </w:r>
          </w:p>
        </w:tc>
        <w:tc>
          <w:tcPr>
            <w:tcW w:w="46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2,194</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6</w:t>
            </w:r>
          </w:p>
        </w:tc>
        <w:tc>
          <w:tcPr>
            <w:tcW w:w="520" w:type="dxa"/>
            <w:vAlign w:val="bottom"/>
          </w:tcPr>
          <w:p>
            <w:pPr>
              <w:spacing w:after="0"/>
              <w:rPr>
                <w:sz w:val="18"/>
                <w:szCs w:val="18"/>
                <w:color w:val="auto"/>
              </w:rPr>
            </w:pPr>
          </w:p>
        </w:tc>
        <w:tc>
          <w:tcPr>
            <w:tcW w:w="1620" w:type="dxa"/>
            <w:vAlign w:val="bottom"/>
          </w:tcPr>
          <w:p>
            <w:pPr>
              <w:jc w:val="right"/>
              <w:ind w:right="459"/>
              <w:spacing w:after="0"/>
              <w:rPr>
                <w:sz w:val="20"/>
                <w:szCs w:val="20"/>
                <w:color w:val="auto"/>
              </w:rPr>
            </w:pPr>
            <w:r>
              <w:rPr>
                <w:rFonts w:ascii="Arial" w:cs="Arial" w:eastAsia="Arial" w:hAnsi="Arial"/>
                <w:sz w:val="16"/>
                <w:szCs w:val="16"/>
                <w:color w:val="auto"/>
              </w:rPr>
              <w:t>2,439</w:t>
            </w:r>
          </w:p>
        </w:tc>
        <w:tc>
          <w:tcPr>
            <w:tcW w:w="700" w:type="dxa"/>
            <w:vAlign w:val="bottom"/>
          </w:tcPr>
          <w:p>
            <w:pPr>
              <w:jc w:val="right"/>
              <w:ind w:right="299"/>
              <w:spacing w:after="0"/>
              <w:rPr>
                <w:sz w:val="20"/>
                <w:szCs w:val="20"/>
                <w:color w:val="auto"/>
              </w:rPr>
            </w:pPr>
            <w:r>
              <w:rPr>
                <w:rFonts w:ascii="Arial" w:cs="Arial" w:eastAsia="Arial" w:hAnsi="Arial"/>
                <w:sz w:val="16"/>
                <w:szCs w:val="16"/>
                <w:color w:val="auto"/>
              </w:rPr>
              <w:t>7</w:t>
            </w:r>
          </w:p>
        </w:tc>
      </w:tr>
      <w:tr>
        <w:trPr>
          <w:trHeight w:val="216"/>
        </w:trPr>
        <w:tc>
          <w:tcPr>
            <w:tcW w:w="5980" w:type="dxa"/>
            <w:vAlign w:val="bottom"/>
          </w:tcPr>
          <w:p>
            <w:pPr>
              <w:ind w:left="140"/>
              <w:spacing w:after="0"/>
              <w:rPr>
                <w:sz w:val="20"/>
                <w:szCs w:val="20"/>
                <w:color w:val="auto"/>
              </w:rPr>
            </w:pPr>
            <w:r>
              <w:rPr>
                <w:rFonts w:ascii="Arial" w:cs="Arial" w:eastAsia="Arial" w:hAnsi="Arial"/>
                <w:sz w:val="16"/>
                <w:szCs w:val="16"/>
                <w:color w:val="auto"/>
              </w:rPr>
              <w:t>Sempra Natural Gas</w:t>
            </w:r>
          </w:p>
        </w:tc>
        <w:tc>
          <w:tcPr>
            <w:tcW w:w="46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5,971</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16</w:t>
            </w:r>
          </w:p>
        </w:tc>
        <w:tc>
          <w:tcPr>
            <w:tcW w:w="520" w:type="dxa"/>
            <w:vAlign w:val="bottom"/>
          </w:tcPr>
          <w:p>
            <w:pPr>
              <w:spacing w:after="0"/>
              <w:rPr>
                <w:sz w:val="18"/>
                <w:szCs w:val="18"/>
                <w:color w:val="auto"/>
              </w:rPr>
            </w:pPr>
          </w:p>
        </w:tc>
        <w:tc>
          <w:tcPr>
            <w:tcW w:w="1620" w:type="dxa"/>
            <w:vAlign w:val="bottom"/>
          </w:tcPr>
          <w:p>
            <w:pPr>
              <w:jc w:val="right"/>
              <w:ind w:right="459"/>
              <w:spacing w:after="0"/>
              <w:rPr>
                <w:sz w:val="20"/>
                <w:szCs w:val="20"/>
                <w:color w:val="auto"/>
              </w:rPr>
            </w:pPr>
            <w:r>
              <w:rPr>
                <w:rFonts w:ascii="Arial" w:cs="Arial" w:eastAsia="Arial" w:hAnsi="Arial"/>
                <w:sz w:val="16"/>
                <w:szCs w:val="16"/>
                <w:color w:val="auto"/>
              </w:rPr>
              <w:t>5,145</w:t>
            </w:r>
          </w:p>
        </w:tc>
        <w:tc>
          <w:tcPr>
            <w:tcW w:w="700" w:type="dxa"/>
            <w:vAlign w:val="bottom"/>
          </w:tcPr>
          <w:p>
            <w:pPr>
              <w:jc w:val="right"/>
              <w:ind w:right="299"/>
              <w:spacing w:after="0"/>
              <w:rPr>
                <w:sz w:val="20"/>
                <w:szCs w:val="20"/>
                <w:color w:val="auto"/>
              </w:rPr>
            </w:pPr>
            <w:r>
              <w:rPr>
                <w:rFonts w:ascii="Arial" w:cs="Arial" w:eastAsia="Arial" w:hAnsi="Arial"/>
                <w:sz w:val="16"/>
                <w:szCs w:val="16"/>
                <w:color w:val="auto"/>
              </w:rPr>
              <w:t>14</w:t>
            </w:r>
          </w:p>
        </w:tc>
      </w:tr>
      <w:tr>
        <w:trPr>
          <w:trHeight w:val="216"/>
        </w:trPr>
        <w:tc>
          <w:tcPr>
            <w:tcW w:w="5980" w:type="dxa"/>
            <w:vAlign w:val="bottom"/>
          </w:tcPr>
          <w:p>
            <w:pPr>
              <w:ind w:left="140"/>
              <w:spacing w:after="0"/>
              <w:rPr>
                <w:sz w:val="20"/>
                <w:szCs w:val="20"/>
                <w:color w:val="auto"/>
              </w:rPr>
            </w:pPr>
            <w:r>
              <w:rPr>
                <w:rFonts w:ascii="Arial" w:cs="Arial" w:eastAsia="Arial" w:hAnsi="Arial"/>
                <w:sz w:val="16"/>
                <w:szCs w:val="16"/>
                <w:color w:val="auto"/>
              </w:rPr>
              <w:t>All other</w:t>
            </w:r>
          </w:p>
        </w:tc>
        <w:tc>
          <w:tcPr>
            <w:tcW w:w="46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762</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2</w:t>
            </w:r>
          </w:p>
        </w:tc>
        <w:tc>
          <w:tcPr>
            <w:tcW w:w="520" w:type="dxa"/>
            <w:vAlign w:val="bottom"/>
          </w:tcPr>
          <w:p>
            <w:pPr>
              <w:spacing w:after="0"/>
              <w:rPr>
                <w:sz w:val="18"/>
                <w:szCs w:val="18"/>
                <w:color w:val="auto"/>
              </w:rPr>
            </w:pPr>
          </w:p>
        </w:tc>
        <w:tc>
          <w:tcPr>
            <w:tcW w:w="1620" w:type="dxa"/>
            <w:vAlign w:val="bottom"/>
          </w:tcPr>
          <w:p>
            <w:pPr>
              <w:jc w:val="right"/>
              <w:ind w:right="459"/>
              <w:spacing w:after="0"/>
              <w:rPr>
                <w:sz w:val="20"/>
                <w:szCs w:val="20"/>
                <w:color w:val="auto"/>
              </w:rPr>
            </w:pPr>
            <w:r>
              <w:rPr>
                <w:rFonts w:ascii="Arial" w:cs="Arial" w:eastAsia="Arial" w:hAnsi="Arial"/>
                <w:sz w:val="16"/>
                <w:szCs w:val="16"/>
                <w:color w:val="auto"/>
              </w:rPr>
              <w:t>818</w:t>
            </w:r>
          </w:p>
        </w:tc>
        <w:tc>
          <w:tcPr>
            <w:tcW w:w="700" w:type="dxa"/>
            <w:vAlign w:val="bottom"/>
          </w:tcPr>
          <w:p>
            <w:pPr>
              <w:jc w:val="right"/>
              <w:ind w:right="299"/>
              <w:spacing w:after="0"/>
              <w:rPr>
                <w:sz w:val="20"/>
                <w:szCs w:val="20"/>
                <w:color w:val="auto"/>
              </w:rPr>
            </w:pPr>
            <w:r>
              <w:rPr>
                <w:rFonts w:ascii="Arial" w:cs="Arial" w:eastAsia="Arial" w:hAnsi="Arial"/>
                <w:sz w:val="16"/>
                <w:szCs w:val="16"/>
                <w:color w:val="auto"/>
              </w:rPr>
              <w:t>2</w:t>
            </w:r>
          </w:p>
        </w:tc>
      </w:tr>
      <w:tr>
        <w:trPr>
          <w:trHeight w:val="216"/>
        </w:trPr>
        <w:tc>
          <w:tcPr>
            <w:tcW w:w="5980" w:type="dxa"/>
            <w:vAlign w:val="bottom"/>
          </w:tcPr>
          <w:p>
            <w:pPr>
              <w:ind w:left="140"/>
              <w:spacing w:after="0"/>
              <w:rPr>
                <w:sz w:val="20"/>
                <w:szCs w:val="20"/>
                <w:color w:val="auto"/>
              </w:rPr>
            </w:pPr>
            <w:r>
              <w:rPr>
                <w:rFonts w:ascii="Arial" w:cs="Arial" w:eastAsia="Arial" w:hAnsi="Arial"/>
                <w:sz w:val="16"/>
                <w:szCs w:val="16"/>
                <w:color w:val="auto"/>
              </w:rPr>
              <w:t>Intersegment receivables</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(2,712)</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w:t>
            </w:r>
          </w:p>
        </w:tc>
        <w:tc>
          <w:tcPr>
            <w:tcW w:w="5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(1,619)</w:t>
            </w: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(4)</w:t>
            </w:r>
          </w:p>
        </w:tc>
      </w:tr>
      <w:tr>
        <w:trPr>
          <w:trHeight w:val="189"/>
        </w:trPr>
        <w:tc>
          <w:tcPr>
            <w:tcW w:w="598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Total</w:t>
            </w:r>
          </w:p>
        </w:tc>
        <w:tc>
          <w:tcPr>
            <w:tcW w:w="46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37,273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5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36,499</w:t>
            </w: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100 %</w:t>
            </w:r>
          </w:p>
        </w:tc>
      </w:tr>
      <w:tr>
        <w:trPr>
          <w:trHeight w:val="21"/>
        </w:trPr>
        <w:tc>
          <w:tcPr>
            <w:tcW w:w="5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7"/>
        </w:trPr>
        <w:tc>
          <w:tcPr>
            <w:tcW w:w="5980" w:type="dxa"/>
            <w:vAlign w:val="bottom"/>
          </w:tcPr>
          <w:p>
            <w:pPr>
              <w:spacing w:after="0"/>
              <w:rPr>
                <w:sz w:val="20"/>
                <w:szCs w:val="20"/>
                <w:color w:val="auto"/>
              </w:rPr>
            </w:pPr>
            <w:r>
              <w:rPr>
                <w:rFonts w:ascii="Arial" w:cs="Arial" w:eastAsia="Arial" w:hAnsi="Arial"/>
                <w:sz w:val="16"/>
                <w:szCs w:val="16"/>
                <w:color w:val="auto"/>
              </w:rPr>
              <w:t>INVESTMENTS IN EQUITY METHOD INVESTEES</w:t>
            </w: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6"/>
                <w:szCs w:val="16"/>
                <w:color w:val="auto"/>
              </w:rPr>
              <w:t>Sempra Mexico</w:t>
            </w: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351</w:t>
            </w:r>
          </w:p>
        </w:tc>
        <w:tc>
          <w:tcPr>
            <w:tcW w:w="980" w:type="dxa"/>
            <w:vAlign w:val="bottom"/>
          </w:tcPr>
          <w:p>
            <w:pPr>
              <w:spacing w:after="0"/>
              <w:rPr>
                <w:sz w:val="18"/>
                <w:szCs w:val="18"/>
                <w:color w:val="auto"/>
              </w:rPr>
            </w:pPr>
          </w:p>
        </w:tc>
        <w:tc>
          <w:tcPr>
            <w:tcW w:w="520" w:type="dxa"/>
            <w:vAlign w:val="bottom"/>
          </w:tcPr>
          <w:p>
            <w:pPr>
              <w:jc w:val="center"/>
              <w:ind w:right="15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459"/>
              <w:spacing w:after="0"/>
              <w:rPr>
                <w:sz w:val="20"/>
                <w:szCs w:val="20"/>
                <w:color w:val="auto"/>
              </w:rPr>
            </w:pPr>
            <w:r>
              <w:rPr>
                <w:rFonts w:ascii="Arial" w:cs="Arial" w:eastAsia="Arial" w:hAnsi="Arial"/>
                <w:sz w:val="16"/>
                <w:szCs w:val="16"/>
                <w:color w:val="auto"/>
              </w:rPr>
              <w:t>340</w:t>
            </w:r>
          </w:p>
        </w:tc>
        <w:tc>
          <w:tcPr>
            <w:tcW w:w="700" w:type="dxa"/>
            <w:vAlign w:val="bottom"/>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6"/>
                <w:szCs w:val="16"/>
                <w:color w:val="auto"/>
              </w:rPr>
              <w:t>Sempra Renewables</w:t>
            </w:r>
          </w:p>
        </w:tc>
        <w:tc>
          <w:tcPr>
            <w:tcW w:w="46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601</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jc w:val="right"/>
              <w:ind w:right="459"/>
              <w:spacing w:after="0"/>
              <w:rPr>
                <w:sz w:val="20"/>
                <w:szCs w:val="20"/>
                <w:color w:val="auto"/>
              </w:rPr>
            </w:pPr>
            <w:r>
              <w:rPr>
                <w:rFonts w:ascii="Arial" w:cs="Arial" w:eastAsia="Arial" w:hAnsi="Arial"/>
                <w:sz w:val="16"/>
                <w:szCs w:val="16"/>
                <w:color w:val="auto"/>
              </w:rPr>
              <w:t>592</w:t>
            </w:r>
          </w:p>
        </w:tc>
        <w:tc>
          <w:tcPr>
            <w:tcW w:w="700" w:type="dxa"/>
            <w:vAlign w:val="bottom"/>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6"/>
                <w:szCs w:val="16"/>
                <w:color w:val="auto"/>
              </w:rPr>
              <w:t>Sempra Natural Gas</w:t>
            </w:r>
          </w:p>
        </w:tc>
        <w:tc>
          <w:tcPr>
            <w:tcW w:w="46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348</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jc w:val="right"/>
              <w:ind w:right="459"/>
              <w:spacing w:after="0"/>
              <w:rPr>
                <w:sz w:val="20"/>
                <w:szCs w:val="20"/>
                <w:color w:val="auto"/>
              </w:rPr>
            </w:pPr>
            <w:r>
              <w:rPr>
                <w:rFonts w:ascii="Arial" w:cs="Arial" w:eastAsia="Arial" w:hAnsi="Arial"/>
                <w:sz w:val="16"/>
                <w:szCs w:val="16"/>
                <w:color w:val="auto"/>
              </w:rPr>
              <w:t>361</w:t>
            </w:r>
          </w:p>
        </w:tc>
        <w:tc>
          <w:tcPr>
            <w:tcW w:w="700" w:type="dxa"/>
            <w:vAlign w:val="bottom"/>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6"/>
                <w:szCs w:val="16"/>
                <w:color w:val="auto"/>
              </w:rPr>
              <w:t>All other</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126</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134</w:t>
            </w:r>
          </w:p>
        </w:tc>
        <w:tc>
          <w:tcPr>
            <w:tcW w:w="700" w:type="dxa"/>
            <w:vAlign w:val="bottom"/>
            <w:tcBorders>
              <w:bottom w:val="single" w:sz="8" w:color="auto"/>
            </w:tcBorders>
          </w:tcPr>
          <w:p>
            <w:pPr>
              <w:spacing w:after="0"/>
              <w:rPr>
                <w:sz w:val="18"/>
                <w:szCs w:val="18"/>
                <w:color w:val="auto"/>
              </w:rPr>
            </w:pPr>
          </w:p>
        </w:tc>
      </w:tr>
      <w:tr>
        <w:trPr>
          <w:trHeight w:val="216"/>
        </w:trPr>
        <w:tc>
          <w:tcPr>
            <w:tcW w:w="598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Total</w:t>
            </w:r>
          </w:p>
        </w:tc>
        <w:tc>
          <w:tcPr>
            <w:tcW w:w="46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1,426</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1,427</w:t>
            </w:r>
          </w:p>
        </w:tc>
        <w:tc>
          <w:tcPr>
            <w:tcW w:w="700" w:type="dxa"/>
            <w:vAlign w:val="bottom"/>
            <w:tcBorders>
              <w:bottom w:val="single" w:sz="8" w:color="auto"/>
            </w:tcBorders>
          </w:tcPr>
          <w:p>
            <w:pPr>
              <w:spacing w:after="0"/>
              <w:rPr>
                <w:sz w:val="18"/>
                <w:szCs w:val="18"/>
                <w:color w:val="auto"/>
              </w:rPr>
            </w:pPr>
          </w:p>
        </w:tc>
      </w:tr>
      <w:tr>
        <w:trPr>
          <w:trHeight w:val="21"/>
        </w:trPr>
        <w:tc>
          <w:tcPr>
            <w:tcW w:w="5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ind w:left="680" w:hanging="422"/>
        <w:spacing w:after="0"/>
        <w:tabs>
          <w:tab w:leader="none" w:pos="680" w:val="left"/>
        </w:tabs>
        <w:numPr>
          <w:ilvl w:val="0"/>
          <w:numId w:val="51"/>
        </w:numPr>
        <w:rPr>
          <w:rFonts w:ascii="Arial" w:cs="Arial" w:eastAsia="Arial" w:hAnsi="Arial"/>
          <w:sz w:val="14"/>
          <w:szCs w:val="14"/>
          <w:i w:val="1"/>
          <w:iCs w:val="1"/>
          <w:color w:val="auto"/>
        </w:rPr>
      </w:pPr>
      <w:r>
        <w:rPr>
          <w:rFonts w:ascii="Arial" w:cs="Arial" w:eastAsia="Arial" w:hAnsi="Arial"/>
          <w:sz w:val="14"/>
          <w:szCs w:val="14"/>
          <w:i w:val="1"/>
          <w:iCs w:val="1"/>
          <w:color w:val="auto"/>
        </w:rPr>
        <w:t>Revenues for reportable segments include intersegment revenues of:</w:t>
      </w:r>
    </w:p>
    <w:p>
      <w:pPr>
        <w:spacing w:after="0" w:line="5" w:lineRule="exact"/>
        <w:rPr>
          <w:rFonts w:ascii="Arial" w:cs="Arial" w:eastAsia="Arial" w:hAnsi="Arial"/>
          <w:sz w:val="14"/>
          <w:szCs w:val="14"/>
          <w:i w:val="1"/>
          <w:iCs w:val="1"/>
          <w:color w:val="auto"/>
        </w:rPr>
      </w:pPr>
    </w:p>
    <w:p>
      <w:pPr>
        <w:ind w:left="680" w:right="480"/>
        <w:spacing w:after="0" w:line="241" w:lineRule="auto"/>
        <w:rPr>
          <w:rFonts w:ascii="Arial" w:cs="Arial" w:eastAsia="Arial" w:hAnsi="Arial"/>
          <w:sz w:val="14"/>
          <w:szCs w:val="14"/>
          <w:i w:val="1"/>
          <w:iCs w:val="1"/>
          <w:color w:val="auto"/>
        </w:rPr>
      </w:pPr>
      <w:r>
        <w:rPr>
          <w:rFonts w:ascii="Arial" w:cs="Arial" w:eastAsia="Arial" w:hAnsi="Arial"/>
          <w:sz w:val="14"/>
          <w:szCs w:val="14"/>
          <w:i w:val="1"/>
          <w:iCs w:val="1"/>
          <w:color w:val="auto"/>
        </w:rPr>
        <w:t>$2 million, $15 million, $22 million and $59 million for the three months ended March 31, 2013 and $2 million, $15 million, $46 million and $37 million for the three months ended March 31, 2012 for SDG&amp;E, SoCalGas, Sempra Mexico and Sempra Natural Gas, respectively.</w:t>
      </w:r>
    </w:p>
    <w:p>
      <w:pPr>
        <w:ind w:left="680" w:hanging="422"/>
        <w:spacing w:after="0"/>
        <w:tabs>
          <w:tab w:leader="none" w:pos="680" w:val="left"/>
        </w:tabs>
        <w:numPr>
          <w:ilvl w:val="0"/>
          <w:numId w:val="51"/>
        </w:numPr>
        <w:rPr>
          <w:rFonts w:ascii="Arial" w:cs="Arial" w:eastAsia="Arial" w:hAnsi="Arial"/>
          <w:sz w:val="14"/>
          <w:szCs w:val="14"/>
          <w:i w:val="1"/>
          <w:iCs w:val="1"/>
          <w:color w:val="auto"/>
        </w:rPr>
      </w:pPr>
      <w:r>
        <w:rPr>
          <w:rFonts w:ascii="Arial" w:cs="Arial" w:eastAsia="Arial" w:hAnsi="Arial"/>
          <w:sz w:val="14"/>
          <w:szCs w:val="14"/>
          <w:i w:val="1"/>
          <w:iCs w:val="1"/>
          <w:color w:val="auto"/>
        </w:rPr>
        <w:t>After preferred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240"/>
        <w:spacing w:after="0" w:line="273" w:lineRule="auto"/>
        <w:rPr>
          <w:sz w:val="20"/>
          <w:szCs w:val="20"/>
          <w:color w:val="auto"/>
        </w:rPr>
      </w:pPr>
      <w:r>
        <w:rPr>
          <w:rFonts w:ascii="Arial" w:cs="Arial" w:eastAsia="Arial" w:hAnsi="Arial"/>
          <w:sz w:val="23"/>
          <w:szCs w:val="23"/>
          <w:color w:val="auto"/>
        </w:rPr>
        <w:t>ITEM 2. MANAGEMENT’S DISCUSSION AND ANALYSIS OF FINANCIAL CONDITION AND RESULTS OF OPERATIONS</w:t>
      </w:r>
    </w:p>
    <w:p>
      <w:pPr>
        <w:spacing w:after="0" w:line="19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You should read the following discussion in conjunction with the Condensed Consolidated Financial Statements and the Notes thereto contained in this Form 10-Q, “Management’s Discussion and Analysis of Financial Condition and Results of Operations” and the Consolidated Financial Statements and the Notes thereto contained in our 2012 Annual Report on Form 10-K (Annual Report) and “Risk Factors” contained in our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508635</wp:posOffset>
            </wp:positionV>
            <wp:extent cx="72637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412" w:right="239" w:bottom="580" w:gutter="0" w:footer="0" w:header="0"/>
        </w:sectPr>
      </w:pPr>
    </w:p>
    <w:bookmarkStart w:id="46" w:name="page47"/>
    <w:bookmarkEnd w:id="46"/>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OVERVIEW</w:t>
      </w:r>
    </w:p>
    <w:p>
      <w:pPr>
        <w:spacing w:after="0" w:line="200" w:lineRule="exact"/>
        <w:rPr>
          <w:sz w:val="20"/>
          <w:szCs w:val="20"/>
          <w:color w:val="auto"/>
        </w:rPr>
      </w:pPr>
    </w:p>
    <w:p>
      <w:pPr>
        <w:spacing w:after="0" w:line="26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Sempra Energy is a Fortune 500 energy-services holding company whose operating units develop energy infrastructure, operate utilities and provide related services to their customers. Our operations are divided principally between our California Utilities, which are San Diego Gas &amp; Electric Company (SDG&amp;E) and Southern California Gas Company (SoCalGas), and Sempra International and Sempra U.S. Gas &amp; Power. SDG&amp;E and SoCalGas are separate, reportable segments. Sempra International includes two reportable segments – Sempra South American Utilities and Sempra Mexico. Sempra U.S. Gas &amp; Power also includes two reportable segments – Sempra Renewables and Sempra Natural Gas.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This report includes information for the following separate registrants:</w:t>
      </w:r>
    </w:p>
    <w:p>
      <w:pPr>
        <w:spacing w:after="0" w:line="252" w:lineRule="exact"/>
        <w:rPr>
          <w:sz w:val="20"/>
          <w:szCs w:val="20"/>
          <w:color w:val="auto"/>
        </w:rPr>
      </w:pPr>
    </w:p>
    <w:p>
      <w:pPr>
        <w:ind w:left="340" w:hanging="188"/>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Sempra Energy and its consolidated entities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SDG&amp;E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SoCalGas</w:t>
      </w:r>
    </w:p>
    <w:p>
      <w:pPr>
        <w:spacing w:after="0" w:line="25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References to “we,” “our” and “Sempra Energy Consolidated” are to Sempra Energy and its consolidated entities, collectively, unless otherwise indicated by the context. All references to “Sempra International” and “Sempra U.S. Gas &amp; Power,” and to their respective principal segments, are not intended to refer to any legal entity with the same or similar name.</w:t>
      </w:r>
    </w:p>
    <w:p>
      <w:pPr>
        <w:spacing w:after="0" w:line="2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first quarter of 2013, a Sempra Energy subsidiary, Infraestructura Energética Nova, S.A.B. de C.V. (IEnova), completed a private offering and concurrent public offering of common stock in Mexico. IEnova is a separate legal entity, formerly known as Sempra México, S.A. de C.V., comprised primarily of Sempra Energy’s operations in Mexico. IEnova is included within our Sempra Mexico reportable segment, but is not the same in its entirety as the reportable segment. In addition to the IEnova operating companies, the Sempra Mexico segment includes, among other things, certain holding companies and risk management activity. Also, IEnova’s financial results are reported in Mexico under IFRS, as required by the Mexican Stock Exchange (the Bolsa Mexicana de Valores, S.A.B. de C.V.) where the new shares are now traded under the symbol IENOVA. We discuss the offerings and IEnova further in Note 5 of the Notes to Condensed Consolidated Financial Statements herein.</w:t>
      </w:r>
    </w:p>
    <w:p>
      <w:pPr>
        <w:spacing w:after="0" w:line="21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During the fourth quarter of 2012, we revised the manner in which we make resource allocation decisions to our Sempra Mexico segment and assess its performance, as we discuss in Note 11 of the Notes to Condensed Consolidated Financial Statements herein and in Notes 16 and 18 of the Notes to Consolidated Financial Statements in the Annual Report. As a result, we have reclassified certain amounts from Parent and Other, which contains interest and other corporate costs and certain holding company activities, to our Sempra Mexico segment. In accordance with accounting principles generally accepted in the United States (U.S. GAAP), our historical segment disclosures have been restated to be consistent with the current presentation. All discussions of our operating units and reportable segments reflect the revised segment information.</w:t>
      </w:r>
    </w:p>
    <w:p>
      <w:pPr>
        <w:spacing w:after="0" w:line="20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RBS Sempra Commodities LLP (RBS Sempra Commodities) is a joint venture partnership that held commodities-marketing businesses previously owned by us. We and The Royal Bank of Scotland plc (RBS), our partner in the joint venture, sold substantially all of the partnership’s businesses and assets in four separate transactions completed in 2010 and early 2011. We discuss these transactions and other matters concerning the partnership in Notes 4, 6 and 10 of the Notes to Condensed Consolidated Financial Statements herein. We account for our investment in RBS Sempra Commodities under the equity method and report our share of partnership earnings and other associated costs in Parent and Other.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Below are summary descriptions of our operating units and their reportable segments.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OPERATING UNITS AND 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2466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CALIFORNIA UTILITIES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820" w:type="dxa"/>
            <w:vAlign w:val="bottom"/>
          </w:tcPr>
          <w:p>
            <w:pPr>
              <w:ind w:left="1580"/>
              <w:spacing w:after="0"/>
              <w:rPr>
                <w:sz w:val="20"/>
                <w:szCs w:val="20"/>
                <w:color w:val="auto"/>
              </w:rPr>
            </w:pPr>
            <w:r>
              <w:rPr>
                <w:rFonts w:ascii="Arial" w:cs="Arial" w:eastAsia="Arial" w:hAnsi="Arial"/>
                <w:sz w:val="14"/>
                <w:szCs w:val="14"/>
                <w:b w:val="1"/>
                <w:bCs w:val="1"/>
                <w:color w:val="auto"/>
              </w:rPr>
              <w:t>MARKET</w:t>
            </w:r>
          </w:p>
        </w:tc>
        <w:tc>
          <w:tcPr>
            <w:tcW w:w="3780" w:type="dxa"/>
            <w:vAlign w:val="bottom"/>
          </w:tcPr>
          <w:p>
            <w:pPr>
              <w:ind w:left="1120"/>
              <w:spacing w:after="0"/>
              <w:rPr>
                <w:sz w:val="20"/>
                <w:szCs w:val="20"/>
                <w:color w:val="auto"/>
              </w:rPr>
            </w:pPr>
            <w:r>
              <w:rPr>
                <w:rFonts w:ascii="Arial" w:cs="Arial" w:eastAsia="Arial" w:hAnsi="Arial"/>
                <w:sz w:val="14"/>
                <w:szCs w:val="14"/>
                <w:b w:val="1"/>
                <w:bCs w:val="1"/>
                <w:color w:val="auto"/>
              </w:rPr>
              <w:t>SERVICE TERRITORY</w:t>
            </w:r>
          </w:p>
        </w:tc>
        <w:tc>
          <w:tcPr>
            <w:tcW w:w="0" w:type="dxa"/>
            <w:vAlign w:val="bottom"/>
          </w:tcPr>
          <w:p>
            <w:pPr>
              <w:spacing w:after="0"/>
              <w:rPr>
                <w:sz w:val="1"/>
                <w:szCs w:val="1"/>
                <w:color w:val="auto"/>
              </w:rPr>
            </w:pPr>
          </w:p>
        </w:tc>
      </w:tr>
      <w:tr>
        <w:trPr>
          <w:trHeight w:val="28"/>
        </w:trPr>
        <w:tc>
          <w:tcPr>
            <w:tcW w:w="3820" w:type="dxa"/>
            <w:vAlign w:val="bottom"/>
            <w:gridSpan w:val="2"/>
          </w:tcPr>
          <w:p>
            <w:pPr>
              <w:spacing w:after="0"/>
              <w:rPr>
                <w:sz w:val="2"/>
                <w:szCs w:val="2"/>
                <w:color w:val="auto"/>
              </w:rPr>
            </w:pPr>
          </w:p>
        </w:tc>
        <w:tc>
          <w:tcPr>
            <w:tcW w:w="38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Borders>
              <w:top w:val="single" w:sz="8" w:color="auto"/>
              <w:right w:val="single" w:sz="8" w:color="auto"/>
            </w:tcBorders>
          </w:tcPr>
          <w:p>
            <w:pPr>
              <w:spacing w:after="0" w:line="171" w:lineRule="exact"/>
              <w:rPr>
                <w:sz w:val="20"/>
                <w:szCs w:val="20"/>
                <w:color w:val="auto"/>
              </w:rPr>
            </w:pPr>
            <w:r>
              <w:rPr>
                <w:rFonts w:ascii="Arial" w:cs="Arial" w:eastAsia="Arial" w:hAnsi="Arial"/>
                <w:sz w:val="16"/>
                <w:szCs w:val="16"/>
                <w:b w:val="1"/>
                <w:bCs w:val="1"/>
                <w:color w:val="auto"/>
              </w:rPr>
              <w:t>SAN DIEGO GAS &amp; ELECTRIC COMPANY</w:t>
            </w:r>
          </w:p>
        </w:tc>
        <w:tc>
          <w:tcPr>
            <w:tcW w:w="3820" w:type="dxa"/>
            <w:vAlign w:val="bottom"/>
            <w:tcBorders>
              <w:top w:val="single" w:sz="8" w:color="auto"/>
              <w:right w:val="single" w:sz="8" w:color="auto"/>
            </w:tcBorders>
          </w:tcPr>
          <w:p>
            <w:pPr>
              <w:ind w:left="320"/>
              <w:spacing w:after="0" w:line="171" w:lineRule="exact"/>
              <w:rPr>
                <w:sz w:val="20"/>
                <w:szCs w:val="20"/>
                <w:color w:val="auto"/>
              </w:rPr>
            </w:pPr>
            <w:r>
              <w:rPr>
                <w:rFonts w:ascii="Arial" w:cs="Arial" w:eastAsia="Arial" w:hAnsi="Arial"/>
                <w:sz w:val="16"/>
                <w:szCs w:val="16"/>
                <w:color w:val="auto"/>
              </w:rPr>
              <w:t>§   Provides electricity to 3.4 million consumers</w:t>
            </w:r>
          </w:p>
        </w:tc>
        <w:tc>
          <w:tcPr>
            <w:tcW w:w="3780" w:type="dxa"/>
            <w:vAlign w:val="bottom"/>
            <w:tcBorders>
              <w:top w:val="single" w:sz="8" w:color="auto"/>
            </w:tcBorders>
          </w:tcPr>
          <w:p>
            <w:pPr>
              <w:spacing w:after="0" w:line="171" w:lineRule="exact"/>
              <w:rPr>
                <w:sz w:val="20"/>
                <w:szCs w:val="20"/>
                <w:color w:val="auto"/>
              </w:rPr>
            </w:pPr>
            <w:r>
              <w:rPr>
                <w:rFonts w:ascii="Arial" w:cs="Arial" w:eastAsia="Arial" w:hAnsi="Arial"/>
                <w:sz w:val="16"/>
                <w:szCs w:val="16"/>
                <w:color w:val="auto"/>
              </w:rPr>
              <w:t>Serves the county of San Diego, California and an</w:t>
            </w:r>
          </w:p>
        </w:tc>
        <w:tc>
          <w:tcPr>
            <w:tcW w:w="0" w:type="dxa"/>
            <w:vAlign w:val="bottom"/>
          </w:tcPr>
          <w:p>
            <w:pPr>
              <w:spacing w:after="0"/>
              <w:rPr>
                <w:sz w:val="1"/>
                <w:szCs w:val="1"/>
                <w:color w:val="auto"/>
              </w:rPr>
            </w:pPr>
          </w:p>
        </w:tc>
      </w:tr>
      <w:tr>
        <w:trPr>
          <w:trHeight w:val="209"/>
        </w:trPr>
        <w:tc>
          <w:tcPr>
            <w:tcW w:w="3820" w:type="dxa"/>
            <w:vAlign w:val="bottom"/>
            <w:tcBorders>
              <w:right w:val="single" w:sz="8" w:color="auto"/>
            </w:tcBorders>
            <w:gridSpan w:val="2"/>
          </w:tcPr>
          <w:p>
            <w:pPr>
              <w:spacing w:after="0"/>
              <w:rPr>
                <w:sz w:val="20"/>
                <w:szCs w:val="20"/>
                <w:color w:val="auto"/>
              </w:rPr>
            </w:pPr>
            <w:r>
              <w:rPr>
                <w:rFonts w:ascii="Arial" w:cs="Arial" w:eastAsia="Arial" w:hAnsi="Arial"/>
                <w:sz w:val="16"/>
                <w:szCs w:val="16"/>
                <w:b w:val="1"/>
                <w:bCs w:val="1"/>
                <w:color w:val="auto"/>
              </w:rPr>
              <w:t>(SDG&amp;E)</w:t>
            </w: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(1.4 million meters)</w:t>
            </w:r>
          </w:p>
        </w:tc>
        <w:tc>
          <w:tcPr>
            <w:tcW w:w="3780" w:type="dxa"/>
            <w:vAlign w:val="bottom"/>
          </w:tcPr>
          <w:p>
            <w:pPr>
              <w:spacing w:after="0"/>
              <w:rPr>
                <w:sz w:val="20"/>
                <w:szCs w:val="20"/>
                <w:color w:val="auto"/>
              </w:rPr>
            </w:pPr>
            <w:r>
              <w:rPr>
                <w:rFonts w:ascii="Arial" w:cs="Arial" w:eastAsia="Arial" w:hAnsi="Arial"/>
                <w:sz w:val="16"/>
                <w:szCs w:val="16"/>
                <w:color w:val="auto"/>
              </w:rPr>
              <w:t>adjacent portion of southern Orange County</w:t>
            </w:r>
          </w:p>
        </w:tc>
        <w:tc>
          <w:tcPr>
            <w:tcW w:w="0" w:type="dxa"/>
            <w:vAlign w:val="bottom"/>
          </w:tcPr>
          <w:p>
            <w:pPr>
              <w:spacing w:after="0"/>
              <w:rPr>
                <w:sz w:val="1"/>
                <w:szCs w:val="1"/>
                <w:color w:val="auto"/>
              </w:rPr>
            </w:pPr>
          </w:p>
        </w:tc>
      </w:tr>
      <w:tr>
        <w:trPr>
          <w:trHeight w:val="189"/>
        </w:trPr>
        <w:tc>
          <w:tcPr>
            <w:tcW w:w="38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A regulated public utility; infrastructure supports</w:t>
            </w:r>
          </w:p>
        </w:tc>
        <w:tc>
          <w:tcPr>
            <w:tcW w:w="3820" w:type="dxa"/>
            <w:vAlign w:val="bottom"/>
            <w:tcBorders>
              <w:right w:val="single" w:sz="8" w:color="auto"/>
            </w:tcBorders>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6"/>
                <w:szCs w:val="16"/>
                <w:color w:val="auto"/>
              </w:rPr>
              <w:t>covering 4,100 square miles</w:t>
            </w:r>
          </w:p>
        </w:tc>
        <w:tc>
          <w:tcPr>
            <w:tcW w:w="0" w:type="dxa"/>
            <w:vAlign w:val="bottom"/>
          </w:tcPr>
          <w:p>
            <w:pPr>
              <w:spacing w:after="0"/>
              <w:rPr>
                <w:sz w:val="1"/>
                <w:szCs w:val="1"/>
                <w:color w:val="auto"/>
              </w:rPr>
            </w:pPr>
          </w:p>
        </w:tc>
      </w:tr>
      <w:tr>
        <w:trPr>
          <w:trHeight w:val="189"/>
        </w:trPr>
        <w:tc>
          <w:tcPr>
            <w:tcW w:w="38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electric generation, transmission and distribution,</w:t>
            </w:r>
          </w:p>
        </w:tc>
        <w:tc>
          <w:tcPr>
            <w:tcW w:w="3820" w:type="dxa"/>
            <w:vAlign w:val="bottom"/>
            <w:tcBorders>
              <w:right w:val="single" w:sz="8" w:color="auto"/>
            </w:tcBorders>
            <w:vMerge w:val="restart"/>
          </w:tcPr>
          <w:p>
            <w:pPr>
              <w:ind w:left="320"/>
              <w:spacing w:after="0"/>
              <w:rPr>
                <w:sz w:val="20"/>
                <w:szCs w:val="20"/>
                <w:color w:val="auto"/>
              </w:rPr>
            </w:pPr>
            <w:r>
              <w:rPr>
                <w:rFonts w:ascii="Arial" w:cs="Arial" w:eastAsia="Arial" w:hAnsi="Arial"/>
                <w:sz w:val="16"/>
                <w:szCs w:val="16"/>
                <w:color w:val="auto"/>
              </w:rPr>
              <w:t>§   Provides natural gas to 3.1 million</w:t>
            </w:r>
          </w:p>
        </w:tc>
        <w:tc>
          <w:tcPr>
            <w:tcW w:w="3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38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and natural gas distribution</w:t>
            </w:r>
          </w:p>
        </w:tc>
        <w:tc>
          <w:tcPr>
            <w:tcW w:w="3820" w:type="dxa"/>
            <w:vAlign w:val="bottom"/>
            <w:tcBorders>
              <w:right w:val="single" w:sz="8" w:color="auto"/>
            </w:tcBorders>
            <w:vMerge w:val="continue"/>
          </w:tcPr>
          <w:p>
            <w:pPr>
              <w:spacing w:after="0"/>
              <w:rPr>
                <w:sz w:val="6"/>
                <w:szCs w:val="6"/>
                <w:color w:val="auto"/>
              </w:rPr>
            </w:pPr>
          </w:p>
        </w:tc>
        <w:tc>
          <w:tcPr>
            <w:tcW w:w="3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3820" w:type="dxa"/>
            <w:vAlign w:val="bottom"/>
            <w:tcBorders>
              <w:right w:val="single" w:sz="8" w:color="auto"/>
            </w:tcBorders>
            <w:gridSpan w:val="2"/>
            <w:vMerge w:val="continue"/>
          </w:tcPr>
          <w:p>
            <w:pPr>
              <w:spacing w:after="0"/>
              <w:rPr>
                <w:sz w:val="10"/>
                <w:szCs w:val="10"/>
                <w:color w:val="auto"/>
              </w:rPr>
            </w:pPr>
          </w:p>
        </w:tc>
        <w:tc>
          <w:tcPr>
            <w:tcW w:w="3820" w:type="dxa"/>
            <w:vAlign w:val="bottom"/>
            <w:tcBorders>
              <w:right w:val="single" w:sz="8" w:color="auto"/>
            </w:tcBorders>
            <w:vMerge w:val="restart"/>
          </w:tcPr>
          <w:p>
            <w:pPr>
              <w:ind w:left="320"/>
              <w:spacing w:after="0"/>
              <w:rPr>
                <w:sz w:val="20"/>
                <w:szCs w:val="20"/>
                <w:color w:val="auto"/>
              </w:rPr>
            </w:pPr>
            <w:r>
              <w:rPr>
                <w:rFonts w:ascii="Arial" w:cs="Arial" w:eastAsia="Arial" w:hAnsi="Arial"/>
                <w:sz w:val="16"/>
                <w:szCs w:val="16"/>
                <w:color w:val="auto"/>
              </w:rPr>
              <w:t>consumers (860,000 meters)</w:t>
            </w:r>
          </w:p>
        </w:tc>
        <w:tc>
          <w:tcPr>
            <w:tcW w:w="3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800" w:type="dxa"/>
            <w:vAlign w:val="bottom"/>
            <w:tcBorders>
              <w:right w:val="single" w:sz="8" w:color="auto"/>
            </w:tcBorders>
          </w:tcPr>
          <w:p>
            <w:pPr>
              <w:spacing w:after="0"/>
              <w:rPr>
                <w:sz w:val="7"/>
                <w:szCs w:val="7"/>
                <w:color w:val="auto"/>
              </w:rPr>
            </w:pPr>
          </w:p>
        </w:tc>
        <w:tc>
          <w:tcPr>
            <w:tcW w:w="3820" w:type="dxa"/>
            <w:vAlign w:val="bottom"/>
            <w:tcBorders>
              <w:right w:val="single" w:sz="8" w:color="auto"/>
            </w:tcBorders>
            <w:vMerge w:val="continue"/>
          </w:tcPr>
          <w:p>
            <w:pPr>
              <w:spacing w:after="0"/>
              <w:rPr>
                <w:sz w:val="7"/>
                <w:szCs w:val="7"/>
                <w:color w:val="auto"/>
              </w:rPr>
            </w:pPr>
          </w:p>
        </w:tc>
        <w:tc>
          <w:tcPr>
            <w:tcW w:w="3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820" w:type="dxa"/>
            <w:vAlign w:val="bottom"/>
            <w:tcBorders>
              <w:right w:val="single" w:sz="8" w:color="auto"/>
            </w:tcBorders>
            <w:gridSpan w:val="2"/>
          </w:tcPr>
          <w:p>
            <w:pPr>
              <w:spacing w:after="0"/>
              <w:rPr>
                <w:sz w:val="18"/>
                <w:szCs w:val="18"/>
                <w:color w:val="auto"/>
              </w:rPr>
            </w:pPr>
          </w:p>
        </w:tc>
        <w:tc>
          <w:tcPr>
            <w:tcW w:w="382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Borders>
              <w:top w:val="single" w:sz="8" w:color="auto"/>
              <w:right w:val="single" w:sz="8" w:color="auto"/>
            </w:tcBorders>
          </w:tcPr>
          <w:p>
            <w:pPr>
              <w:spacing w:after="0" w:line="171" w:lineRule="exact"/>
              <w:rPr>
                <w:sz w:val="20"/>
                <w:szCs w:val="20"/>
                <w:color w:val="auto"/>
              </w:rPr>
            </w:pPr>
            <w:r>
              <w:rPr>
                <w:rFonts w:ascii="Arial" w:cs="Arial" w:eastAsia="Arial" w:hAnsi="Arial"/>
                <w:sz w:val="16"/>
                <w:szCs w:val="16"/>
                <w:b w:val="1"/>
                <w:bCs w:val="1"/>
                <w:color w:val="auto"/>
              </w:rPr>
              <w:t>SOUTHERN CALIFORNIA GAS COMPANY</w:t>
            </w:r>
          </w:p>
        </w:tc>
        <w:tc>
          <w:tcPr>
            <w:tcW w:w="3820" w:type="dxa"/>
            <w:vAlign w:val="bottom"/>
            <w:tcBorders>
              <w:top w:val="single" w:sz="8" w:color="auto"/>
            </w:tcBorders>
          </w:tcPr>
          <w:p>
            <w:pPr>
              <w:ind w:left="320"/>
              <w:spacing w:after="0" w:line="171" w:lineRule="exact"/>
              <w:rPr>
                <w:sz w:val="20"/>
                <w:szCs w:val="20"/>
                <w:color w:val="auto"/>
              </w:rPr>
            </w:pPr>
            <w:r>
              <w:rPr>
                <w:rFonts w:ascii="Arial" w:cs="Arial" w:eastAsia="Arial" w:hAnsi="Arial"/>
                <w:sz w:val="16"/>
                <w:szCs w:val="16"/>
                <w:color w:val="auto"/>
              </w:rPr>
              <w:t>§   Residential, commercial, industrial, utility</w:t>
            </w:r>
          </w:p>
        </w:tc>
        <w:tc>
          <w:tcPr>
            <w:tcW w:w="3780" w:type="dxa"/>
            <w:vAlign w:val="bottom"/>
            <w:tcBorders>
              <w:top w:val="single" w:sz="8" w:color="auto"/>
            </w:tcBorders>
          </w:tcPr>
          <w:p>
            <w:pPr>
              <w:spacing w:after="0" w:line="171" w:lineRule="exact"/>
              <w:rPr>
                <w:sz w:val="20"/>
                <w:szCs w:val="20"/>
                <w:color w:val="auto"/>
              </w:rPr>
            </w:pPr>
            <w:r>
              <w:rPr>
                <w:rFonts w:ascii="Arial" w:cs="Arial" w:eastAsia="Arial" w:hAnsi="Arial"/>
                <w:sz w:val="16"/>
                <w:szCs w:val="16"/>
                <w:color w:val="auto"/>
              </w:rPr>
              <w:t>Southern California and portions of central California</w:t>
            </w:r>
          </w:p>
        </w:tc>
        <w:tc>
          <w:tcPr>
            <w:tcW w:w="0" w:type="dxa"/>
            <w:vAlign w:val="bottom"/>
          </w:tcPr>
          <w:p>
            <w:pPr>
              <w:spacing w:after="0"/>
              <w:rPr>
                <w:sz w:val="1"/>
                <w:szCs w:val="1"/>
                <w:color w:val="auto"/>
              </w:rPr>
            </w:pPr>
          </w:p>
        </w:tc>
      </w:tr>
      <w:tr>
        <w:trPr>
          <w:trHeight w:val="209"/>
        </w:trPr>
        <w:tc>
          <w:tcPr>
            <w:tcW w:w="3820" w:type="dxa"/>
            <w:vAlign w:val="bottom"/>
            <w:tcBorders>
              <w:right w:val="single" w:sz="8" w:color="auto"/>
            </w:tcBorders>
            <w:gridSpan w:val="2"/>
          </w:tcPr>
          <w:p>
            <w:pPr>
              <w:spacing w:after="0"/>
              <w:rPr>
                <w:sz w:val="20"/>
                <w:szCs w:val="20"/>
                <w:color w:val="auto"/>
              </w:rPr>
            </w:pPr>
            <w:r>
              <w:rPr>
                <w:rFonts w:ascii="Arial" w:cs="Arial" w:eastAsia="Arial" w:hAnsi="Arial"/>
                <w:sz w:val="16"/>
                <w:szCs w:val="16"/>
                <w:b w:val="1"/>
                <w:bCs w:val="1"/>
                <w:color w:val="auto"/>
              </w:rPr>
              <w:t>(SOCALGAS)</w:t>
            </w:r>
          </w:p>
        </w:tc>
        <w:tc>
          <w:tcPr>
            <w:tcW w:w="3820" w:type="dxa"/>
            <w:vAlign w:val="bottom"/>
          </w:tcPr>
          <w:p>
            <w:pPr>
              <w:ind w:left="320"/>
              <w:spacing w:after="0"/>
              <w:rPr>
                <w:sz w:val="20"/>
                <w:szCs w:val="20"/>
                <w:color w:val="auto"/>
              </w:rPr>
            </w:pPr>
            <w:r>
              <w:rPr>
                <w:rFonts w:ascii="Arial" w:cs="Arial" w:eastAsia="Arial" w:hAnsi="Arial"/>
                <w:sz w:val="16"/>
                <w:szCs w:val="16"/>
                <w:color w:val="auto"/>
              </w:rPr>
              <w:t>electric generation and wholesale customers</w:t>
            </w:r>
          </w:p>
        </w:tc>
        <w:tc>
          <w:tcPr>
            <w:tcW w:w="3780" w:type="dxa"/>
            <w:vAlign w:val="bottom"/>
          </w:tcPr>
          <w:p>
            <w:pPr>
              <w:spacing w:after="0"/>
              <w:rPr>
                <w:sz w:val="20"/>
                <w:szCs w:val="20"/>
                <w:color w:val="auto"/>
              </w:rPr>
            </w:pPr>
            <w:r>
              <w:rPr>
                <w:rFonts w:ascii="Arial" w:cs="Arial" w:eastAsia="Arial" w:hAnsi="Arial"/>
                <w:sz w:val="16"/>
                <w:szCs w:val="16"/>
                <w:color w:val="auto"/>
              </w:rPr>
              <w:t>(excluding San Diego County, the city of Long Beach</w:t>
            </w:r>
          </w:p>
        </w:tc>
        <w:tc>
          <w:tcPr>
            <w:tcW w:w="0" w:type="dxa"/>
            <w:vAlign w:val="bottom"/>
          </w:tcPr>
          <w:p>
            <w:pPr>
              <w:spacing w:after="0"/>
              <w:rPr>
                <w:sz w:val="1"/>
                <w:szCs w:val="1"/>
                <w:color w:val="auto"/>
              </w:rPr>
            </w:pPr>
          </w:p>
        </w:tc>
      </w:tr>
      <w:tr>
        <w:trPr>
          <w:trHeight w:val="189"/>
        </w:trPr>
        <w:tc>
          <w:tcPr>
            <w:tcW w:w="38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A regulated public utility; infrastructure supports</w:t>
            </w:r>
          </w:p>
        </w:tc>
        <w:tc>
          <w:tcPr>
            <w:tcW w:w="38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6"/>
                <w:szCs w:val="16"/>
                <w:color w:val="auto"/>
              </w:rPr>
              <w:t>and the desert area of San Bernardino County)</w:t>
            </w:r>
          </w:p>
        </w:tc>
        <w:tc>
          <w:tcPr>
            <w:tcW w:w="0" w:type="dxa"/>
            <w:vAlign w:val="bottom"/>
          </w:tcPr>
          <w:p>
            <w:pPr>
              <w:spacing w:after="0"/>
              <w:rPr>
                <w:sz w:val="1"/>
                <w:szCs w:val="1"/>
                <w:color w:val="auto"/>
              </w:rPr>
            </w:pPr>
          </w:p>
        </w:tc>
      </w:tr>
      <w:tr>
        <w:trPr>
          <w:trHeight w:val="195"/>
        </w:trPr>
        <w:tc>
          <w:tcPr>
            <w:tcW w:w="38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natural gas distribution, transmission and storage</w:t>
            </w:r>
          </w:p>
        </w:tc>
        <w:tc>
          <w:tcPr>
            <w:tcW w:w="3820" w:type="dxa"/>
            <w:vAlign w:val="bottom"/>
            <w:vMerge w:val="restart"/>
          </w:tcPr>
          <w:p>
            <w:pPr>
              <w:ind w:left="320"/>
              <w:spacing w:after="0"/>
              <w:rPr>
                <w:sz w:val="20"/>
                <w:szCs w:val="20"/>
                <w:color w:val="auto"/>
              </w:rPr>
            </w:pPr>
            <w:r>
              <w:rPr>
                <w:rFonts w:ascii="Arial" w:cs="Arial" w:eastAsia="Arial" w:hAnsi="Arial"/>
                <w:sz w:val="16"/>
                <w:szCs w:val="16"/>
                <w:color w:val="auto"/>
              </w:rPr>
              <w:t>§   Covers a population of 21.1 million (5.8</w:t>
            </w:r>
          </w:p>
        </w:tc>
        <w:tc>
          <w:tcPr>
            <w:tcW w:w="3780" w:type="dxa"/>
            <w:vAlign w:val="bottom"/>
          </w:tcPr>
          <w:p>
            <w:pPr>
              <w:spacing w:after="0"/>
              <w:rPr>
                <w:sz w:val="20"/>
                <w:szCs w:val="20"/>
                <w:color w:val="auto"/>
              </w:rPr>
            </w:pPr>
            <w:r>
              <w:rPr>
                <w:rFonts w:ascii="Arial" w:cs="Arial" w:eastAsia="Arial" w:hAnsi="Arial"/>
                <w:sz w:val="16"/>
                <w:szCs w:val="16"/>
                <w:color w:val="auto"/>
              </w:rPr>
              <w:t>covering 20,000 square miles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820" w:type="dxa"/>
            <w:vAlign w:val="bottom"/>
            <w:vMerge w:val="continue"/>
          </w:tcPr>
          <w:p>
            <w:pPr>
              <w:spacing w:after="0"/>
              <w:rPr>
                <w:sz w:val="5"/>
                <w:szCs w:val="5"/>
                <w:color w:val="auto"/>
              </w:rPr>
            </w:pPr>
          </w:p>
        </w:tc>
        <w:tc>
          <w:tcPr>
            <w:tcW w:w="3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Borders>
              <w:right w:val="single" w:sz="8" w:color="auto"/>
            </w:tcBorders>
          </w:tcPr>
          <w:p>
            <w:pPr>
              <w:spacing w:after="0"/>
              <w:rPr>
                <w:sz w:val="17"/>
                <w:szCs w:val="17"/>
                <w:color w:val="auto"/>
              </w:rPr>
            </w:pPr>
          </w:p>
        </w:tc>
        <w:tc>
          <w:tcPr>
            <w:tcW w:w="3820" w:type="dxa"/>
            <w:vAlign w:val="bottom"/>
          </w:tcPr>
          <w:p>
            <w:pPr>
              <w:ind w:left="320"/>
              <w:spacing w:after="0"/>
              <w:rPr>
                <w:sz w:val="20"/>
                <w:szCs w:val="20"/>
                <w:color w:val="auto"/>
              </w:rPr>
            </w:pPr>
            <w:r>
              <w:rPr>
                <w:rFonts w:ascii="Arial" w:cs="Arial" w:eastAsia="Arial" w:hAnsi="Arial"/>
                <w:sz w:val="16"/>
                <w:szCs w:val="16"/>
                <w:color w:val="auto"/>
              </w:rPr>
              <w:t>million meters)</w:t>
            </w: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tcBorders>
              <w:bottom w:val="single" w:sz="8" w:color="auto"/>
              <w:right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0" w:type="dxa"/>
            <w:vAlign w:val="bottom"/>
            <w:tcBorders>
              <w:bottom w:val="single" w:sz="8" w:color="auto"/>
              <w:right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refer to SDG&amp;E and SoCalGas collectively as the California Utilities, which do not include the utilities in our Sempra International or Sempra U.S. Gas &amp; Power operating units described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provide summary descriptions of our Sempra International and Sempra U.S. Gas &amp; Power businesses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INTERNATIONAL</w:t>
      </w:r>
    </w:p>
    <w:p>
      <w:pPr>
        <w:spacing w:after="0" w:line="28" w:lineRule="exact"/>
        <w:rPr>
          <w:sz w:val="20"/>
          <w:szCs w:val="20"/>
          <w:color w:val="auto"/>
        </w:rPr>
      </w:pPr>
    </w:p>
    <w:p>
      <w:pPr>
        <w:ind w:left="5400"/>
        <w:spacing w:after="0"/>
        <w:tabs>
          <w:tab w:leader="none" w:pos="8700" w:val="left"/>
        </w:tabs>
        <w:rPr>
          <w:sz w:val="20"/>
          <w:szCs w:val="20"/>
          <w:color w:val="auto"/>
        </w:rPr>
      </w:pPr>
      <w:r>
        <w:rPr>
          <w:rFonts w:ascii="Arial" w:cs="Arial" w:eastAsia="Arial" w:hAnsi="Arial"/>
          <w:sz w:val="14"/>
          <w:szCs w:val="14"/>
          <w:b w:val="1"/>
          <w:bCs w:val="1"/>
          <w:color w:val="auto"/>
        </w:rPr>
        <w:t>MARKET</w:t>
      </w:r>
      <w:r>
        <w:rPr>
          <w:sz w:val="20"/>
          <w:szCs w:val="20"/>
          <w:color w:val="auto"/>
        </w:rPr>
        <w:tab/>
      </w:r>
      <w:r>
        <w:rPr>
          <w:rFonts w:ascii="Arial" w:cs="Arial" w:eastAsia="Arial" w:hAnsi="Arial"/>
          <w:sz w:val="14"/>
          <w:szCs w:val="14"/>
          <w:b w:val="1"/>
          <w:bCs w:val="1"/>
          <w:color w:val="auto"/>
        </w:rPr>
        <w:t>GEOGRAPHIC REGION</w:t>
      </w:r>
    </w:p>
    <w:p>
      <w:pPr>
        <w:sectPr>
          <w:pgSz w:w="11900" w:h="16861" w:orient="portrait"/>
          <w:cols w:equalWidth="0" w:num="1">
            <w:col w:w="11420"/>
          </w:cols>
          <w:pgMar w:left="240" w:top="136" w:right="239" w:bottom="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18"/>
        </w:trPr>
        <w:tc>
          <w:tcPr>
            <w:tcW w:w="384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SEMPRA SOUTH AMERICAN UTILITIES</w:t>
            </w:r>
          </w:p>
        </w:tc>
        <w:tc>
          <w:tcPr>
            <w:tcW w:w="480" w:type="dxa"/>
            <w:vAlign w:val="bottom"/>
            <w:tcBorders>
              <w:top w:val="single" w:sz="8" w:color="auto"/>
            </w:tcBorders>
          </w:tcPr>
          <w:p>
            <w:pPr>
              <w:ind w:left="300"/>
              <w:spacing w:after="0"/>
              <w:rPr>
                <w:sz w:val="20"/>
                <w:szCs w:val="20"/>
                <w:color w:val="auto"/>
              </w:rPr>
            </w:pPr>
            <w:r>
              <w:rPr>
                <w:rFonts w:ascii="Arial" w:cs="Arial" w:eastAsia="Arial" w:hAnsi="Arial"/>
                <w:sz w:val="16"/>
                <w:szCs w:val="16"/>
                <w:color w:val="auto"/>
              </w:rPr>
              <w:t>§</w:t>
            </w:r>
          </w:p>
        </w:tc>
        <w:tc>
          <w:tcPr>
            <w:tcW w:w="33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Provides electricity to approximately</w:t>
            </w:r>
          </w:p>
        </w:tc>
        <w:tc>
          <w:tcPr>
            <w:tcW w:w="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30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Chile</w:t>
            </w:r>
          </w:p>
        </w:tc>
        <w:tc>
          <w:tcPr>
            <w:tcW w:w="0" w:type="dxa"/>
            <w:vAlign w:val="bottom"/>
          </w:tcPr>
          <w:p>
            <w:pPr>
              <w:spacing w:after="0"/>
              <w:rPr>
                <w:sz w:val="1"/>
                <w:szCs w:val="1"/>
                <w:color w:val="auto"/>
              </w:rPr>
            </w:pPr>
          </w:p>
        </w:tc>
      </w:tr>
      <w:tr>
        <w:trPr>
          <w:trHeight w:val="189"/>
        </w:trPr>
        <w:tc>
          <w:tcPr>
            <w:tcW w:w="38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Infrastructure supports electric transmission and</w:t>
            </w:r>
          </w:p>
        </w:tc>
        <w:tc>
          <w:tcPr>
            <w:tcW w:w="3800" w:type="dxa"/>
            <w:vAlign w:val="bottom"/>
            <w:tcBorders>
              <w:right w:val="single" w:sz="8" w:color="auto"/>
            </w:tcBorders>
            <w:gridSpan w:val="2"/>
          </w:tcPr>
          <w:p>
            <w:pPr>
              <w:ind w:left="300"/>
              <w:spacing w:after="0"/>
              <w:rPr>
                <w:sz w:val="20"/>
                <w:szCs w:val="20"/>
                <w:color w:val="auto"/>
              </w:rPr>
            </w:pPr>
            <w:r>
              <w:rPr>
                <w:rFonts w:ascii="Arial" w:cs="Arial" w:eastAsia="Arial" w:hAnsi="Arial"/>
                <w:sz w:val="16"/>
                <w:szCs w:val="16"/>
                <w:color w:val="auto"/>
              </w:rPr>
              <w:t>620,000 customers in Chile and more than</w:t>
            </w:r>
          </w:p>
        </w:tc>
        <w:tc>
          <w:tcPr>
            <w:tcW w:w="4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38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distribution</w:t>
            </w:r>
          </w:p>
        </w:tc>
        <w:tc>
          <w:tcPr>
            <w:tcW w:w="3800" w:type="dxa"/>
            <w:vAlign w:val="bottom"/>
            <w:tcBorders>
              <w:right w:val="single" w:sz="8" w:color="auto"/>
            </w:tcBorders>
            <w:gridSpan w:val="2"/>
          </w:tcPr>
          <w:p>
            <w:pPr>
              <w:ind w:left="300"/>
              <w:spacing w:after="0"/>
              <w:rPr>
                <w:sz w:val="20"/>
                <w:szCs w:val="20"/>
                <w:color w:val="auto"/>
              </w:rPr>
            </w:pPr>
            <w:r>
              <w:rPr>
                <w:rFonts w:ascii="Arial" w:cs="Arial" w:eastAsia="Arial" w:hAnsi="Arial"/>
                <w:sz w:val="16"/>
                <w:szCs w:val="16"/>
                <w:color w:val="auto"/>
              </w:rPr>
              <w:t>950,000 customers in Peru</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300" w:type="dxa"/>
            <w:vAlign w:val="bottom"/>
          </w:tcPr>
          <w:p>
            <w:pPr>
              <w:ind w:left="100"/>
              <w:spacing w:after="0"/>
              <w:rPr>
                <w:sz w:val="20"/>
                <w:szCs w:val="20"/>
                <w:color w:val="auto"/>
              </w:rPr>
            </w:pPr>
            <w:r>
              <w:rPr>
                <w:rFonts w:ascii="Arial" w:cs="Arial" w:eastAsia="Arial" w:hAnsi="Arial"/>
                <w:sz w:val="16"/>
                <w:szCs w:val="16"/>
                <w:color w:val="auto"/>
              </w:rPr>
              <w:t>Peru</w:t>
            </w:r>
          </w:p>
        </w:tc>
        <w:tc>
          <w:tcPr>
            <w:tcW w:w="0" w:type="dxa"/>
            <w:vAlign w:val="bottom"/>
          </w:tcPr>
          <w:p>
            <w:pPr>
              <w:spacing w:after="0"/>
              <w:rPr>
                <w:sz w:val="1"/>
                <w:szCs w:val="1"/>
                <w:color w:val="auto"/>
              </w:rPr>
            </w:pPr>
          </w:p>
        </w:tc>
      </w:tr>
      <w:tr>
        <w:trPr>
          <w:trHeight w:val="445"/>
        </w:trPr>
        <w:tc>
          <w:tcPr>
            <w:tcW w:w="384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32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84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SEMPRA MEXICO</w:t>
            </w:r>
          </w:p>
        </w:tc>
        <w:tc>
          <w:tcPr>
            <w:tcW w:w="480" w:type="dxa"/>
            <w:vAlign w:val="bottom"/>
          </w:tcPr>
          <w:p>
            <w:pPr>
              <w:ind w:left="300"/>
              <w:spacing w:after="0"/>
              <w:rPr>
                <w:sz w:val="20"/>
                <w:szCs w:val="20"/>
                <w:color w:val="auto"/>
              </w:rPr>
            </w:pPr>
            <w:r>
              <w:rPr>
                <w:rFonts w:ascii="Arial" w:cs="Arial" w:eastAsia="Arial" w:hAnsi="Arial"/>
                <w:sz w:val="16"/>
                <w:szCs w:val="16"/>
                <w:color w:val="auto"/>
              </w:rPr>
              <w:t>§</w:t>
            </w:r>
          </w:p>
        </w:tc>
        <w:tc>
          <w:tcPr>
            <w:tcW w:w="3320" w:type="dxa"/>
            <w:vAlign w:val="bottom"/>
          </w:tcPr>
          <w:p>
            <w:pPr>
              <w:ind w:left="100"/>
              <w:spacing w:after="0"/>
              <w:rPr>
                <w:sz w:val="20"/>
                <w:szCs w:val="20"/>
                <w:color w:val="auto"/>
              </w:rPr>
            </w:pPr>
            <w:r>
              <w:rPr>
                <w:rFonts w:ascii="Arial" w:cs="Arial" w:eastAsia="Arial" w:hAnsi="Arial"/>
                <w:sz w:val="16"/>
                <w:szCs w:val="16"/>
                <w:color w:val="auto"/>
              </w:rPr>
              <w:t>Natural gas</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300" w:type="dxa"/>
            <w:vAlign w:val="bottom"/>
          </w:tcPr>
          <w:p>
            <w:pPr>
              <w:ind w:left="100"/>
              <w:spacing w:after="0"/>
              <w:rPr>
                <w:sz w:val="20"/>
                <w:szCs w:val="20"/>
                <w:color w:val="auto"/>
              </w:rPr>
            </w:pPr>
            <w:r>
              <w:rPr>
                <w:rFonts w:ascii="Arial" w:cs="Arial" w:eastAsia="Arial" w:hAnsi="Arial"/>
                <w:sz w:val="16"/>
                <w:szCs w:val="16"/>
                <w:color w:val="auto"/>
              </w:rPr>
              <w:t>Mexico</w:t>
            </w:r>
          </w:p>
        </w:tc>
        <w:tc>
          <w:tcPr>
            <w:tcW w:w="0" w:type="dxa"/>
            <w:vAlign w:val="bottom"/>
          </w:tcPr>
          <w:p>
            <w:pPr>
              <w:spacing w:after="0"/>
              <w:rPr>
                <w:sz w:val="1"/>
                <w:szCs w:val="1"/>
                <w:color w:val="auto"/>
              </w:rPr>
            </w:pPr>
          </w:p>
        </w:tc>
      </w:tr>
      <w:tr>
        <w:trPr>
          <w:trHeight w:val="191"/>
        </w:trPr>
        <w:tc>
          <w:tcPr>
            <w:tcW w:w="38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Develops, owns and operates, or holds interests in:</w:t>
            </w:r>
          </w:p>
        </w:tc>
        <w:tc>
          <w:tcPr>
            <w:tcW w:w="4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   natural gas transmission pipelines and</w:t>
            </w:r>
          </w:p>
        </w:tc>
        <w:tc>
          <w:tcPr>
            <w:tcW w:w="48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3320" w:type="dxa"/>
            <w:vAlign w:val="bottom"/>
            <w:vMerge w:val="restart"/>
          </w:tcPr>
          <w:p>
            <w:pPr>
              <w:ind w:left="100"/>
              <w:spacing w:after="0"/>
              <w:rPr>
                <w:sz w:val="20"/>
                <w:szCs w:val="20"/>
                <w:color w:val="auto"/>
              </w:rPr>
            </w:pPr>
            <w:r>
              <w:rPr>
                <w:rFonts w:ascii="Arial" w:cs="Arial" w:eastAsia="Arial" w:hAnsi="Arial"/>
                <w:sz w:val="16"/>
                <w:szCs w:val="16"/>
                <w:color w:val="auto"/>
              </w:rPr>
              <w:t>Wholesale electricity</w:t>
            </w:r>
          </w:p>
        </w:tc>
        <w:tc>
          <w:tcPr>
            <w:tcW w:w="4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840" w:type="dxa"/>
            <w:vAlign w:val="bottom"/>
            <w:tcBorders>
              <w:right w:val="single" w:sz="8" w:color="auto"/>
            </w:tcBorders>
            <w:vMerge w:val="restart"/>
          </w:tcPr>
          <w:p>
            <w:pPr>
              <w:ind w:left="340"/>
              <w:spacing w:after="0"/>
              <w:rPr>
                <w:sz w:val="20"/>
                <w:szCs w:val="20"/>
                <w:color w:val="auto"/>
              </w:rPr>
            </w:pPr>
            <w:r>
              <w:rPr>
                <w:rFonts w:ascii="Arial" w:cs="Arial" w:eastAsia="Arial" w:hAnsi="Arial"/>
                <w:sz w:val="16"/>
                <w:szCs w:val="16"/>
                <w:color w:val="auto"/>
              </w:rPr>
              <w:t>propane and ethane systems</w:t>
            </w:r>
          </w:p>
        </w:tc>
        <w:tc>
          <w:tcPr>
            <w:tcW w:w="480" w:type="dxa"/>
            <w:vAlign w:val="bottom"/>
            <w:vMerge w:val="continue"/>
          </w:tcPr>
          <w:p>
            <w:pPr>
              <w:spacing w:after="0"/>
              <w:rPr>
                <w:sz w:val="4"/>
                <w:szCs w:val="4"/>
                <w:color w:val="auto"/>
              </w:rPr>
            </w:pPr>
          </w:p>
        </w:tc>
        <w:tc>
          <w:tcPr>
            <w:tcW w:w="33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3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840" w:type="dxa"/>
            <w:vAlign w:val="bottom"/>
            <w:tcBorders>
              <w:right w:val="single" w:sz="8" w:color="auto"/>
            </w:tcBorders>
            <w:vMerge w:val="continue"/>
          </w:tcPr>
          <w:p>
            <w:pPr>
              <w:spacing w:after="0"/>
              <w:rPr>
                <w:sz w:val="12"/>
                <w:szCs w:val="12"/>
                <w:color w:val="auto"/>
              </w:rPr>
            </w:pPr>
          </w:p>
        </w:tc>
        <w:tc>
          <w:tcPr>
            <w:tcW w:w="4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3840" w:type="dxa"/>
            <w:vAlign w:val="bottom"/>
            <w:tcBorders>
              <w:right w:val="single" w:sz="8" w:color="auto"/>
            </w:tcBorders>
            <w:vMerge w:val="restart"/>
          </w:tcPr>
          <w:p>
            <w:pPr>
              <w:ind w:left="340"/>
              <w:spacing w:after="0"/>
              <w:rPr>
                <w:sz w:val="20"/>
                <w:szCs w:val="20"/>
                <w:color w:val="auto"/>
              </w:rPr>
            </w:pPr>
            <w:r>
              <w:rPr>
                <w:rFonts w:ascii="Arial" w:cs="Arial" w:eastAsia="Arial" w:hAnsi="Arial"/>
                <w:sz w:val="16"/>
                <w:szCs w:val="16"/>
                <w:color w:val="auto"/>
              </w:rPr>
              <w:t>§   a natural gas distribution utility</w:t>
            </w:r>
          </w:p>
        </w:tc>
        <w:tc>
          <w:tcPr>
            <w:tcW w:w="480" w:type="dxa"/>
            <w:vAlign w:val="bottom"/>
          </w:tcPr>
          <w:p>
            <w:pPr>
              <w:ind w:left="300"/>
              <w:spacing w:after="0"/>
              <w:rPr>
                <w:sz w:val="20"/>
                <w:szCs w:val="20"/>
                <w:color w:val="auto"/>
              </w:rPr>
            </w:pPr>
            <w:r>
              <w:rPr>
                <w:rFonts w:ascii="Arial" w:cs="Arial" w:eastAsia="Arial" w:hAnsi="Arial"/>
                <w:sz w:val="16"/>
                <w:szCs w:val="16"/>
                <w:color w:val="auto"/>
              </w:rPr>
              <w:t>§</w:t>
            </w:r>
          </w:p>
        </w:tc>
        <w:tc>
          <w:tcPr>
            <w:tcW w:w="3320" w:type="dxa"/>
            <w:vAlign w:val="bottom"/>
          </w:tcPr>
          <w:p>
            <w:pPr>
              <w:ind w:left="100"/>
              <w:spacing w:after="0"/>
              <w:rPr>
                <w:sz w:val="20"/>
                <w:szCs w:val="20"/>
                <w:color w:val="auto"/>
              </w:rPr>
            </w:pPr>
            <w:r>
              <w:rPr>
                <w:rFonts w:ascii="Arial" w:cs="Arial" w:eastAsia="Arial" w:hAnsi="Arial"/>
                <w:sz w:val="16"/>
                <w:szCs w:val="16"/>
                <w:color w:val="auto"/>
              </w:rPr>
              <w:t>Liquefied natural gas</w:t>
            </w:r>
          </w:p>
        </w:tc>
        <w:tc>
          <w:tcPr>
            <w:tcW w:w="4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840" w:type="dxa"/>
            <w:vAlign w:val="bottom"/>
            <w:tcBorders>
              <w:right w:val="single" w:sz="8" w:color="auto"/>
            </w:tcBorders>
            <w:vMerge w:val="continue"/>
          </w:tcPr>
          <w:p>
            <w:pPr>
              <w:spacing w:after="0"/>
              <w:rPr>
                <w:sz w:val="11"/>
                <w:szCs w:val="11"/>
                <w:color w:val="auto"/>
              </w:rPr>
            </w:pPr>
          </w:p>
        </w:tc>
        <w:tc>
          <w:tcPr>
            <w:tcW w:w="4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3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   electric generation facilities, including wind</w:t>
            </w:r>
          </w:p>
        </w:tc>
        <w:tc>
          <w:tcPr>
            <w:tcW w:w="4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   a terminal for the importation of liquefied</w:t>
            </w:r>
          </w:p>
        </w:tc>
        <w:tc>
          <w:tcPr>
            <w:tcW w:w="4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natural gas (LNG)</w:t>
            </w:r>
          </w:p>
        </w:tc>
        <w:tc>
          <w:tcPr>
            <w:tcW w:w="4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3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   marketing operations for the purchase of</w:t>
            </w:r>
          </w:p>
        </w:tc>
        <w:tc>
          <w:tcPr>
            <w:tcW w:w="4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LNG and the purchase and sale of natural gas</w:t>
            </w:r>
          </w:p>
        </w:tc>
        <w:tc>
          <w:tcPr>
            <w:tcW w:w="4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4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4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72466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U.S. GAS &amp; POWER</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MARKET</w:t>
            </w:r>
          </w:p>
        </w:tc>
        <w:tc>
          <w:tcPr>
            <w:tcW w:w="48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GEOGRAPHIC REGION</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SEMPRA RENEWABLES</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3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Wholesale electricity</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300" w:type="dxa"/>
            <w:vAlign w:val="bottom"/>
          </w:tcPr>
          <w:p>
            <w:pPr>
              <w:ind w:left="100"/>
              <w:spacing w:after="0"/>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189"/>
        </w:trPr>
        <w:tc>
          <w:tcPr>
            <w:tcW w:w="384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Develops, owns, operates, or holds interests in</w:t>
            </w:r>
          </w:p>
        </w:tc>
        <w:tc>
          <w:tcPr>
            <w:tcW w:w="480" w:type="dxa"/>
            <w:vAlign w:val="bottom"/>
          </w:tcPr>
          <w:p>
            <w:pPr>
              <w:spacing w:after="0"/>
              <w:rPr>
                <w:sz w:val="16"/>
                <w:szCs w:val="16"/>
                <w:color w:val="auto"/>
              </w:rPr>
            </w:pPr>
          </w:p>
        </w:tc>
        <w:tc>
          <w:tcPr>
            <w:tcW w:w="332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4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renewable energy generation projects</w:t>
            </w:r>
          </w:p>
        </w:tc>
        <w:tc>
          <w:tcPr>
            <w:tcW w:w="480" w:type="dxa"/>
            <w:vAlign w:val="bottom"/>
          </w:tcPr>
          <w:p>
            <w:pPr>
              <w:spacing w:after="0"/>
              <w:rPr>
                <w:sz w:val="16"/>
                <w:szCs w:val="16"/>
                <w:color w:val="auto"/>
              </w:rPr>
            </w:pPr>
          </w:p>
        </w:tc>
        <w:tc>
          <w:tcPr>
            <w:tcW w:w="332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3840" w:type="dxa"/>
            <w:vAlign w:val="bottom"/>
            <w:tcBorders>
              <w:bottom w:val="single" w:sz="8" w:color="auto"/>
              <w:right w:val="single" w:sz="8" w:color="auto"/>
            </w:tcBorders>
            <w:gridSpan w:val="2"/>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3320" w:type="dxa"/>
            <w:vAlign w:val="bottom"/>
            <w:tcBorders>
              <w:bottom w:val="single" w:sz="8" w:color="auto"/>
              <w:right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3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3840" w:type="dxa"/>
            <w:vAlign w:val="bottom"/>
            <w:tcBorders>
              <w:right w:val="single" w:sz="8" w:color="auto"/>
            </w:tcBorders>
            <w:gridSpan w:val="2"/>
          </w:tcPr>
          <w:p>
            <w:pPr>
              <w:spacing w:after="0"/>
              <w:rPr>
                <w:sz w:val="20"/>
                <w:szCs w:val="20"/>
                <w:color w:val="auto"/>
              </w:rPr>
            </w:pPr>
            <w:r>
              <w:rPr>
                <w:rFonts w:ascii="Arial" w:cs="Arial" w:eastAsia="Arial" w:hAnsi="Arial"/>
                <w:sz w:val="16"/>
                <w:szCs w:val="16"/>
                <w:b w:val="1"/>
                <w:bCs w:val="1"/>
                <w:color w:val="auto"/>
              </w:rPr>
              <w:t>SEMPRA NATURAL GAS</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320" w:type="dxa"/>
            <w:vAlign w:val="bottom"/>
          </w:tcPr>
          <w:p>
            <w:pPr>
              <w:ind w:left="100"/>
              <w:spacing w:after="0"/>
              <w:rPr>
                <w:sz w:val="20"/>
                <w:szCs w:val="20"/>
                <w:color w:val="auto"/>
              </w:rPr>
            </w:pPr>
            <w:r>
              <w:rPr>
                <w:rFonts w:ascii="Arial" w:cs="Arial" w:eastAsia="Arial" w:hAnsi="Arial"/>
                <w:sz w:val="16"/>
                <w:szCs w:val="16"/>
                <w:color w:val="auto"/>
              </w:rPr>
              <w:t>Wholesale electricity</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300" w:type="dxa"/>
            <w:vAlign w:val="bottom"/>
          </w:tcPr>
          <w:p>
            <w:pPr>
              <w:ind w:left="100"/>
              <w:spacing w:after="0"/>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191"/>
        </w:trPr>
        <w:tc>
          <w:tcPr>
            <w:tcW w:w="384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Develops, owns and operates, or holds interests in:</w:t>
            </w:r>
          </w:p>
        </w:tc>
        <w:tc>
          <w:tcPr>
            <w:tcW w:w="4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a natural gas-fired electric generation asset</w:t>
            </w:r>
          </w:p>
        </w:tc>
        <w:tc>
          <w:tcPr>
            <w:tcW w:w="4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3320" w:type="dxa"/>
            <w:vAlign w:val="bottom"/>
            <w:vMerge w:val="restart"/>
          </w:tcPr>
          <w:p>
            <w:pPr>
              <w:ind w:left="100"/>
              <w:spacing w:after="0"/>
              <w:rPr>
                <w:sz w:val="20"/>
                <w:szCs w:val="20"/>
                <w:color w:val="auto"/>
              </w:rPr>
            </w:pPr>
            <w:r>
              <w:rPr>
                <w:rFonts w:ascii="Arial" w:cs="Arial" w:eastAsia="Arial" w:hAnsi="Arial"/>
                <w:sz w:val="16"/>
                <w:szCs w:val="16"/>
                <w:color w:val="auto"/>
              </w:rPr>
              <w:t>Natural gas</w:t>
            </w:r>
          </w:p>
        </w:tc>
        <w:tc>
          <w:tcPr>
            <w:tcW w:w="4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820" w:type="dxa"/>
            <w:vAlign w:val="bottom"/>
            <w:tcBorders>
              <w:right w:val="single" w:sz="8" w:color="auto"/>
            </w:tcBorders>
          </w:tcPr>
          <w:p>
            <w:pPr>
              <w:spacing w:after="0"/>
              <w:rPr>
                <w:sz w:val="4"/>
                <w:szCs w:val="4"/>
                <w:color w:val="auto"/>
              </w:rPr>
            </w:pPr>
          </w:p>
        </w:tc>
        <w:tc>
          <w:tcPr>
            <w:tcW w:w="480" w:type="dxa"/>
            <w:vAlign w:val="bottom"/>
            <w:vMerge w:val="continue"/>
          </w:tcPr>
          <w:p>
            <w:pPr>
              <w:spacing w:after="0"/>
              <w:rPr>
                <w:sz w:val="4"/>
                <w:szCs w:val="4"/>
                <w:color w:val="auto"/>
              </w:rPr>
            </w:pPr>
          </w:p>
        </w:tc>
        <w:tc>
          <w:tcPr>
            <w:tcW w:w="33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3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natural gas pipelines and storage facilities</w:t>
            </w:r>
          </w:p>
        </w:tc>
        <w:tc>
          <w:tcPr>
            <w:tcW w:w="4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3320" w:type="dxa"/>
            <w:vAlign w:val="bottom"/>
            <w:vMerge w:val="restart"/>
          </w:tcPr>
          <w:p>
            <w:pPr>
              <w:ind w:left="100"/>
              <w:spacing w:after="0"/>
              <w:rPr>
                <w:sz w:val="20"/>
                <w:szCs w:val="20"/>
                <w:color w:val="auto"/>
              </w:rPr>
            </w:pPr>
            <w:r>
              <w:rPr>
                <w:rFonts w:ascii="Arial" w:cs="Arial" w:eastAsia="Arial" w:hAnsi="Arial"/>
                <w:sz w:val="16"/>
                <w:szCs w:val="16"/>
                <w:color w:val="auto"/>
              </w:rPr>
              <w:t>Liquefied natural gas</w:t>
            </w:r>
          </w:p>
        </w:tc>
        <w:tc>
          <w:tcPr>
            <w:tcW w:w="4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820" w:type="dxa"/>
            <w:vAlign w:val="bottom"/>
            <w:tcBorders>
              <w:right w:val="single" w:sz="8" w:color="auto"/>
            </w:tcBorders>
          </w:tcPr>
          <w:p>
            <w:pPr>
              <w:spacing w:after="0"/>
              <w:rPr>
                <w:sz w:val="4"/>
                <w:szCs w:val="4"/>
                <w:color w:val="auto"/>
              </w:rPr>
            </w:pPr>
          </w:p>
        </w:tc>
        <w:tc>
          <w:tcPr>
            <w:tcW w:w="480" w:type="dxa"/>
            <w:vAlign w:val="bottom"/>
            <w:vMerge w:val="continue"/>
          </w:tcPr>
          <w:p>
            <w:pPr>
              <w:spacing w:after="0"/>
              <w:rPr>
                <w:sz w:val="4"/>
                <w:szCs w:val="4"/>
                <w:color w:val="auto"/>
              </w:rPr>
            </w:pPr>
          </w:p>
        </w:tc>
        <w:tc>
          <w:tcPr>
            <w:tcW w:w="33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3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natural gas distribution utilities</w:t>
            </w:r>
          </w:p>
        </w:tc>
        <w:tc>
          <w:tcPr>
            <w:tcW w:w="4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a terminal in the U.S. for the import and</w:t>
            </w:r>
          </w:p>
        </w:tc>
        <w:tc>
          <w:tcPr>
            <w:tcW w:w="4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export of LNG and sale of natural gas</w:t>
            </w:r>
          </w:p>
        </w:tc>
        <w:tc>
          <w:tcPr>
            <w:tcW w:w="4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marketing operations</w:t>
            </w:r>
          </w:p>
        </w:tc>
        <w:tc>
          <w:tcPr>
            <w:tcW w:w="4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2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685800</wp:posOffset>
            </wp:positionV>
            <wp:extent cx="72637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color w:val="auto"/>
        </w:rPr>
        <w:t>RESULTS OF OPERATIONS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We discuss the following in Results of Operations:</w:t>
      </w:r>
    </w:p>
    <w:p>
      <w:pPr>
        <w:spacing w:after="0" w:line="252" w:lineRule="exact"/>
        <w:rPr>
          <w:sz w:val="20"/>
          <w:szCs w:val="20"/>
          <w:color w:val="auto"/>
        </w:rPr>
      </w:pPr>
    </w:p>
    <w:p>
      <w:pPr>
        <w:ind w:left="340" w:hanging="188"/>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Overall results of our operations and factors affecting those results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segment results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Significant changes in revenues, costs and earnings between periods</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earnings decreased by $58 million (25%) to $178 million in the three months ended March 31, 2013, while diluted earnings per share for the three-month period decreased by $0.25 per share to $0.72 per share.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our earnings and diluted earnings per share for the three-month period was primarily due to:</w:t>
      </w:r>
    </w:p>
    <w:p>
      <w:pPr>
        <w:spacing w:after="0" w:line="252" w:lineRule="exact"/>
        <w:rPr>
          <w:sz w:val="20"/>
          <w:szCs w:val="20"/>
          <w:color w:val="auto"/>
        </w:rPr>
      </w:pPr>
    </w:p>
    <w:p>
      <w:pPr>
        <w:ind w:left="340" w:hanging="188"/>
        <w:spacing w:after="0" w:line="277"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higher losses at Parent and Other primarily due to $63 million income tax expense resulting from a corporate reorganization in connection with the IEnova stock offerings; and</w:t>
      </w:r>
    </w:p>
    <w:p>
      <w:pPr>
        <w:spacing w:after="0" w:line="197" w:lineRule="exact"/>
        <w:rPr>
          <w:rFonts w:ascii="Arial" w:cs="Arial" w:eastAsia="Arial" w:hAnsi="Arial"/>
          <w:sz w:val="18"/>
          <w:szCs w:val="18"/>
          <w:color w:val="auto"/>
        </w:rPr>
      </w:pPr>
    </w:p>
    <w:p>
      <w:pPr>
        <w:jc w:val="both"/>
        <w:ind w:left="340" w:hanging="188"/>
        <w:spacing w:after="0" w:line="264"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$34 million lower earnings at our California Utilities primarily as a result of recording revenue based on their 2011 authorized revenue requirements due to the delay in the issuance of a final decision in the General Rate Cases (GRC), as we discuss in Note 9 of the Notes to Condensed Consolidated Financial Statements herein; </w:t>
      </w:r>
      <w:r>
        <w:rPr>
          <w:rFonts w:ascii="Arial" w:cs="Arial" w:eastAsia="Arial" w:hAnsi="Arial"/>
          <w:sz w:val="18"/>
          <w:szCs w:val="18"/>
          <w:b w:val="1"/>
          <w:bCs w:val="1"/>
          <w:color w:val="auto"/>
        </w:rPr>
        <w:t>offset by</w:t>
      </w:r>
    </w:p>
    <w:p>
      <w:pPr>
        <w:spacing w:after="0" w:line="208" w:lineRule="exact"/>
        <w:rPr>
          <w:rFonts w:ascii="Arial" w:cs="Arial" w:eastAsia="Arial" w:hAnsi="Arial"/>
          <w:sz w:val="18"/>
          <w:szCs w:val="18"/>
          <w:color w:val="auto"/>
        </w:rPr>
      </w:pPr>
    </w:p>
    <w:p>
      <w:pPr>
        <w:ind w:left="340" w:right="20" w:hanging="188"/>
        <w:spacing w:after="0" w:line="277"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improved earnings at Sempra Natural Gas mainly as a result of a $44 million gain on the sale of one 625-megawatt (MW) block of its 1,250-MW Mesquite Power natural gas-fired power plant.</w:t>
      </w:r>
    </w:p>
    <w:p>
      <w:pPr>
        <w:sectPr>
          <w:pgSz w:w="11900" w:h="16838" w:orient="portrait"/>
          <w:cols w:equalWidth="0" w:num="1">
            <w:col w:w="11420"/>
          </w:cols>
          <w:pgMar w:left="240" w:top="120" w:right="239" w:bottom="45"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The following table shows our earnings (losses) by segment, which we discuss below in “Segment Results.”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 EARNINGS (LOSSES)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color w:val="auto"/>
              </w:rPr>
              <w:t>Three months ended March 31,</w:t>
            </w:r>
          </w:p>
        </w:tc>
        <w:tc>
          <w:tcPr>
            <w:tcW w:w="9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223"/>
        </w:trPr>
        <w:tc>
          <w:tcPr>
            <w:tcW w:w="5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2013</w:t>
            </w:r>
          </w:p>
        </w:tc>
        <w:tc>
          <w:tcPr>
            <w:tcW w:w="10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2012</w:t>
            </w:r>
          </w:p>
        </w:tc>
        <w:tc>
          <w:tcPr>
            <w:tcW w:w="1120" w:type="dxa"/>
            <w:vAlign w:val="bottom"/>
            <w:tcBorders>
              <w:bottom w:val="single" w:sz="8" w:color="auto"/>
            </w:tcBorders>
          </w:tcPr>
          <w:p>
            <w:pPr>
              <w:spacing w:after="0"/>
              <w:rPr>
                <w:sz w:val="19"/>
                <w:szCs w:val="19"/>
                <w:color w:val="auto"/>
              </w:rPr>
            </w:pPr>
          </w:p>
        </w:tc>
      </w:tr>
      <w:tr>
        <w:trPr>
          <w:trHeight w:val="218"/>
        </w:trPr>
        <w:tc>
          <w:tcPr>
            <w:tcW w:w="5060" w:type="dxa"/>
            <w:vAlign w:val="bottom"/>
          </w:tcPr>
          <w:p>
            <w:pPr>
              <w:spacing w:after="0"/>
              <w:rPr>
                <w:sz w:val="20"/>
                <w:szCs w:val="20"/>
                <w:color w:val="auto"/>
              </w:rPr>
            </w:pPr>
            <w:r>
              <w:rPr>
                <w:rFonts w:ascii="Arial" w:cs="Arial" w:eastAsia="Arial" w:hAnsi="Arial"/>
                <w:sz w:val="16"/>
                <w:szCs w:val="16"/>
                <w:color w:val="auto"/>
              </w:rPr>
              <w:t>California Utilities:</w:t>
            </w: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5"/>
        </w:trPr>
        <w:tc>
          <w:tcPr>
            <w:tcW w:w="5060" w:type="dxa"/>
            <w:vAlign w:val="bottom"/>
          </w:tcPr>
          <w:p>
            <w:pPr>
              <w:ind w:left="180"/>
              <w:spacing w:after="0"/>
              <w:rPr>
                <w:sz w:val="20"/>
                <w:szCs w:val="20"/>
                <w:color w:val="auto"/>
              </w:rPr>
            </w:pPr>
            <w:r>
              <w:rPr>
                <w:rFonts w:ascii="Arial" w:cs="Arial" w:eastAsia="Arial" w:hAnsi="Arial"/>
                <w:sz w:val="16"/>
                <w:szCs w:val="16"/>
                <w:color w:val="auto"/>
              </w:rPr>
              <w:t>SDG&amp;E(1)</w:t>
            </w:r>
          </w:p>
        </w:tc>
        <w:tc>
          <w:tcPr>
            <w:tcW w:w="680" w:type="dxa"/>
            <w:vAlign w:val="bottom"/>
          </w:tcPr>
          <w:p>
            <w:pPr>
              <w:jc w:val="right"/>
              <w:ind w:right="52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320"/>
              <w:spacing w:after="0"/>
              <w:rPr>
                <w:sz w:val="20"/>
                <w:szCs w:val="20"/>
                <w:color w:val="auto"/>
              </w:rPr>
            </w:pPr>
            <w:r>
              <w:rPr>
                <w:rFonts w:ascii="Arial" w:cs="Arial" w:eastAsia="Arial" w:hAnsi="Arial"/>
                <w:sz w:val="16"/>
                <w:szCs w:val="16"/>
                <w:color w:val="auto"/>
              </w:rPr>
              <w:t>91</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51 %</w:t>
            </w:r>
          </w:p>
        </w:tc>
        <w:tc>
          <w:tcPr>
            <w:tcW w:w="1300" w:type="dxa"/>
            <w:vAlign w:val="bottom"/>
          </w:tcPr>
          <w:p>
            <w:pPr>
              <w:jc w:val="right"/>
              <w:ind w:right="9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60"/>
              <w:spacing w:after="0"/>
              <w:rPr>
                <w:sz w:val="20"/>
                <w:szCs w:val="20"/>
                <w:color w:val="auto"/>
              </w:rPr>
            </w:pPr>
            <w:r>
              <w:rPr>
                <w:rFonts w:ascii="Arial" w:cs="Arial" w:eastAsia="Arial" w:hAnsi="Arial"/>
                <w:sz w:val="16"/>
                <w:szCs w:val="16"/>
                <w:color w:val="auto"/>
              </w:rPr>
              <w:t>105</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45 %</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SoCalGas(1)</w:t>
            </w:r>
          </w:p>
        </w:tc>
        <w:tc>
          <w:tcPr>
            <w:tcW w:w="680" w:type="dxa"/>
            <w:vAlign w:val="bottom"/>
          </w:tcPr>
          <w:p>
            <w:pPr>
              <w:spacing w:after="0"/>
              <w:rPr>
                <w:sz w:val="18"/>
                <w:szCs w:val="18"/>
                <w:color w:val="auto"/>
              </w:rPr>
            </w:pPr>
          </w:p>
        </w:tc>
        <w:tc>
          <w:tcPr>
            <w:tcW w:w="1260" w:type="dxa"/>
            <w:vAlign w:val="bottom"/>
          </w:tcPr>
          <w:p>
            <w:pPr>
              <w:jc w:val="right"/>
              <w:ind w:right="320"/>
              <w:spacing w:after="0"/>
              <w:rPr>
                <w:sz w:val="20"/>
                <w:szCs w:val="20"/>
                <w:color w:val="auto"/>
              </w:rPr>
            </w:pPr>
            <w:r>
              <w:rPr>
                <w:rFonts w:ascii="Arial" w:cs="Arial" w:eastAsia="Arial" w:hAnsi="Arial"/>
                <w:sz w:val="16"/>
                <w:szCs w:val="16"/>
                <w:color w:val="auto"/>
              </w:rPr>
              <w:t>46</w:t>
            </w:r>
          </w:p>
        </w:tc>
        <w:tc>
          <w:tcPr>
            <w:tcW w:w="1080" w:type="dxa"/>
            <w:vAlign w:val="bottom"/>
          </w:tcPr>
          <w:p>
            <w:pPr>
              <w:jc w:val="right"/>
              <w:ind w:right="260"/>
              <w:spacing w:after="0"/>
              <w:rPr>
                <w:sz w:val="20"/>
                <w:szCs w:val="20"/>
                <w:color w:val="auto"/>
              </w:rPr>
            </w:pPr>
            <w:r>
              <w:rPr>
                <w:rFonts w:ascii="Arial" w:cs="Arial" w:eastAsia="Arial" w:hAnsi="Arial"/>
                <w:sz w:val="16"/>
                <w:szCs w:val="16"/>
                <w:color w:val="auto"/>
              </w:rPr>
              <w:t>26</w:t>
            </w:r>
          </w:p>
        </w:tc>
        <w:tc>
          <w:tcPr>
            <w:tcW w:w="1300" w:type="dxa"/>
            <w:vAlign w:val="bottom"/>
          </w:tcPr>
          <w:p>
            <w:pPr>
              <w:spacing w:after="0"/>
              <w:rPr>
                <w:sz w:val="18"/>
                <w:szCs w:val="18"/>
                <w:color w:val="auto"/>
              </w:rPr>
            </w:pPr>
          </w:p>
        </w:tc>
        <w:tc>
          <w:tcPr>
            <w:tcW w:w="920" w:type="dxa"/>
            <w:vAlign w:val="bottom"/>
          </w:tcPr>
          <w:p>
            <w:pPr>
              <w:jc w:val="right"/>
              <w:ind w:right="460"/>
              <w:spacing w:after="0"/>
              <w:rPr>
                <w:sz w:val="20"/>
                <w:szCs w:val="20"/>
                <w:color w:val="auto"/>
              </w:rPr>
            </w:pPr>
            <w:r>
              <w:rPr>
                <w:rFonts w:ascii="Arial" w:cs="Arial" w:eastAsia="Arial" w:hAnsi="Arial"/>
                <w:sz w:val="16"/>
                <w:szCs w:val="16"/>
                <w:color w:val="auto"/>
              </w:rPr>
              <w:t>66</w:t>
            </w:r>
          </w:p>
        </w:tc>
        <w:tc>
          <w:tcPr>
            <w:tcW w:w="1120" w:type="dxa"/>
            <w:vAlign w:val="bottom"/>
          </w:tcPr>
          <w:p>
            <w:pPr>
              <w:jc w:val="right"/>
              <w:ind w:right="419"/>
              <w:spacing w:after="0"/>
              <w:rPr>
                <w:sz w:val="20"/>
                <w:szCs w:val="20"/>
                <w:color w:val="auto"/>
              </w:rPr>
            </w:pPr>
            <w:r>
              <w:rPr>
                <w:rFonts w:ascii="Arial" w:cs="Arial" w:eastAsia="Arial" w:hAnsi="Arial"/>
                <w:sz w:val="16"/>
                <w:szCs w:val="16"/>
                <w:color w:val="auto"/>
              </w:rPr>
              <w:t>28</w:t>
            </w:r>
          </w:p>
        </w:tc>
      </w:tr>
      <w:tr>
        <w:trPr>
          <w:trHeight w:val="216"/>
        </w:trPr>
        <w:tc>
          <w:tcPr>
            <w:tcW w:w="5060" w:type="dxa"/>
            <w:vAlign w:val="bottom"/>
          </w:tcPr>
          <w:p>
            <w:pPr>
              <w:spacing w:after="0"/>
              <w:rPr>
                <w:sz w:val="20"/>
                <w:szCs w:val="20"/>
                <w:color w:val="auto"/>
              </w:rPr>
            </w:pPr>
            <w:r>
              <w:rPr>
                <w:rFonts w:ascii="Arial" w:cs="Arial" w:eastAsia="Arial" w:hAnsi="Arial"/>
                <w:sz w:val="16"/>
                <w:szCs w:val="16"/>
                <w:color w:val="auto"/>
              </w:rPr>
              <w:t>Sempra International:</w:t>
            </w: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Sempra South American Utilities</w:t>
            </w:r>
          </w:p>
        </w:tc>
        <w:tc>
          <w:tcPr>
            <w:tcW w:w="680" w:type="dxa"/>
            <w:vAlign w:val="bottom"/>
          </w:tcPr>
          <w:p>
            <w:pPr>
              <w:spacing w:after="0"/>
              <w:rPr>
                <w:sz w:val="18"/>
                <w:szCs w:val="18"/>
                <w:color w:val="auto"/>
              </w:rPr>
            </w:pPr>
          </w:p>
        </w:tc>
        <w:tc>
          <w:tcPr>
            <w:tcW w:w="1260" w:type="dxa"/>
            <w:vAlign w:val="bottom"/>
          </w:tcPr>
          <w:p>
            <w:pPr>
              <w:jc w:val="right"/>
              <w:ind w:right="320"/>
              <w:spacing w:after="0"/>
              <w:rPr>
                <w:sz w:val="20"/>
                <w:szCs w:val="20"/>
                <w:color w:val="auto"/>
              </w:rPr>
            </w:pPr>
            <w:r>
              <w:rPr>
                <w:rFonts w:ascii="Arial" w:cs="Arial" w:eastAsia="Arial" w:hAnsi="Arial"/>
                <w:sz w:val="16"/>
                <w:szCs w:val="16"/>
                <w:color w:val="auto"/>
              </w:rPr>
              <w:t>37</w:t>
            </w:r>
          </w:p>
        </w:tc>
        <w:tc>
          <w:tcPr>
            <w:tcW w:w="1080" w:type="dxa"/>
            <w:vAlign w:val="bottom"/>
          </w:tcPr>
          <w:p>
            <w:pPr>
              <w:jc w:val="right"/>
              <w:ind w:right="260"/>
              <w:spacing w:after="0"/>
              <w:rPr>
                <w:sz w:val="20"/>
                <w:szCs w:val="20"/>
                <w:color w:val="auto"/>
              </w:rPr>
            </w:pPr>
            <w:r>
              <w:rPr>
                <w:rFonts w:ascii="Arial" w:cs="Arial" w:eastAsia="Arial" w:hAnsi="Arial"/>
                <w:sz w:val="16"/>
                <w:szCs w:val="16"/>
                <w:color w:val="auto"/>
              </w:rPr>
              <w:t>21</w:t>
            </w:r>
          </w:p>
        </w:tc>
        <w:tc>
          <w:tcPr>
            <w:tcW w:w="1300" w:type="dxa"/>
            <w:vAlign w:val="bottom"/>
          </w:tcPr>
          <w:p>
            <w:pPr>
              <w:spacing w:after="0"/>
              <w:rPr>
                <w:sz w:val="18"/>
                <w:szCs w:val="18"/>
                <w:color w:val="auto"/>
              </w:rPr>
            </w:pPr>
          </w:p>
        </w:tc>
        <w:tc>
          <w:tcPr>
            <w:tcW w:w="920" w:type="dxa"/>
            <w:vAlign w:val="bottom"/>
          </w:tcPr>
          <w:p>
            <w:pPr>
              <w:jc w:val="right"/>
              <w:ind w:right="460"/>
              <w:spacing w:after="0"/>
              <w:rPr>
                <w:sz w:val="20"/>
                <w:szCs w:val="20"/>
                <w:color w:val="auto"/>
              </w:rPr>
            </w:pPr>
            <w:r>
              <w:rPr>
                <w:rFonts w:ascii="Arial" w:cs="Arial" w:eastAsia="Arial" w:hAnsi="Arial"/>
                <w:sz w:val="16"/>
                <w:szCs w:val="16"/>
                <w:color w:val="auto"/>
              </w:rPr>
              <w:t>40</w:t>
            </w:r>
          </w:p>
        </w:tc>
        <w:tc>
          <w:tcPr>
            <w:tcW w:w="1120" w:type="dxa"/>
            <w:vAlign w:val="bottom"/>
          </w:tcPr>
          <w:p>
            <w:pPr>
              <w:jc w:val="right"/>
              <w:ind w:right="419"/>
              <w:spacing w:after="0"/>
              <w:rPr>
                <w:sz w:val="20"/>
                <w:szCs w:val="20"/>
                <w:color w:val="auto"/>
              </w:rPr>
            </w:pPr>
            <w:r>
              <w:rPr>
                <w:rFonts w:ascii="Arial" w:cs="Arial" w:eastAsia="Arial" w:hAnsi="Arial"/>
                <w:sz w:val="16"/>
                <w:szCs w:val="16"/>
                <w:color w:val="auto"/>
              </w:rPr>
              <w:t>17</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Sempra Mexico</w:t>
            </w:r>
          </w:p>
        </w:tc>
        <w:tc>
          <w:tcPr>
            <w:tcW w:w="680" w:type="dxa"/>
            <w:vAlign w:val="bottom"/>
          </w:tcPr>
          <w:p>
            <w:pPr>
              <w:spacing w:after="0"/>
              <w:rPr>
                <w:sz w:val="18"/>
                <w:szCs w:val="18"/>
                <w:color w:val="auto"/>
              </w:rPr>
            </w:pPr>
          </w:p>
        </w:tc>
        <w:tc>
          <w:tcPr>
            <w:tcW w:w="1260" w:type="dxa"/>
            <w:vAlign w:val="bottom"/>
          </w:tcPr>
          <w:p>
            <w:pPr>
              <w:jc w:val="right"/>
              <w:ind w:right="320"/>
              <w:spacing w:after="0"/>
              <w:rPr>
                <w:sz w:val="20"/>
                <w:szCs w:val="20"/>
                <w:color w:val="auto"/>
              </w:rPr>
            </w:pPr>
            <w:r>
              <w:rPr>
                <w:rFonts w:ascii="Arial" w:cs="Arial" w:eastAsia="Arial" w:hAnsi="Arial"/>
                <w:sz w:val="16"/>
                <w:szCs w:val="16"/>
                <w:color w:val="auto"/>
              </w:rPr>
              <w:t>31</w:t>
            </w:r>
          </w:p>
        </w:tc>
        <w:tc>
          <w:tcPr>
            <w:tcW w:w="1080" w:type="dxa"/>
            <w:vAlign w:val="bottom"/>
          </w:tcPr>
          <w:p>
            <w:pPr>
              <w:jc w:val="right"/>
              <w:ind w:right="260"/>
              <w:spacing w:after="0"/>
              <w:rPr>
                <w:sz w:val="20"/>
                <w:szCs w:val="20"/>
                <w:color w:val="auto"/>
              </w:rPr>
            </w:pPr>
            <w:r>
              <w:rPr>
                <w:rFonts w:ascii="Arial" w:cs="Arial" w:eastAsia="Arial" w:hAnsi="Arial"/>
                <w:sz w:val="16"/>
                <w:szCs w:val="16"/>
                <w:color w:val="auto"/>
              </w:rPr>
              <w:t>17</w:t>
            </w:r>
          </w:p>
        </w:tc>
        <w:tc>
          <w:tcPr>
            <w:tcW w:w="1300" w:type="dxa"/>
            <w:vAlign w:val="bottom"/>
          </w:tcPr>
          <w:p>
            <w:pPr>
              <w:spacing w:after="0"/>
              <w:rPr>
                <w:sz w:val="18"/>
                <w:szCs w:val="18"/>
                <w:color w:val="auto"/>
              </w:rPr>
            </w:pPr>
          </w:p>
        </w:tc>
        <w:tc>
          <w:tcPr>
            <w:tcW w:w="920" w:type="dxa"/>
            <w:vAlign w:val="bottom"/>
          </w:tcPr>
          <w:p>
            <w:pPr>
              <w:jc w:val="right"/>
              <w:ind w:right="460"/>
              <w:spacing w:after="0"/>
              <w:rPr>
                <w:sz w:val="20"/>
                <w:szCs w:val="20"/>
                <w:color w:val="auto"/>
              </w:rPr>
            </w:pPr>
            <w:r>
              <w:rPr>
                <w:rFonts w:ascii="Arial" w:cs="Arial" w:eastAsia="Arial" w:hAnsi="Arial"/>
                <w:sz w:val="16"/>
                <w:szCs w:val="16"/>
                <w:color w:val="auto"/>
              </w:rPr>
              <w:t>33</w:t>
            </w:r>
          </w:p>
        </w:tc>
        <w:tc>
          <w:tcPr>
            <w:tcW w:w="1120" w:type="dxa"/>
            <w:vAlign w:val="bottom"/>
          </w:tcPr>
          <w:p>
            <w:pPr>
              <w:jc w:val="right"/>
              <w:ind w:right="419"/>
              <w:spacing w:after="0"/>
              <w:rPr>
                <w:sz w:val="20"/>
                <w:szCs w:val="20"/>
                <w:color w:val="auto"/>
              </w:rPr>
            </w:pPr>
            <w:r>
              <w:rPr>
                <w:rFonts w:ascii="Arial" w:cs="Arial" w:eastAsia="Arial" w:hAnsi="Arial"/>
                <w:sz w:val="16"/>
                <w:szCs w:val="16"/>
                <w:color w:val="auto"/>
              </w:rPr>
              <w:t>14</w:t>
            </w:r>
          </w:p>
        </w:tc>
      </w:tr>
      <w:tr>
        <w:trPr>
          <w:trHeight w:val="216"/>
        </w:trPr>
        <w:tc>
          <w:tcPr>
            <w:tcW w:w="5060" w:type="dxa"/>
            <w:vAlign w:val="bottom"/>
          </w:tcPr>
          <w:p>
            <w:pPr>
              <w:spacing w:after="0"/>
              <w:rPr>
                <w:sz w:val="20"/>
                <w:szCs w:val="20"/>
                <w:color w:val="auto"/>
              </w:rPr>
            </w:pPr>
            <w:r>
              <w:rPr>
                <w:rFonts w:ascii="Arial" w:cs="Arial" w:eastAsia="Arial" w:hAnsi="Arial"/>
                <w:sz w:val="16"/>
                <w:szCs w:val="16"/>
                <w:color w:val="auto"/>
              </w:rPr>
              <w:t>Sempra U.S. Gas &amp; Power:</w:t>
            </w: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Sempra Renewables</w:t>
            </w:r>
          </w:p>
        </w:tc>
        <w:tc>
          <w:tcPr>
            <w:tcW w:w="680" w:type="dxa"/>
            <w:vAlign w:val="bottom"/>
          </w:tcPr>
          <w:p>
            <w:pPr>
              <w:spacing w:after="0"/>
              <w:rPr>
                <w:sz w:val="18"/>
                <w:szCs w:val="18"/>
                <w:color w:val="auto"/>
              </w:rPr>
            </w:pPr>
          </w:p>
        </w:tc>
        <w:tc>
          <w:tcPr>
            <w:tcW w:w="1260" w:type="dxa"/>
            <w:vAlign w:val="bottom"/>
          </w:tcPr>
          <w:p>
            <w:pPr>
              <w:jc w:val="right"/>
              <w:ind w:right="320"/>
              <w:spacing w:after="0"/>
              <w:rPr>
                <w:sz w:val="20"/>
                <w:szCs w:val="20"/>
                <w:color w:val="auto"/>
              </w:rPr>
            </w:pPr>
            <w:r>
              <w:rPr>
                <w:rFonts w:ascii="Arial" w:cs="Arial" w:eastAsia="Arial" w:hAnsi="Arial"/>
                <w:sz w:val="16"/>
                <w:szCs w:val="16"/>
                <w:color w:val="auto"/>
              </w:rPr>
              <w:t>4</w:t>
            </w:r>
          </w:p>
        </w:tc>
        <w:tc>
          <w:tcPr>
            <w:tcW w:w="1080" w:type="dxa"/>
            <w:vAlign w:val="bottom"/>
          </w:tcPr>
          <w:p>
            <w:pPr>
              <w:jc w:val="right"/>
              <w:ind w:right="260"/>
              <w:spacing w:after="0"/>
              <w:rPr>
                <w:sz w:val="20"/>
                <w:szCs w:val="20"/>
                <w:color w:val="auto"/>
              </w:rPr>
            </w:pPr>
            <w:r>
              <w:rPr>
                <w:rFonts w:ascii="Arial" w:cs="Arial" w:eastAsia="Arial" w:hAnsi="Arial"/>
                <w:sz w:val="16"/>
                <w:szCs w:val="16"/>
                <w:color w:val="auto"/>
              </w:rPr>
              <w:t>2</w:t>
            </w:r>
          </w:p>
        </w:tc>
        <w:tc>
          <w:tcPr>
            <w:tcW w:w="1300" w:type="dxa"/>
            <w:vAlign w:val="bottom"/>
          </w:tcPr>
          <w:p>
            <w:pPr>
              <w:spacing w:after="0"/>
              <w:rPr>
                <w:sz w:val="18"/>
                <w:szCs w:val="18"/>
                <w:color w:val="auto"/>
              </w:rPr>
            </w:pPr>
          </w:p>
        </w:tc>
        <w:tc>
          <w:tcPr>
            <w:tcW w:w="920" w:type="dxa"/>
            <w:vAlign w:val="bottom"/>
          </w:tcPr>
          <w:p>
            <w:pPr>
              <w:jc w:val="right"/>
              <w:ind w:right="460"/>
              <w:spacing w:after="0"/>
              <w:rPr>
                <w:sz w:val="20"/>
                <w:szCs w:val="20"/>
                <w:color w:val="auto"/>
              </w:rPr>
            </w:pPr>
            <w:r>
              <w:rPr>
                <w:rFonts w:ascii="Arial" w:cs="Arial" w:eastAsia="Arial" w:hAnsi="Arial"/>
                <w:sz w:val="16"/>
                <w:szCs w:val="16"/>
                <w:color w:val="auto"/>
              </w:rPr>
              <w:t>10</w:t>
            </w:r>
          </w:p>
        </w:tc>
        <w:tc>
          <w:tcPr>
            <w:tcW w:w="1120" w:type="dxa"/>
            <w:vAlign w:val="bottom"/>
          </w:tcPr>
          <w:p>
            <w:pPr>
              <w:jc w:val="right"/>
              <w:ind w:right="419"/>
              <w:spacing w:after="0"/>
              <w:rPr>
                <w:sz w:val="20"/>
                <w:szCs w:val="20"/>
                <w:color w:val="auto"/>
              </w:rPr>
            </w:pPr>
            <w:r>
              <w:rPr>
                <w:rFonts w:ascii="Arial" w:cs="Arial" w:eastAsia="Arial" w:hAnsi="Arial"/>
                <w:sz w:val="16"/>
                <w:szCs w:val="16"/>
                <w:color w:val="auto"/>
              </w:rPr>
              <w:t>4</w:t>
            </w:r>
          </w:p>
        </w:tc>
      </w:tr>
      <w:tr>
        <w:trPr>
          <w:trHeight w:val="216"/>
        </w:trPr>
        <w:tc>
          <w:tcPr>
            <w:tcW w:w="5060" w:type="dxa"/>
            <w:vAlign w:val="bottom"/>
          </w:tcPr>
          <w:p>
            <w:pPr>
              <w:ind w:left="180"/>
              <w:spacing w:after="0"/>
              <w:rPr>
                <w:sz w:val="20"/>
                <w:szCs w:val="20"/>
                <w:color w:val="auto"/>
              </w:rPr>
            </w:pPr>
            <w:r>
              <w:rPr>
                <w:rFonts w:ascii="Arial" w:cs="Arial" w:eastAsia="Arial" w:hAnsi="Arial"/>
                <w:sz w:val="16"/>
                <w:szCs w:val="16"/>
                <w:color w:val="auto"/>
              </w:rPr>
              <w:t>Sempra Natural Gas</w:t>
            </w:r>
          </w:p>
        </w:tc>
        <w:tc>
          <w:tcPr>
            <w:tcW w:w="680" w:type="dxa"/>
            <w:vAlign w:val="bottom"/>
          </w:tcPr>
          <w:p>
            <w:pPr>
              <w:spacing w:after="0"/>
              <w:rPr>
                <w:sz w:val="18"/>
                <w:szCs w:val="18"/>
                <w:color w:val="auto"/>
              </w:rPr>
            </w:pPr>
          </w:p>
        </w:tc>
        <w:tc>
          <w:tcPr>
            <w:tcW w:w="1260" w:type="dxa"/>
            <w:vAlign w:val="bottom"/>
          </w:tcPr>
          <w:p>
            <w:pPr>
              <w:jc w:val="right"/>
              <w:ind w:right="320"/>
              <w:spacing w:after="0"/>
              <w:rPr>
                <w:sz w:val="20"/>
                <w:szCs w:val="20"/>
                <w:color w:val="auto"/>
              </w:rPr>
            </w:pPr>
            <w:r>
              <w:rPr>
                <w:rFonts w:ascii="Arial" w:cs="Arial" w:eastAsia="Arial" w:hAnsi="Arial"/>
                <w:sz w:val="16"/>
                <w:szCs w:val="16"/>
                <w:color w:val="auto"/>
              </w:rPr>
              <w:t>53</w:t>
            </w:r>
          </w:p>
        </w:tc>
        <w:tc>
          <w:tcPr>
            <w:tcW w:w="1080" w:type="dxa"/>
            <w:vAlign w:val="bottom"/>
          </w:tcPr>
          <w:p>
            <w:pPr>
              <w:jc w:val="right"/>
              <w:ind w:right="260"/>
              <w:spacing w:after="0"/>
              <w:rPr>
                <w:sz w:val="20"/>
                <w:szCs w:val="20"/>
                <w:color w:val="auto"/>
              </w:rPr>
            </w:pPr>
            <w:r>
              <w:rPr>
                <w:rFonts w:ascii="Arial" w:cs="Arial" w:eastAsia="Arial" w:hAnsi="Arial"/>
                <w:sz w:val="16"/>
                <w:szCs w:val="16"/>
                <w:color w:val="auto"/>
              </w:rPr>
              <w:t>30</w:t>
            </w:r>
          </w:p>
        </w:tc>
        <w:tc>
          <w:tcPr>
            <w:tcW w:w="1300" w:type="dxa"/>
            <w:vAlign w:val="bottom"/>
          </w:tcPr>
          <w:p>
            <w:pPr>
              <w:spacing w:after="0"/>
              <w:rPr>
                <w:sz w:val="18"/>
                <w:szCs w:val="18"/>
                <w:color w:val="auto"/>
              </w:rPr>
            </w:pPr>
          </w:p>
        </w:tc>
        <w:tc>
          <w:tcPr>
            <w:tcW w:w="920" w:type="dxa"/>
            <w:vAlign w:val="bottom"/>
          </w:tcPr>
          <w:p>
            <w:pPr>
              <w:jc w:val="right"/>
              <w:ind w:right="460"/>
              <w:spacing w:after="0"/>
              <w:rPr>
                <w:sz w:val="20"/>
                <w:szCs w:val="20"/>
                <w:color w:val="auto"/>
              </w:rPr>
            </w:pPr>
            <w:r>
              <w:rPr>
                <w:rFonts w:ascii="Arial" w:cs="Arial" w:eastAsia="Arial" w:hAnsi="Arial"/>
                <w:sz w:val="16"/>
                <w:szCs w:val="16"/>
                <w:color w:val="auto"/>
              </w:rPr>
              <w:t>1</w:t>
            </w:r>
          </w:p>
        </w:tc>
        <w:tc>
          <w:tcPr>
            <w:tcW w:w="112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6"/>
        </w:trPr>
        <w:tc>
          <w:tcPr>
            <w:tcW w:w="5060" w:type="dxa"/>
            <w:vAlign w:val="bottom"/>
          </w:tcPr>
          <w:p>
            <w:pPr>
              <w:spacing w:after="0"/>
              <w:rPr>
                <w:sz w:val="20"/>
                <w:szCs w:val="20"/>
                <w:color w:val="auto"/>
              </w:rPr>
            </w:pPr>
            <w:r>
              <w:rPr>
                <w:rFonts w:ascii="Arial" w:cs="Arial" w:eastAsia="Arial" w:hAnsi="Arial"/>
                <w:sz w:val="16"/>
                <w:szCs w:val="16"/>
                <w:color w:val="auto"/>
              </w:rPr>
              <w:t>Parent and other(2)</w:t>
            </w:r>
          </w:p>
        </w:tc>
        <w:tc>
          <w:tcPr>
            <w:tcW w:w="6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(84)</w:t>
            </w:r>
          </w:p>
        </w:tc>
        <w:tc>
          <w:tcPr>
            <w:tcW w:w="10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(47)</w:t>
            </w:r>
          </w:p>
        </w:tc>
        <w:tc>
          <w:tcPr>
            <w:tcW w:w="1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(19)</w:t>
            </w:r>
          </w:p>
        </w:tc>
        <w:tc>
          <w:tcPr>
            <w:tcW w:w="11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w:t>
            </w:r>
          </w:p>
        </w:tc>
      </w:tr>
      <w:tr>
        <w:trPr>
          <w:trHeight w:val="189"/>
        </w:trPr>
        <w:tc>
          <w:tcPr>
            <w:tcW w:w="5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Earnings</w:t>
            </w:r>
          </w:p>
        </w:tc>
        <w:tc>
          <w:tcPr>
            <w:tcW w:w="68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178</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100 %</w:t>
            </w:r>
          </w:p>
        </w:tc>
        <w:tc>
          <w:tcPr>
            <w:tcW w:w="130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rPr>
              <w:t>236</w:t>
            </w:r>
          </w:p>
        </w:tc>
        <w:tc>
          <w:tcPr>
            <w:tcW w:w="11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100 %</w:t>
            </w:r>
          </w:p>
        </w:tc>
      </w:tr>
      <w:tr>
        <w:trPr>
          <w:trHeight w:val="21"/>
        </w:trPr>
        <w:tc>
          <w:tcPr>
            <w:tcW w:w="5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ind w:left="580" w:hanging="572"/>
        <w:spacing w:after="0"/>
        <w:tabs>
          <w:tab w:leader="none" w:pos="580" w:val="left"/>
        </w:tabs>
        <w:numPr>
          <w:ilvl w:val="0"/>
          <w:numId w:val="55"/>
        </w:numPr>
        <w:rPr>
          <w:rFonts w:ascii="Arial" w:cs="Arial" w:eastAsia="Arial" w:hAnsi="Arial"/>
          <w:sz w:val="14"/>
          <w:szCs w:val="14"/>
          <w:i w:val="1"/>
          <w:iCs w:val="1"/>
          <w:color w:val="auto"/>
        </w:rPr>
      </w:pPr>
      <w:r>
        <w:rPr>
          <w:rFonts w:ascii="Arial" w:cs="Arial" w:eastAsia="Arial" w:hAnsi="Arial"/>
          <w:sz w:val="14"/>
          <w:szCs w:val="14"/>
          <w:i w:val="1"/>
          <w:iCs w:val="1"/>
          <w:color w:val="auto"/>
        </w:rPr>
        <w:t>After preferred dividends.</w:t>
      </w:r>
    </w:p>
    <w:p>
      <w:pPr>
        <w:spacing w:after="0" w:line="5" w:lineRule="exact"/>
        <w:rPr>
          <w:rFonts w:ascii="Arial" w:cs="Arial" w:eastAsia="Arial" w:hAnsi="Arial"/>
          <w:sz w:val="14"/>
          <w:szCs w:val="14"/>
          <w:i w:val="1"/>
          <w:iCs w:val="1"/>
          <w:color w:val="auto"/>
        </w:rPr>
      </w:pPr>
    </w:p>
    <w:p>
      <w:pPr>
        <w:ind w:left="580" w:right="20" w:hanging="572"/>
        <w:spacing w:after="0" w:line="258" w:lineRule="auto"/>
        <w:tabs>
          <w:tab w:leader="none" w:pos="580" w:val="left"/>
        </w:tabs>
        <w:numPr>
          <w:ilvl w:val="0"/>
          <w:numId w:val="5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after-tax interest expense ($38 million and $34 million for the three months ended March 31, 2013 and 2012, respectively), intercompany eliminations recorded in consolidation and certain corporate costs.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5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section is a discussion of earnings (losses) by Sempra Energy segment, as presented in the table above. Variance amounts are the after-tax earnings impact, unless otherwise noted.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BY SEGMENT – CALIFORNIA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5574030" cy="14236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74030"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Our SDG&amp;E segment recorded earnings of:</w:t>
      </w:r>
    </w:p>
    <w:p>
      <w:pPr>
        <w:spacing w:after="0" w:line="252" w:lineRule="exact"/>
        <w:rPr>
          <w:sz w:val="20"/>
          <w:szCs w:val="20"/>
          <w:color w:val="auto"/>
        </w:rPr>
      </w:pPr>
    </w:p>
    <w:p>
      <w:pPr>
        <w:ind w:left="340" w:hanging="188"/>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$91 million in the three months ended March 31, 2013 ($92 million before preferred dividends)</w:t>
      </w:r>
    </w:p>
    <w:p>
      <w:pPr>
        <w:spacing w:after="0" w:line="252" w:lineRule="exact"/>
        <w:rPr>
          <w:rFonts w:ascii="Arial" w:cs="Arial" w:eastAsia="Arial" w:hAnsi="Arial"/>
          <w:sz w:val="18"/>
          <w:szCs w:val="18"/>
          <w:color w:val="auto"/>
        </w:rPr>
      </w:pPr>
    </w:p>
    <w:p>
      <w:pPr>
        <w:ind w:right="4020" w:firstLine="152"/>
        <w:spacing w:after="0" w:line="598" w:lineRule="auto"/>
        <w:tabs>
          <w:tab w:leader="none" w:pos="324" w:val="left"/>
        </w:tabs>
        <w:numPr>
          <w:ilvl w:val="0"/>
          <w:numId w:val="56"/>
        </w:numPr>
        <w:rPr>
          <w:rFonts w:ascii="Arial" w:cs="Arial" w:eastAsia="Arial" w:hAnsi="Arial"/>
          <w:sz w:val="16"/>
          <w:szCs w:val="16"/>
          <w:color w:val="auto"/>
        </w:rPr>
      </w:pPr>
      <w:r>
        <w:rPr>
          <w:rFonts w:ascii="Arial" w:cs="Arial" w:eastAsia="Arial" w:hAnsi="Arial"/>
          <w:sz w:val="16"/>
          <w:szCs w:val="16"/>
          <w:color w:val="auto"/>
        </w:rPr>
        <w:t>$105 million in the three months ended March 31, 2012 ($106 million before preferred dividends) The decrease of $14 million (13%) in the three months ended March 31, 2013 was primarily due to:</w:t>
      </w:r>
    </w:p>
    <w:p>
      <w:pPr>
        <w:spacing w:after="0" w:line="1" w:lineRule="exact"/>
        <w:rPr>
          <w:rFonts w:ascii="Arial" w:cs="Arial" w:eastAsia="Arial" w:hAnsi="Arial"/>
          <w:sz w:val="16"/>
          <w:szCs w:val="16"/>
          <w:color w:val="auto"/>
        </w:rPr>
      </w:pPr>
    </w:p>
    <w:p>
      <w:pPr>
        <w:jc w:val="both"/>
        <w:ind w:left="340" w:hanging="188"/>
        <w:spacing w:after="0" w:line="264"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$17 million primarily from higher depreciation and operation and maintenance expenses related to California Public Utilities Commission (CPUC)-regulated operations (excluding litigation and legal settlements) with no corresponding increase in the CPUC-authorized margin in 2013 or 2012 due to the delay in the 2012 General Rate Case (GRC) decision;</w:t>
      </w:r>
    </w:p>
    <w:p>
      <w:pPr>
        <w:spacing w:after="0" w:line="208" w:lineRule="exact"/>
        <w:rPr>
          <w:rFonts w:ascii="Arial" w:cs="Arial" w:eastAsia="Arial" w:hAnsi="Arial"/>
          <w:sz w:val="18"/>
          <w:szCs w:val="18"/>
          <w:color w:val="auto"/>
        </w:rPr>
      </w:pPr>
    </w:p>
    <w:p>
      <w:pPr>
        <w:ind w:left="340" w:hanging="188"/>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$7 million higher interest expense;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$5 million lower CPUC-authorized rate of return established in the CPUC cost of capital proceeding effective as of January 1, 2013; </w:t>
      </w:r>
      <w:r>
        <w:rPr>
          <w:rFonts w:ascii="Arial" w:cs="Arial" w:eastAsia="Arial" w:hAnsi="Arial"/>
          <w:sz w:val="17"/>
          <w:szCs w:val="17"/>
          <w:b w:val="1"/>
          <w:bCs w:val="1"/>
          <w:color w:val="auto"/>
        </w:rPr>
        <w:t>offset by</w:t>
      </w:r>
    </w:p>
    <w:p>
      <w:pPr>
        <w:spacing w:after="0" w:line="267" w:lineRule="exact"/>
        <w:rPr>
          <w:rFonts w:ascii="Arial" w:cs="Arial" w:eastAsia="Arial" w:hAnsi="Arial"/>
          <w:sz w:val="17"/>
          <w:szCs w:val="17"/>
          <w:color w:val="auto"/>
        </w:rPr>
      </w:pPr>
    </w:p>
    <w:p>
      <w:pPr>
        <w:jc w:val="both"/>
        <w:ind w:left="340" w:hanging="188"/>
        <w:spacing w:after="0" w:line="264"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$8 million reduction in 2013 income tax expense primarily due to a change made in the third quarter of 2012 in the income tax treatment of certain repairs expenditures for electric transmission and distribution assets that are capitalized for financial statement purposes, as we discuss below in “Income Taxes;”</w:t>
      </w:r>
    </w:p>
    <w:p>
      <w:pPr>
        <w:spacing w:after="0" w:line="208" w:lineRule="exact"/>
        <w:rPr>
          <w:rFonts w:ascii="Arial" w:cs="Arial" w:eastAsia="Arial" w:hAnsi="Arial"/>
          <w:sz w:val="18"/>
          <w:szCs w:val="18"/>
          <w:color w:val="auto"/>
        </w:rPr>
      </w:pPr>
    </w:p>
    <w:p>
      <w:pPr>
        <w:ind w:left="340" w:hanging="188"/>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$5 million higher earnings related to Sunrise Powerlink;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$5 million higher electric transmission margin (excluding Sunrise Powerlink).</w:t>
      </w:r>
    </w:p>
    <w:p>
      <w:pPr>
        <w:sectPr>
          <w:pgSz w:w="11900" w:h="16838" w:orient="portrait"/>
          <w:cols w:equalWidth="0" w:num="1">
            <w:col w:w="11420"/>
          </w:cols>
          <w:pgMar w:left="240" w:top="125" w:right="239" w:bottom="235" w:gutter="0" w:footer="0" w:header="0"/>
        </w:sectPr>
      </w:pPr>
    </w:p>
    <w:bookmarkStart w:id="49" w:name="page50"/>
    <w:bookmarkEnd w:id="49"/>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Our SoCalGas segment recorded earnings of:</w:t>
      </w:r>
    </w:p>
    <w:p>
      <w:pPr>
        <w:spacing w:after="0" w:line="252" w:lineRule="exact"/>
        <w:rPr>
          <w:sz w:val="20"/>
          <w:szCs w:val="20"/>
          <w:color w:val="auto"/>
        </w:rPr>
      </w:pPr>
    </w:p>
    <w:p>
      <w:pPr>
        <w:ind w:left="340" w:hanging="188"/>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$46 million in the three months ended March 31, 2013 (both before and after preferred dividends)</w:t>
      </w:r>
    </w:p>
    <w:p>
      <w:pPr>
        <w:spacing w:after="0" w:line="252" w:lineRule="exact"/>
        <w:rPr>
          <w:rFonts w:ascii="Arial" w:cs="Arial" w:eastAsia="Arial" w:hAnsi="Arial"/>
          <w:sz w:val="18"/>
          <w:szCs w:val="18"/>
          <w:color w:val="auto"/>
        </w:rPr>
      </w:pPr>
    </w:p>
    <w:p>
      <w:pPr>
        <w:ind w:right="4040" w:firstLine="152"/>
        <w:spacing w:after="0" w:line="598" w:lineRule="auto"/>
        <w:tabs>
          <w:tab w:leader="none" w:pos="324" w:val="left"/>
        </w:tabs>
        <w:numPr>
          <w:ilvl w:val="0"/>
          <w:numId w:val="57"/>
        </w:numPr>
        <w:rPr>
          <w:rFonts w:ascii="Arial" w:cs="Arial" w:eastAsia="Arial" w:hAnsi="Arial"/>
          <w:sz w:val="16"/>
          <w:szCs w:val="16"/>
          <w:color w:val="auto"/>
        </w:rPr>
      </w:pPr>
      <w:r>
        <w:rPr>
          <w:rFonts w:ascii="Arial" w:cs="Arial" w:eastAsia="Arial" w:hAnsi="Arial"/>
          <w:sz w:val="16"/>
          <w:szCs w:val="16"/>
          <w:color w:val="auto"/>
        </w:rPr>
        <w:t>$66 million in the three months ended March 31, 2012 (both before and after preferred dividends) The decrease of $20 million (30%) in the three months ended March 31, 2013 was primarily due to:</w:t>
      </w:r>
    </w:p>
    <w:p>
      <w:pPr>
        <w:spacing w:after="0" w:line="1" w:lineRule="exact"/>
        <w:rPr>
          <w:rFonts w:ascii="Arial" w:cs="Arial" w:eastAsia="Arial" w:hAnsi="Arial"/>
          <w:sz w:val="16"/>
          <w:szCs w:val="16"/>
          <w:color w:val="auto"/>
        </w:rPr>
      </w:pPr>
    </w:p>
    <w:p>
      <w:pPr>
        <w:ind w:left="340" w:right="20" w:hanging="188"/>
        <w:spacing w:after="0" w:line="27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$15 million primarily from higher operation and maintenance and depreciation expenses related to CPUC-regulated operations with no corresponding increase in the CPUC-authorized margin in 2013 or 2012 due to the delay in the 2012 GRC decision;</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$4 million regulatory award in 2012;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$3 million lower CPUC-authorized rate of return established in the CPUC cost of capital proceeding effective as of January 1, 2013; </w:t>
      </w:r>
      <w:r>
        <w:rPr>
          <w:rFonts w:ascii="Arial" w:cs="Arial" w:eastAsia="Arial" w:hAnsi="Arial"/>
          <w:sz w:val="17"/>
          <w:szCs w:val="17"/>
          <w:b w:val="1"/>
          <w:bCs w:val="1"/>
          <w:color w:val="auto"/>
        </w:rPr>
        <w:t>offset by</w:t>
      </w:r>
    </w:p>
    <w:p>
      <w:pPr>
        <w:spacing w:after="0" w:line="267" w:lineRule="exact"/>
        <w:rPr>
          <w:rFonts w:ascii="Arial" w:cs="Arial" w:eastAsia="Arial" w:hAnsi="Arial"/>
          <w:sz w:val="17"/>
          <w:szCs w:val="17"/>
          <w:color w:val="auto"/>
        </w:rPr>
      </w:pPr>
    </w:p>
    <w:p>
      <w:pPr>
        <w:ind w:left="340" w:hanging="188"/>
        <w:spacing w:after="0" w:line="27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$3 million from a lower effective tax rate, primarily from a change made in the fourth quarter of 2012 in the income tax treatment of certain repairs expenditures for gas assets that are capitalized for financial statement purposes, as we discuss below in “Income Taxes.”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BY SEGMENT – SEMPRA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5574030" cy="14236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74030"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South American Utilities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Our Sempra South American Utilities segment recorded earnings of:</w:t>
      </w:r>
    </w:p>
    <w:p>
      <w:pPr>
        <w:spacing w:after="0" w:line="252" w:lineRule="exact"/>
        <w:rPr>
          <w:sz w:val="20"/>
          <w:szCs w:val="20"/>
          <w:color w:val="auto"/>
        </w:rPr>
      </w:pPr>
    </w:p>
    <w:p>
      <w:pPr>
        <w:ind w:left="340" w:hanging="188"/>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$37 million in the three months ended March 31, 2013</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$40 million in the three months ended March 31,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decrease of $3 million (8%) in the three months ended March 31, 2013 was primarily due to:</w:t>
      </w:r>
    </w:p>
    <w:p>
      <w:pPr>
        <w:spacing w:after="0" w:line="248" w:lineRule="exact"/>
        <w:rPr>
          <w:sz w:val="20"/>
          <w:szCs w:val="20"/>
          <w:color w:val="auto"/>
        </w:rPr>
      </w:pPr>
    </w:p>
    <w:p>
      <w:pPr>
        <w:ind w:left="340" w:hanging="188"/>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a $7 million impairment charge related to our investment in two Argentine natural gas utility holding companies;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$3 million higher earnings from operations in 2013.</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Our Sempra Mexico segment recorded earnings of:</w:t>
      </w:r>
    </w:p>
    <w:p>
      <w:pPr>
        <w:spacing w:after="0" w:line="252" w:lineRule="exact"/>
        <w:rPr>
          <w:sz w:val="20"/>
          <w:szCs w:val="20"/>
          <w:color w:val="auto"/>
        </w:rPr>
      </w:pPr>
    </w:p>
    <w:p>
      <w:pPr>
        <w:ind w:left="340" w:hanging="188"/>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$31 million in the three months ended March 31, 2013</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$33 million in the three months ended March 31,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Earnings for the three months ended March 31, 2013 were consistent with the corresponding period in the prior year.</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BY SEGMENT – SEMPRA U.S. GAS &amp;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ectPr>
          <w:pgSz w:w="11900" w:h="16838" w:orient="portrait"/>
          <w:cols w:equalWidth="0" w:num="1">
            <w:col w:w="11420"/>
          </w:cols>
          <w:pgMar w:left="240" w:top="122" w:right="239" w:bottom="1153" w:gutter="0" w:footer="0" w:header="0"/>
        </w:sectPr>
      </w:pP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ectPr>
          <w:pgSz w:w="11900" w:h="16838" w:orient="portrait"/>
          <w:cols w:equalWidth="0" w:num="1">
            <w:col w:w="11420"/>
          </w:cols>
          <w:pgMar w:left="240" w:top="122" w:right="239" w:bottom="1153" w:gutter="0" w:footer="0" w:header="0"/>
          <w:type w:val="continuous"/>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574030" cy="14236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5574030"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Renewables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Our Sempra Renewables segment recorded earnings of:</w:t>
      </w:r>
    </w:p>
    <w:p>
      <w:pPr>
        <w:spacing w:after="0" w:line="252" w:lineRule="exact"/>
        <w:rPr>
          <w:sz w:val="20"/>
          <w:szCs w:val="20"/>
          <w:color w:val="auto"/>
        </w:rPr>
      </w:pPr>
    </w:p>
    <w:p>
      <w:pPr>
        <w:ind w:left="340" w:hanging="188"/>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$4 million in the three months ended March 31, 2013</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$10 million in the three months ended March 31, 2012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hanging="188"/>
        <w:spacing w:after="0" w:line="277"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$12 million lower deferred income tax benefits, including $5 million from Treasury Grant sequestration in 2013, related to higher investments in solar and wind generating assets in 2012;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$6 million higher production tax credits from our wind assets.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Natural Gas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Our Sempra Natural Gas segment recorded earnings of:</w:t>
      </w:r>
    </w:p>
    <w:p>
      <w:pPr>
        <w:spacing w:after="0" w:line="252" w:lineRule="exact"/>
        <w:rPr>
          <w:sz w:val="20"/>
          <w:szCs w:val="20"/>
          <w:color w:val="auto"/>
        </w:rPr>
      </w:pPr>
    </w:p>
    <w:p>
      <w:pPr>
        <w:ind w:left="340" w:hanging="188"/>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$53 million in the three months ended March 31, 2013</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 million in the three months ended March 31, 2012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hanging="188"/>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$44 million gain on the sale of a 625-MW block of its Mesquite Power plant, net of related expenses;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$9 million higher earnings from LNG, primarily due to timing of cargo marketing operations.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Parent and Other</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Losses for Parent and Other were</w:t>
      </w:r>
    </w:p>
    <w:p>
      <w:pPr>
        <w:spacing w:after="0" w:line="252" w:lineRule="exact"/>
        <w:rPr>
          <w:sz w:val="20"/>
          <w:szCs w:val="20"/>
          <w:color w:val="auto"/>
        </w:rPr>
      </w:pPr>
    </w:p>
    <w:p>
      <w:pPr>
        <w:ind w:left="340" w:hanging="188"/>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$84 million in the three months ended March 31, 2013</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$19 million in the three months ended March 31, 2012</w:t>
      </w:r>
    </w:p>
    <w:p>
      <w:pPr>
        <w:spacing w:after="0" w:line="25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increase in losses of $65 million in the three months ended March 31, 2013 was primarily due to $63 million income tax expense resulting from a corporate reorganization in connection with the IEnova stock offerings.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REVENUES, COSTS AND EARNINGS</w:t>
      </w:r>
    </w:p>
    <w:p>
      <w:pPr>
        <w:spacing w:after="0" w:line="2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section contains a discussion of the differences between periods in the specific line items of the Condensed Consolidated Statements of Operations for Sempra Energy, SDG&amp;E and SoCalGas.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Utilities Revenues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Our utilities revenues include</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revenues at:</w:t>
      </w:r>
    </w:p>
    <w:p>
      <w:pPr>
        <w:spacing w:after="0" w:line="245" w:lineRule="exact"/>
        <w:rPr>
          <w:sz w:val="20"/>
          <w:szCs w:val="20"/>
          <w:color w:val="auto"/>
        </w:rPr>
      </w:pPr>
    </w:p>
    <w:p>
      <w:pPr>
        <w:ind w:left="340" w:hanging="188"/>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SDG&amp;E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SoCalGas</w:t>
      </w:r>
    </w:p>
    <w:p>
      <w:pPr>
        <w:sectPr>
          <w:pgSz w:w="11900" w:h="16874" w:orient="portrait"/>
          <w:cols w:equalWidth="0" w:num="1">
            <w:col w:w="11420"/>
          </w:cols>
          <w:pgMar w:left="240" w:top="1440" w:right="239" w:bottom="0" w:gutter="0" w:footer="0" w:header="0"/>
        </w:sectPr>
      </w:pPr>
    </w:p>
    <w:bookmarkStart w:id="51" w:name="page52"/>
    <w:bookmarkEnd w:id="51"/>
    <w:p>
      <w:pPr>
        <w:ind w:left="340" w:hanging="188"/>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Sempra Mexico’s Ecogas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Sempra Natural Gas’ Mobile Gas and Willmut Gas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Electric revenues at:</w:t>
      </w:r>
    </w:p>
    <w:p>
      <w:pPr>
        <w:spacing w:after="0" w:line="245" w:lineRule="exact"/>
        <w:rPr>
          <w:sz w:val="20"/>
          <w:szCs w:val="20"/>
          <w:color w:val="auto"/>
        </w:rPr>
      </w:pPr>
    </w:p>
    <w:p>
      <w:pPr>
        <w:ind w:left="340" w:hanging="188"/>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SDG&amp;E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Sempra South American Utilities’ Chilquinta Energía and Luz del Sur</w:t>
      </w:r>
    </w:p>
    <w:p>
      <w:pPr>
        <w:spacing w:after="0" w:line="25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Intercompany revenues included in the separate revenues of each utility are eliminated in the Sempra Energy Condensed Consolidated Statements of Operations.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California Utilities</w:t>
      </w:r>
    </w:p>
    <w:p>
      <w:pPr>
        <w:spacing w:after="0" w:line="24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current regulatory framework for SoCalGas and SDG&amp;E permits the cost of natural gas purchased for core customers (primarily residential and small commercial and industrial customers) to be passed through to customers in rates substantially as incurred. However, SoCalGas’ Gas Cost Incentive Mechanism provides SoCalGas the opportunity to share in the savings and/or costs from buying natural gas for its core customers at prices below or above monthly market-based benchmarks. This mechanism permits full recovery of costs incurred when average purchase costs are within a price range around the benchmark price. Any higher costs incurred or savings realized outside this range are shared between the core customers and SoCalGas. We provide further discussion in Note 9 of the Notes to Condensed Consolidated Financial Statements herein and in Notes 1 and 14 of the Notes to Consolidated Financial Statements in the Annual Report.</w:t>
      </w:r>
    </w:p>
    <w:p>
      <w:pPr>
        <w:spacing w:after="0" w:line="21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regulatory framework also permits SDG&amp;E to recover the actual cost incurred to generate or procure electricity based on annual estimates of the cost of electricity supplied to customers. The differences in cost between estimates and actual are recovered in the next year through rates.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revenues and cost of sales for our utilities, net of intercompany activity:</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UTILITIES REVENUES AND 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70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color w:val="auto"/>
              </w:rPr>
              <w:t>Three months ended March 31,</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color w:val="auto"/>
              </w:rPr>
              <w:t>2013</w:t>
            </w:r>
          </w:p>
        </w:tc>
        <w:tc>
          <w:tcPr>
            <w:tcW w:w="7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2012</w:t>
            </w: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tcPr>
          <w:p>
            <w:pPr>
              <w:spacing w:after="0"/>
              <w:rPr>
                <w:sz w:val="20"/>
                <w:szCs w:val="20"/>
                <w:color w:val="auto"/>
              </w:rPr>
            </w:pPr>
            <w:r>
              <w:rPr>
                <w:rFonts w:ascii="Arial" w:cs="Arial" w:eastAsia="Arial" w:hAnsi="Arial"/>
                <w:sz w:val="16"/>
                <w:szCs w:val="16"/>
                <w:b w:val="1"/>
                <w:bCs w:val="1"/>
                <w:color w:val="auto"/>
              </w:rPr>
              <w:t>Electric revenues:</w:t>
            </w:r>
          </w:p>
        </w:tc>
        <w:tc>
          <w:tcPr>
            <w:tcW w:w="1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160" w:type="dxa"/>
            <w:vAlign w:val="bottom"/>
          </w:tcPr>
          <w:p>
            <w:pPr>
              <w:ind w:left="100"/>
              <w:spacing w:after="0"/>
              <w:rPr>
                <w:sz w:val="20"/>
                <w:szCs w:val="20"/>
                <w:color w:val="auto"/>
              </w:rPr>
            </w:pPr>
            <w:r>
              <w:rPr>
                <w:rFonts w:ascii="Arial" w:cs="Arial" w:eastAsia="Arial" w:hAnsi="Arial"/>
                <w:sz w:val="16"/>
                <w:szCs w:val="16"/>
                <w:color w:val="auto"/>
              </w:rPr>
              <w:t>SDG&amp;E</w:t>
            </w:r>
          </w:p>
        </w:tc>
        <w:tc>
          <w:tcPr>
            <w:tcW w:w="3340" w:type="dxa"/>
            <w:vAlign w:val="bottom"/>
            <w:gridSpan w:val="2"/>
          </w:tcPr>
          <w:p>
            <w:pPr>
              <w:jc w:val="right"/>
              <w:ind w:right="1328"/>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772</w:t>
            </w:r>
          </w:p>
        </w:tc>
        <w:tc>
          <w:tcPr>
            <w:tcW w:w="1440" w:type="dxa"/>
            <w:vAlign w:val="bottom"/>
          </w:tcPr>
          <w:p>
            <w:pPr>
              <w:jc w:val="right"/>
              <w:ind w:right="12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671</w:t>
            </w:r>
          </w:p>
        </w:tc>
        <w:tc>
          <w:tcPr>
            <w:tcW w:w="0" w:type="dxa"/>
            <w:vAlign w:val="bottom"/>
          </w:tcPr>
          <w:p>
            <w:pPr>
              <w:spacing w:after="0"/>
              <w:rPr>
                <w:sz w:val="1"/>
                <w:szCs w:val="1"/>
                <w:color w:val="auto"/>
              </w:rPr>
            </w:pPr>
          </w:p>
        </w:tc>
      </w:tr>
      <w:tr>
        <w:trPr>
          <w:trHeight w:val="216"/>
        </w:trPr>
        <w:tc>
          <w:tcPr>
            <w:tcW w:w="516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1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360</w:t>
            </w:r>
          </w:p>
        </w:tc>
        <w:tc>
          <w:tcPr>
            <w:tcW w:w="1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16"/>
        </w:trPr>
        <w:tc>
          <w:tcPr>
            <w:tcW w:w="5160" w:type="dxa"/>
            <w:vAlign w:val="bottom"/>
          </w:tcPr>
          <w:p>
            <w:pPr>
              <w:ind w:left="100"/>
              <w:spacing w:after="0"/>
              <w:rPr>
                <w:sz w:val="20"/>
                <w:szCs w:val="20"/>
                <w:color w:val="auto"/>
              </w:rPr>
            </w:pPr>
            <w:r>
              <w:rPr>
                <w:rFonts w:ascii="Arial" w:cs="Arial" w:eastAsia="Arial" w:hAnsi="Arial"/>
                <w:sz w:val="16"/>
                <w:szCs w:val="16"/>
                <w:color w:val="auto"/>
              </w:rPr>
              <w:t>Eliminations and adjustments</w:t>
            </w:r>
          </w:p>
        </w:tc>
        <w:tc>
          <w:tcPr>
            <w:tcW w:w="186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3"/>
        </w:trPr>
        <w:tc>
          <w:tcPr>
            <w:tcW w:w="5160" w:type="dxa"/>
            <w:vAlign w:val="bottom"/>
          </w:tcPr>
          <w:p>
            <w:pPr>
              <w:ind w:left="380"/>
              <w:spacing w:after="0"/>
              <w:rPr>
                <w:sz w:val="20"/>
                <w:szCs w:val="20"/>
                <w:color w:val="auto"/>
              </w:rPr>
            </w:pPr>
            <w:r>
              <w:rPr>
                <w:rFonts w:ascii="Arial" w:cs="Arial" w:eastAsia="Arial" w:hAnsi="Arial"/>
                <w:sz w:val="16"/>
                <w:szCs w:val="16"/>
                <w:color w:val="auto"/>
              </w:rPr>
              <w:t>Total</w:t>
            </w:r>
          </w:p>
        </w:tc>
        <w:tc>
          <w:tcPr>
            <w:tcW w:w="186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1,131</w:t>
            </w:r>
          </w:p>
        </w:tc>
        <w:tc>
          <w:tcPr>
            <w:tcW w:w="1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w:t>
            </w:r>
          </w:p>
        </w:tc>
        <w:tc>
          <w:tcPr>
            <w:tcW w:w="0" w:type="dxa"/>
            <w:vAlign w:val="bottom"/>
          </w:tcPr>
          <w:p>
            <w:pPr>
              <w:spacing w:after="0"/>
              <w:rPr>
                <w:sz w:val="1"/>
                <w:szCs w:val="1"/>
                <w:color w:val="auto"/>
              </w:rPr>
            </w:pPr>
          </w:p>
        </w:tc>
      </w:tr>
      <w:tr>
        <w:trPr>
          <w:trHeight w:val="224"/>
        </w:trPr>
        <w:tc>
          <w:tcPr>
            <w:tcW w:w="5160" w:type="dxa"/>
            <w:vAlign w:val="bottom"/>
          </w:tcPr>
          <w:p>
            <w:pPr>
              <w:spacing w:after="0"/>
              <w:rPr>
                <w:sz w:val="20"/>
                <w:szCs w:val="20"/>
                <w:color w:val="auto"/>
              </w:rPr>
            </w:pPr>
            <w:r>
              <w:rPr>
                <w:rFonts w:ascii="Arial" w:cs="Arial" w:eastAsia="Arial" w:hAnsi="Arial"/>
                <w:sz w:val="16"/>
                <w:szCs w:val="16"/>
                <w:b w:val="1"/>
                <w:bCs w:val="1"/>
                <w:color w:val="auto"/>
              </w:rPr>
              <w:t>Natural gas revenues:</w:t>
            </w: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00"/>
              <w:spacing w:after="0"/>
              <w:rPr>
                <w:sz w:val="20"/>
                <w:szCs w:val="20"/>
                <w:color w:val="auto"/>
              </w:rPr>
            </w:pPr>
            <w:r>
              <w:rPr>
                <w:rFonts w:ascii="Arial" w:cs="Arial" w:eastAsia="Arial" w:hAnsi="Arial"/>
                <w:sz w:val="16"/>
                <w:szCs w:val="16"/>
                <w:color w:val="auto"/>
              </w:rPr>
              <w:t>SoCalGas</w:t>
            </w:r>
          </w:p>
        </w:tc>
        <w:tc>
          <w:tcPr>
            <w:tcW w:w="1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983</w:t>
            </w:r>
          </w:p>
        </w:tc>
        <w:tc>
          <w:tcPr>
            <w:tcW w:w="1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880</w:t>
            </w:r>
          </w:p>
        </w:tc>
        <w:tc>
          <w:tcPr>
            <w:tcW w:w="0" w:type="dxa"/>
            <w:vAlign w:val="bottom"/>
          </w:tcPr>
          <w:p>
            <w:pPr>
              <w:spacing w:after="0"/>
              <w:rPr>
                <w:sz w:val="1"/>
                <w:szCs w:val="1"/>
                <w:color w:val="auto"/>
              </w:rPr>
            </w:pPr>
          </w:p>
        </w:tc>
      </w:tr>
      <w:tr>
        <w:trPr>
          <w:trHeight w:val="216"/>
        </w:trPr>
        <w:tc>
          <w:tcPr>
            <w:tcW w:w="5160" w:type="dxa"/>
            <w:vAlign w:val="bottom"/>
          </w:tcPr>
          <w:p>
            <w:pPr>
              <w:ind w:left="100"/>
              <w:spacing w:after="0"/>
              <w:rPr>
                <w:sz w:val="20"/>
                <w:szCs w:val="20"/>
                <w:color w:val="auto"/>
              </w:rPr>
            </w:pPr>
            <w:r>
              <w:rPr>
                <w:rFonts w:ascii="Arial" w:cs="Arial" w:eastAsia="Arial" w:hAnsi="Arial"/>
                <w:sz w:val="16"/>
                <w:szCs w:val="16"/>
                <w:color w:val="auto"/>
              </w:rPr>
              <w:t>SDG&amp;E</w:t>
            </w:r>
          </w:p>
        </w:tc>
        <w:tc>
          <w:tcPr>
            <w:tcW w:w="1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167</w:t>
            </w:r>
          </w:p>
        </w:tc>
        <w:tc>
          <w:tcPr>
            <w:tcW w:w="1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16"/>
        </w:trPr>
        <w:tc>
          <w:tcPr>
            <w:tcW w:w="516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1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6"/>
        </w:trPr>
        <w:tc>
          <w:tcPr>
            <w:tcW w:w="516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1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6"/>
        </w:trPr>
        <w:tc>
          <w:tcPr>
            <w:tcW w:w="5160" w:type="dxa"/>
            <w:vAlign w:val="bottom"/>
          </w:tcPr>
          <w:p>
            <w:pPr>
              <w:ind w:left="100"/>
              <w:spacing w:after="0"/>
              <w:rPr>
                <w:sz w:val="20"/>
                <w:szCs w:val="20"/>
                <w:color w:val="auto"/>
              </w:rPr>
            </w:pPr>
            <w:r>
              <w:rPr>
                <w:rFonts w:ascii="Arial" w:cs="Arial" w:eastAsia="Arial" w:hAnsi="Arial"/>
                <w:sz w:val="16"/>
                <w:szCs w:val="16"/>
                <w:color w:val="auto"/>
              </w:rPr>
              <w:t>Eliminations and adjustments</w:t>
            </w:r>
          </w:p>
        </w:tc>
        <w:tc>
          <w:tcPr>
            <w:tcW w:w="186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3"/>
        </w:trPr>
        <w:tc>
          <w:tcPr>
            <w:tcW w:w="5160" w:type="dxa"/>
            <w:vAlign w:val="bottom"/>
          </w:tcPr>
          <w:p>
            <w:pPr>
              <w:ind w:left="380"/>
              <w:spacing w:after="0"/>
              <w:rPr>
                <w:sz w:val="20"/>
                <w:szCs w:val="20"/>
                <w:color w:val="auto"/>
              </w:rPr>
            </w:pPr>
            <w:r>
              <w:rPr>
                <w:rFonts w:ascii="Arial" w:cs="Arial" w:eastAsia="Arial" w:hAnsi="Arial"/>
                <w:sz w:val="16"/>
                <w:szCs w:val="16"/>
                <w:color w:val="auto"/>
              </w:rPr>
              <w:t>Total</w:t>
            </w:r>
          </w:p>
        </w:tc>
        <w:tc>
          <w:tcPr>
            <w:tcW w:w="186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1,203</w:t>
            </w:r>
          </w:p>
        </w:tc>
        <w:tc>
          <w:tcPr>
            <w:tcW w:w="1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w:t>
            </w:r>
          </w:p>
        </w:tc>
        <w:tc>
          <w:tcPr>
            <w:tcW w:w="0" w:type="dxa"/>
            <w:vAlign w:val="bottom"/>
          </w:tcPr>
          <w:p>
            <w:pPr>
              <w:spacing w:after="0"/>
              <w:rPr>
                <w:sz w:val="1"/>
                <w:szCs w:val="1"/>
                <w:color w:val="auto"/>
              </w:rPr>
            </w:pPr>
          </w:p>
        </w:tc>
      </w:tr>
      <w:tr>
        <w:trPr>
          <w:trHeight w:val="189"/>
        </w:trPr>
        <w:tc>
          <w:tcPr>
            <w:tcW w:w="5160" w:type="dxa"/>
            <w:vAlign w:val="bottom"/>
          </w:tcPr>
          <w:p>
            <w:pPr>
              <w:ind w:left="180"/>
              <w:spacing w:after="0" w:line="183" w:lineRule="exact"/>
              <w:rPr>
                <w:sz w:val="20"/>
                <w:szCs w:val="20"/>
                <w:color w:val="auto"/>
              </w:rPr>
            </w:pPr>
            <w:r>
              <w:rPr>
                <w:rFonts w:ascii="Arial" w:cs="Arial" w:eastAsia="Arial" w:hAnsi="Arial"/>
                <w:sz w:val="16"/>
                <w:szCs w:val="16"/>
                <w:color w:val="auto"/>
              </w:rPr>
              <w:t>Total utilities revenues</w:t>
            </w:r>
          </w:p>
        </w:tc>
        <w:tc>
          <w:tcPr>
            <w:tcW w:w="3340" w:type="dxa"/>
            <w:vAlign w:val="bottom"/>
            <w:gridSpan w:val="2"/>
          </w:tcPr>
          <w:p>
            <w:pPr>
              <w:jc w:val="right"/>
              <w:ind w:right="1328"/>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2,334</w:t>
            </w:r>
          </w:p>
        </w:tc>
        <w:tc>
          <w:tcPr>
            <w:tcW w:w="1440" w:type="dxa"/>
            <w:vAlign w:val="bottom"/>
          </w:tcPr>
          <w:p>
            <w:pPr>
              <w:jc w:val="right"/>
              <w:ind w:right="12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2,091</w:t>
            </w:r>
          </w:p>
        </w:tc>
        <w:tc>
          <w:tcPr>
            <w:tcW w:w="0" w:type="dxa"/>
            <w:vAlign w:val="bottom"/>
          </w:tcPr>
          <w:p>
            <w:pPr>
              <w:spacing w:after="0"/>
              <w:rPr>
                <w:sz w:val="1"/>
                <w:szCs w:val="1"/>
                <w:color w:val="auto"/>
              </w:rPr>
            </w:pPr>
          </w:p>
        </w:tc>
      </w:tr>
      <w:tr>
        <w:trPr>
          <w:trHeight w:val="21"/>
        </w:trPr>
        <w:tc>
          <w:tcPr>
            <w:tcW w:w="5160" w:type="dxa"/>
            <w:vAlign w:val="bottom"/>
            <w:vMerge w:val="restart"/>
          </w:tcPr>
          <w:p>
            <w:pPr>
              <w:spacing w:after="0"/>
              <w:rPr>
                <w:sz w:val="20"/>
                <w:szCs w:val="20"/>
                <w:color w:val="auto"/>
              </w:rPr>
            </w:pPr>
            <w:r>
              <w:rPr>
                <w:rFonts w:ascii="Arial" w:cs="Arial" w:eastAsia="Arial" w:hAnsi="Arial"/>
                <w:sz w:val="16"/>
                <w:szCs w:val="16"/>
                <w:b w:val="1"/>
                <w:bCs w:val="1"/>
                <w:color w:val="auto"/>
              </w:rPr>
              <w:t>Cost of electric fuel and purchased power:</w:t>
            </w:r>
          </w:p>
        </w:tc>
        <w:tc>
          <w:tcPr>
            <w:tcW w:w="18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516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160" w:type="dxa"/>
            <w:vAlign w:val="bottom"/>
          </w:tcPr>
          <w:p>
            <w:pPr>
              <w:ind w:left="100"/>
              <w:spacing w:after="0"/>
              <w:rPr>
                <w:sz w:val="20"/>
                <w:szCs w:val="20"/>
                <w:color w:val="auto"/>
              </w:rPr>
            </w:pPr>
            <w:r>
              <w:rPr>
                <w:rFonts w:ascii="Arial" w:cs="Arial" w:eastAsia="Arial" w:hAnsi="Arial"/>
                <w:sz w:val="16"/>
                <w:szCs w:val="16"/>
                <w:color w:val="auto"/>
              </w:rPr>
              <w:t>SDG&amp;E</w:t>
            </w:r>
          </w:p>
        </w:tc>
        <w:tc>
          <w:tcPr>
            <w:tcW w:w="3340" w:type="dxa"/>
            <w:vAlign w:val="bottom"/>
            <w:gridSpan w:val="2"/>
          </w:tcPr>
          <w:p>
            <w:pPr>
              <w:jc w:val="right"/>
              <w:ind w:right="1328"/>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209</w:t>
            </w:r>
          </w:p>
        </w:tc>
        <w:tc>
          <w:tcPr>
            <w:tcW w:w="1440" w:type="dxa"/>
            <w:vAlign w:val="bottom"/>
          </w:tcPr>
          <w:p>
            <w:pPr>
              <w:jc w:val="right"/>
              <w:ind w:right="12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16"/>
        </w:trPr>
        <w:tc>
          <w:tcPr>
            <w:tcW w:w="516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186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238</w:t>
            </w:r>
          </w:p>
        </w:tc>
        <w:tc>
          <w:tcPr>
            <w:tcW w:w="1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189"/>
        </w:trPr>
        <w:tc>
          <w:tcPr>
            <w:tcW w:w="5160" w:type="dxa"/>
            <w:vAlign w:val="bottom"/>
          </w:tcPr>
          <w:p>
            <w:pPr>
              <w:ind w:left="380"/>
              <w:spacing w:after="0" w:line="183" w:lineRule="exact"/>
              <w:rPr>
                <w:sz w:val="20"/>
                <w:szCs w:val="20"/>
                <w:color w:val="auto"/>
              </w:rPr>
            </w:pPr>
            <w:r>
              <w:rPr>
                <w:rFonts w:ascii="Arial" w:cs="Arial" w:eastAsia="Arial" w:hAnsi="Arial"/>
                <w:sz w:val="16"/>
                <w:szCs w:val="16"/>
                <w:color w:val="auto"/>
              </w:rPr>
              <w:t>Total</w:t>
            </w:r>
          </w:p>
        </w:tc>
        <w:tc>
          <w:tcPr>
            <w:tcW w:w="3340" w:type="dxa"/>
            <w:vAlign w:val="bottom"/>
            <w:gridSpan w:val="2"/>
          </w:tcPr>
          <w:p>
            <w:pPr>
              <w:jc w:val="right"/>
              <w:ind w:right="1328"/>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447</w:t>
            </w:r>
          </w:p>
        </w:tc>
        <w:tc>
          <w:tcPr>
            <w:tcW w:w="1440" w:type="dxa"/>
            <w:vAlign w:val="bottom"/>
          </w:tcPr>
          <w:p>
            <w:pPr>
              <w:jc w:val="right"/>
              <w:ind w:right="12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1"/>
        </w:trPr>
        <w:tc>
          <w:tcPr>
            <w:tcW w:w="5160" w:type="dxa"/>
            <w:vAlign w:val="bottom"/>
            <w:vMerge w:val="restart"/>
          </w:tcPr>
          <w:p>
            <w:pPr>
              <w:spacing w:after="0"/>
              <w:rPr>
                <w:sz w:val="20"/>
                <w:szCs w:val="20"/>
                <w:color w:val="auto"/>
              </w:rPr>
            </w:pPr>
            <w:r>
              <w:rPr>
                <w:rFonts w:ascii="Arial" w:cs="Arial" w:eastAsia="Arial" w:hAnsi="Arial"/>
                <w:sz w:val="16"/>
                <w:szCs w:val="16"/>
                <w:b w:val="1"/>
                <w:bCs w:val="1"/>
                <w:color w:val="auto"/>
              </w:rPr>
              <w:t>Cost of natural gas:</w:t>
            </w:r>
          </w:p>
        </w:tc>
        <w:tc>
          <w:tcPr>
            <w:tcW w:w="18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516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160" w:type="dxa"/>
            <w:vAlign w:val="bottom"/>
          </w:tcPr>
          <w:p>
            <w:pPr>
              <w:ind w:left="100"/>
              <w:spacing w:after="0"/>
              <w:rPr>
                <w:sz w:val="20"/>
                <w:szCs w:val="20"/>
                <w:color w:val="auto"/>
              </w:rPr>
            </w:pPr>
            <w:r>
              <w:rPr>
                <w:rFonts w:ascii="Arial" w:cs="Arial" w:eastAsia="Arial" w:hAnsi="Arial"/>
                <w:sz w:val="16"/>
                <w:szCs w:val="16"/>
                <w:color w:val="auto"/>
              </w:rPr>
              <w:t>SoCalGas</w:t>
            </w:r>
          </w:p>
        </w:tc>
        <w:tc>
          <w:tcPr>
            <w:tcW w:w="3340" w:type="dxa"/>
            <w:vAlign w:val="bottom"/>
            <w:gridSpan w:val="2"/>
          </w:tcPr>
          <w:p>
            <w:pPr>
              <w:jc w:val="right"/>
              <w:ind w:right="1328"/>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454</w:t>
            </w:r>
          </w:p>
        </w:tc>
        <w:tc>
          <w:tcPr>
            <w:tcW w:w="1440" w:type="dxa"/>
            <w:vAlign w:val="bottom"/>
          </w:tcPr>
          <w:p>
            <w:pPr>
              <w:jc w:val="right"/>
              <w:ind w:right="12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16"/>
        </w:trPr>
        <w:tc>
          <w:tcPr>
            <w:tcW w:w="5160" w:type="dxa"/>
            <w:vAlign w:val="bottom"/>
          </w:tcPr>
          <w:p>
            <w:pPr>
              <w:ind w:left="100"/>
              <w:spacing w:after="0"/>
              <w:rPr>
                <w:sz w:val="20"/>
                <w:szCs w:val="20"/>
                <w:color w:val="auto"/>
              </w:rPr>
            </w:pPr>
            <w:r>
              <w:rPr>
                <w:rFonts w:ascii="Arial" w:cs="Arial" w:eastAsia="Arial" w:hAnsi="Arial"/>
                <w:sz w:val="16"/>
                <w:szCs w:val="16"/>
                <w:color w:val="auto"/>
              </w:rPr>
              <w:t>SDG&amp;E</w:t>
            </w:r>
          </w:p>
        </w:tc>
        <w:tc>
          <w:tcPr>
            <w:tcW w:w="1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76</w:t>
            </w:r>
          </w:p>
        </w:tc>
        <w:tc>
          <w:tcPr>
            <w:tcW w:w="1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6"/>
        </w:trPr>
        <w:tc>
          <w:tcPr>
            <w:tcW w:w="516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1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516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1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5160" w:type="dxa"/>
            <w:vAlign w:val="bottom"/>
          </w:tcPr>
          <w:p>
            <w:pPr>
              <w:ind w:left="100"/>
              <w:spacing w:after="0"/>
              <w:rPr>
                <w:sz w:val="20"/>
                <w:szCs w:val="20"/>
                <w:color w:val="auto"/>
              </w:rPr>
            </w:pPr>
            <w:r>
              <w:rPr>
                <w:rFonts w:ascii="Arial" w:cs="Arial" w:eastAsia="Arial" w:hAnsi="Arial"/>
                <w:sz w:val="16"/>
                <w:szCs w:val="16"/>
                <w:color w:val="auto"/>
              </w:rPr>
              <w:t>Eliminations and adjustments</w:t>
            </w:r>
          </w:p>
        </w:tc>
        <w:tc>
          <w:tcPr>
            <w:tcW w:w="186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Total</w:t>
            </w:r>
          </w:p>
        </w:tc>
        <w:tc>
          <w:tcPr>
            <w:tcW w:w="3340" w:type="dxa"/>
            <w:vAlign w:val="bottom"/>
            <w:tcBorders>
              <w:bottom w:val="single" w:sz="8" w:color="auto"/>
            </w:tcBorders>
            <w:gridSpan w:val="2"/>
          </w:tcPr>
          <w:p>
            <w:pPr>
              <w:jc w:val="right"/>
              <w:ind w:right="1328"/>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556</w:t>
            </w:r>
          </w:p>
        </w:tc>
        <w:tc>
          <w:tcPr>
            <w:tcW w:w="1440" w:type="dxa"/>
            <w:vAlign w:val="bottom"/>
            <w:tcBorders>
              <w:bottom w:val="single" w:sz="8" w:color="auto"/>
            </w:tcBorders>
          </w:tcPr>
          <w:p>
            <w:pPr>
              <w:jc w:val="right"/>
              <w:ind w:right="12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21"/>
        </w:trPr>
        <w:tc>
          <w:tcPr>
            <w:tcW w:w="5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Electric Revenues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2013, our electric revenues increased by $123 million (12%) to $1.1 billion primarily due to:</w:t>
      </w:r>
    </w:p>
    <w:p>
      <w:pPr>
        <w:spacing w:after="0" w:line="252" w:lineRule="exact"/>
        <w:rPr>
          <w:sz w:val="20"/>
          <w:szCs w:val="20"/>
          <w:color w:val="auto"/>
        </w:rPr>
      </w:pPr>
    </w:p>
    <w:p>
      <w:pPr>
        <w:ind w:left="340" w:hanging="188"/>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$101 million increase at SDG&amp;E, including:</w:t>
      </w:r>
    </w:p>
    <w:p>
      <w:pPr>
        <w:spacing w:after="0" w:line="252" w:lineRule="exact"/>
        <w:rPr>
          <w:rFonts w:ascii="Arial" w:cs="Arial" w:eastAsia="Arial" w:hAnsi="Arial"/>
          <w:sz w:val="18"/>
          <w:szCs w:val="18"/>
          <w:color w:val="auto"/>
        </w:rPr>
      </w:pPr>
    </w:p>
    <w:p>
      <w:pPr>
        <w:ind w:left="500" w:hanging="186"/>
        <w:spacing w:after="0"/>
        <w:tabs>
          <w:tab w:leader="none" w:pos="500" w:val="left"/>
        </w:tabs>
        <w:numPr>
          <w:ilvl w:val="1"/>
          <w:numId w:val="69"/>
        </w:numPr>
        <w:rPr>
          <w:rFonts w:ascii="Arial" w:cs="Arial" w:eastAsia="Arial" w:hAnsi="Arial"/>
          <w:sz w:val="18"/>
          <w:szCs w:val="18"/>
          <w:b w:val="1"/>
          <w:bCs w:val="1"/>
          <w:color w:val="auto"/>
        </w:rPr>
      </w:pPr>
      <w:r>
        <w:rPr>
          <w:rFonts w:ascii="Arial" w:cs="Arial" w:eastAsia="Arial" w:hAnsi="Arial"/>
          <w:sz w:val="18"/>
          <w:szCs w:val="18"/>
          <w:color w:val="auto"/>
        </w:rPr>
        <w:t>$68 million higher authorized revenues from electric transmission, and</w:t>
      </w:r>
    </w:p>
    <w:p>
      <w:pPr>
        <w:sectPr>
          <w:pgSz w:w="11900" w:h="16838" w:orient="portrait"/>
          <w:cols w:equalWidth="0" w:num="1">
            <w:col w:w="11420"/>
          </w:cols>
          <w:pgMar w:left="240" w:top="368" w:right="239" w:bottom="0" w:gutter="0" w:footer="0" w:header="0"/>
        </w:sectPr>
      </w:pPr>
    </w:p>
    <w:bookmarkStart w:id="52" w:name="page53"/>
    <w:bookmarkEnd w:id="52"/>
    <w:p>
      <w:pPr>
        <w:ind w:left="500" w:hanging="186"/>
        <w:spacing w:after="0"/>
        <w:tabs>
          <w:tab w:leader="none" w:pos="500" w:val="left"/>
        </w:tabs>
        <w:numPr>
          <w:ilvl w:val="1"/>
          <w:numId w:val="70"/>
        </w:numPr>
        <w:rPr>
          <w:rFonts w:ascii="Arial" w:cs="Arial" w:eastAsia="Arial" w:hAnsi="Arial"/>
          <w:sz w:val="18"/>
          <w:szCs w:val="18"/>
          <w:b w:val="1"/>
          <w:bCs w:val="1"/>
          <w:color w:val="auto"/>
        </w:rPr>
      </w:pPr>
      <w:r>
        <w:rPr>
          <w:rFonts w:ascii="Arial" w:cs="Arial" w:eastAsia="Arial" w:hAnsi="Arial"/>
          <w:sz w:val="18"/>
          <w:szCs w:val="18"/>
          <w:color w:val="auto"/>
        </w:rPr>
        <w:t>$46 million increase in cost of electric fuel and purchased power, offset by</w:t>
      </w:r>
    </w:p>
    <w:p>
      <w:pPr>
        <w:spacing w:after="0" w:line="252" w:lineRule="exact"/>
        <w:rPr>
          <w:rFonts w:ascii="Arial" w:cs="Arial" w:eastAsia="Arial" w:hAnsi="Arial"/>
          <w:sz w:val="18"/>
          <w:szCs w:val="18"/>
          <w:b w:val="1"/>
          <w:bCs w:val="1"/>
          <w:color w:val="auto"/>
        </w:rPr>
      </w:pPr>
    </w:p>
    <w:p>
      <w:pPr>
        <w:ind w:left="500" w:hanging="186"/>
        <w:spacing w:after="0"/>
        <w:tabs>
          <w:tab w:leader="none" w:pos="5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$7 million lower CPUC-authorized rate of return established in the CPUC cost of capital proceeding effective as of January 1, 2013; and</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$22 million increase at our South American utilities primarily due to higher volumes and foreign currency exchange rate effects at both Luz del Sur and Chilquinta Energía.</w:t>
      </w:r>
    </w:p>
    <w:p>
      <w:pPr>
        <w:spacing w:after="0" w:line="1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utilities’ cost of electric fuel and purchased power increased by $59 million (15%) to $447 million in the three months ended March 31, 2013 primarily due to:</w:t>
      </w:r>
    </w:p>
    <w:p>
      <w:pPr>
        <w:spacing w:after="0" w:line="197" w:lineRule="exact"/>
        <w:rPr>
          <w:sz w:val="20"/>
          <w:szCs w:val="20"/>
          <w:color w:val="auto"/>
        </w:rPr>
      </w:pPr>
    </w:p>
    <w:p>
      <w:pPr>
        <w:ind w:left="340" w:hanging="188"/>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$46 million increase at SDG&amp;E, including:</w:t>
      </w:r>
    </w:p>
    <w:p>
      <w:pPr>
        <w:spacing w:after="0" w:line="252" w:lineRule="exact"/>
        <w:rPr>
          <w:rFonts w:ascii="Arial" w:cs="Arial" w:eastAsia="Arial" w:hAnsi="Arial"/>
          <w:sz w:val="18"/>
          <w:szCs w:val="18"/>
          <w:color w:val="auto"/>
        </w:rPr>
      </w:pPr>
    </w:p>
    <w:p>
      <w:pPr>
        <w:ind w:left="500" w:hanging="186"/>
        <w:spacing w:after="0"/>
        <w:tabs>
          <w:tab w:leader="none" w:pos="500" w:val="left"/>
        </w:tabs>
        <w:numPr>
          <w:ilvl w:val="1"/>
          <w:numId w:val="71"/>
        </w:numPr>
        <w:rPr>
          <w:rFonts w:ascii="Arial" w:cs="Arial" w:eastAsia="Arial" w:hAnsi="Arial"/>
          <w:sz w:val="18"/>
          <w:szCs w:val="18"/>
          <w:b w:val="1"/>
          <w:bCs w:val="1"/>
          <w:color w:val="auto"/>
        </w:rPr>
      </w:pPr>
      <w:r>
        <w:rPr>
          <w:rFonts w:ascii="Arial" w:cs="Arial" w:eastAsia="Arial" w:hAnsi="Arial"/>
          <w:sz w:val="18"/>
          <w:szCs w:val="18"/>
          <w:color w:val="auto"/>
        </w:rPr>
        <w:t>$27 million due to the cost of power purchased to replace power scheduled to be generated and delivered to SDG&amp;E from SONGS, and</w:t>
      </w:r>
    </w:p>
    <w:p>
      <w:pPr>
        <w:spacing w:after="0" w:line="252" w:lineRule="exact"/>
        <w:rPr>
          <w:rFonts w:ascii="Arial" w:cs="Arial" w:eastAsia="Arial" w:hAnsi="Arial"/>
          <w:sz w:val="18"/>
          <w:szCs w:val="18"/>
          <w:b w:val="1"/>
          <w:bCs w:val="1"/>
          <w:color w:val="auto"/>
        </w:rPr>
      </w:pPr>
    </w:p>
    <w:p>
      <w:pPr>
        <w:ind w:left="500" w:hanging="186"/>
        <w:spacing w:after="0"/>
        <w:tabs>
          <w:tab w:leader="none" w:pos="500" w:val="left"/>
        </w:tabs>
        <w:numPr>
          <w:ilvl w:val="1"/>
          <w:numId w:val="71"/>
        </w:numPr>
        <w:rPr>
          <w:rFonts w:ascii="Arial" w:cs="Arial" w:eastAsia="Arial" w:hAnsi="Arial"/>
          <w:sz w:val="18"/>
          <w:szCs w:val="18"/>
          <w:b w:val="1"/>
          <w:bCs w:val="1"/>
          <w:color w:val="auto"/>
        </w:rPr>
      </w:pPr>
      <w:r>
        <w:rPr>
          <w:rFonts w:ascii="Arial" w:cs="Arial" w:eastAsia="Arial" w:hAnsi="Arial"/>
          <w:sz w:val="18"/>
          <w:szCs w:val="18"/>
          <w:color w:val="auto"/>
        </w:rPr>
        <w:t>$19 million due to the incremental cost of renewable energy and other purchased power; and</w:t>
      </w:r>
    </w:p>
    <w:p>
      <w:pPr>
        <w:spacing w:after="0" w:line="252" w:lineRule="exact"/>
        <w:rPr>
          <w:rFonts w:ascii="Arial" w:cs="Arial" w:eastAsia="Arial" w:hAnsi="Arial"/>
          <w:sz w:val="18"/>
          <w:szCs w:val="18"/>
          <w:b w:val="1"/>
          <w:bCs w:val="1"/>
          <w:color w:val="auto"/>
        </w:rPr>
      </w:pPr>
    </w:p>
    <w:p>
      <w:pPr>
        <w:ind w:left="340" w:hanging="188"/>
        <w:spacing w:after="0" w:line="277"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$13 million increase at our South American utilities driven by higher volumes and foreign currency exchange rate effects at both Luz del Sur and Chilquinta Energía.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discuss the changes in electric revenues and the cost of electric fuel and purchased power for SDG&amp;E in more detail below.</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Revenues</w:t>
      </w: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2013, Sempra Energy’s natural gas revenues increased by $120 million (11%) to $1.2 billion, and the cost of natural gas increased by $125 million (29%) to $556 million. The increase in natural gas revenues included $103 million at SoCalGas, primarily due to an increase in commodity costs and volumes in 2013, and $10 million at Sempra Natural Gas primarily due to the consolidation of Willmut Gas, which we acquired in May 2012.</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discuss the changes in natural gas revenues and the cost of natural gas individually for SDG&amp;E and SoCalGas below.</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 Electric Revenues and Cost of Electric Fuel and Purchased Power</w:t>
      </w:r>
    </w:p>
    <w:p>
      <w:pPr>
        <w:spacing w:after="0" w:line="24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table below shows electric revenues for SDG&amp;E for the three-month periods ended March 31, 2013 and 2012. Because the cost of electricity is substantially recovered in rates, changes in the cost are reflected in the changes in revenues.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ELECTRIC DISTRIBUTION AND TRANSMISSION</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(Volumes in millions of kilowatt-hours, 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580" w:type="dxa"/>
            <w:vAlign w:val="bottom"/>
          </w:tcPr>
          <w:p>
            <w:pPr>
              <w:spacing w:after="0"/>
              <w:rPr>
                <w:sz w:val="14"/>
                <w:szCs w:val="14"/>
                <w:color w:val="auto"/>
              </w:rPr>
            </w:pPr>
          </w:p>
        </w:tc>
        <w:tc>
          <w:tcPr>
            <w:tcW w:w="48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rPr>
              <w:t>Three months ended March 31, 2013 Three months ended March 31, 2012</w:t>
            </w:r>
          </w:p>
        </w:tc>
      </w:tr>
      <w:tr>
        <w:trPr>
          <w:trHeight w:val="169"/>
        </w:trPr>
        <w:tc>
          <w:tcPr>
            <w:tcW w:w="6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Customer class</w:t>
            </w:r>
          </w:p>
        </w:tc>
        <w:tc>
          <w:tcPr>
            <w:tcW w:w="12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color w:val="auto"/>
              </w:rPr>
              <w:t>Volumes</w:t>
            </w: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Revenue</w:t>
            </w:r>
          </w:p>
        </w:tc>
        <w:tc>
          <w:tcPr>
            <w:tcW w:w="11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Volumes</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Revenue</w:t>
            </w:r>
          </w:p>
        </w:tc>
      </w:tr>
      <w:tr>
        <w:trPr>
          <w:trHeight w:val="197"/>
        </w:trPr>
        <w:tc>
          <w:tcPr>
            <w:tcW w:w="6580" w:type="dxa"/>
            <w:vAlign w:val="bottom"/>
          </w:tcPr>
          <w:p>
            <w:pPr>
              <w:spacing w:after="0"/>
              <w:rPr>
                <w:sz w:val="20"/>
                <w:szCs w:val="20"/>
                <w:color w:val="auto"/>
              </w:rPr>
            </w:pPr>
            <w:r>
              <w:rPr>
                <w:rFonts w:ascii="Arial" w:cs="Arial" w:eastAsia="Arial" w:hAnsi="Arial"/>
                <w:sz w:val="16"/>
                <w:szCs w:val="16"/>
                <w:color w:val="auto"/>
              </w:rPr>
              <w:t>Residential</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1,961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325</w:t>
            </w:r>
          </w:p>
        </w:tc>
        <w:tc>
          <w:tcPr>
            <w:tcW w:w="1120" w:type="dxa"/>
            <w:vAlign w:val="bottom"/>
          </w:tcPr>
          <w:p>
            <w:pPr>
              <w:jc w:val="right"/>
              <w:spacing w:after="0"/>
              <w:rPr>
                <w:sz w:val="20"/>
                <w:szCs w:val="20"/>
                <w:color w:val="auto"/>
              </w:rPr>
            </w:pPr>
            <w:r>
              <w:rPr>
                <w:rFonts w:ascii="Arial" w:cs="Arial" w:eastAsia="Arial" w:hAnsi="Arial"/>
                <w:sz w:val="16"/>
                <w:szCs w:val="16"/>
                <w:color w:val="auto"/>
              </w:rPr>
              <w:t>1,925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16"/>
        </w:trPr>
        <w:tc>
          <w:tcPr>
            <w:tcW w:w="6580" w:type="dxa"/>
            <w:vAlign w:val="bottom"/>
          </w:tcPr>
          <w:p>
            <w:pPr>
              <w:spacing w:after="0"/>
              <w:rPr>
                <w:sz w:val="20"/>
                <w:szCs w:val="20"/>
                <w:color w:val="auto"/>
              </w:rPr>
            </w:pPr>
            <w:r>
              <w:rPr>
                <w:rFonts w:ascii="Arial" w:cs="Arial" w:eastAsia="Arial" w:hAnsi="Arial"/>
                <w:sz w:val="16"/>
                <w:szCs w:val="16"/>
                <w:color w:val="auto"/>
              </w:rPr>
              <w:t>Commercial</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1,588</w:t>
            </w:r>
          </w:p>
        </w:tc>
        <w:tc>
          <w:tcPr>
            <w:tcW w:w="220" w:type="dxa"/>
            <w:vAlign w:val="bottom"/>
          </w:tcPr>
          <w:p>
            <w:pPr>
              <w:spacing w:after="0"/>
              <w:rPr>
                <w:sz w:val="18"/>
                <w:szCs w:val="18"/>
                <w:color w:val="auto"/>
              </w:rPr>
            </w:pP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231</w:t>
            </w:r>
          </w:p>
        </w:tc>
        <w:tc>
          <w:tcPr>
            <w:tcW w:w="1120" w:type="dxa"/>
            <w:vAlign w:val="bottom"/>
          </w:tcPr>
          <w:p>
            <w:pPr>
              <w:jc w:val="right"/>
              <w:spacing w:after="0"/>
              <w:rPr>
                <w:sz w:val="20"/>
                <w:szCs w:val="20"/>
                <w:color w:val="auto"/>
              </w:rPr>
            </w:pPr>
            <w:r>
              <w:rPr>
                <w:rFonts w:ascii="Arial" w:cs="Arial" w:eastAsia="Arial" w:hAnsi="Arial"/>
                <w:sz w:val="16"/>
                <w:szCs w:val="16"/>
                <w:color w:val="auto"/>
              </w:rPr>
              <w:t>1,655</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216"/>
        </w:trPr>
        <w:tc>
          <w:tcPr>
            <w:tcW w:w="6580" w:type="dxa"/>
            <w:vAlign w:val="bottom"/>
          </w:tcPr>
          <w:p>
            <w:pPr>
              <w:spacing w:after="0"/>
              <w:rPr>
                <w:sz w:val="20"/>
                <w:szCs w:val="20"/>
                <w:color w:val="auto"/>
              </w:rPr>
            </w:pPr>
            <w:r>
              <w:rPr>
                <w:rFonts w:ascii="Arial" w:cs="Arial" w:eastAsia="Arial" w:hAnsi="Arial"/>
                <w:sz w:val="16"/>
                <w:szCs w:val="16"/>
                <w:color w:val="auto"/>
              </w:rPr>
              <w:t>Industrial</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454</w:t>
            </w:r>
          </w:p>
        </w:tc>
        <w:tc>
          <w:tcPr>
            <w:tcW w:w="220" w:type="dxa"/>
            <w:vAlign w:val="bottom"/>
          </w:tcPr>
          <w:p>
            <w:pPr>
              <w:spacing w:after="0"/>
              <w:rPr>
                <w:sz w:val="18"/>
                <w:szCs w:val="18"/>
                <w:color w:val="auto"/>
              </w:rPr>
            </w:pP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55</w:t>
            </w:r>
          </w:p>
        </w:tc>
        <w:tc>
          <w:tcPr>
            <w:tcW w:w="1120" w:type="dxa"/>
            <w:vAlign w:val="bottom"/>
          </w:tcPr>
          <w:p>
            <w:pPr>
              <w:jc w:val="right"/>
              <w:spacing w:after="0"/>
              <w:rPr>
                <w:sz w:val="20"/>
                <w:szCs w:val="20"/>
                <w:color w:val="auto"/>
              </w:rPr>
            </w:pPr>
            <w:r>
              <w:rPr>
                <w:rFonts w:ascii="Arial" w:cs="Arial" w:eastAsia="Arial" w:hAnsi="Arial"/>
                <w:sz w:val="16"/>
                <w:szCs w:val="16"/>
                <w:color w:val="auto"/>
              </w:rPr>
              <w:t>484</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6"/>
        </w:trPr>
        <w:tc>
          <w:tcPr>
            <w:tcW w:w="6580" w:type="dxa"/>
            <w:vAlign w:val="bottom"/>
          </w:tcPr>
          <w:p>
            <w:pPr>
              <w:spacing w:after="0"/>
              <w:rPr>
                <w:sz w:val="20"/>
                <w:szCs w:val="20"/>
                <w:color w:val="auto"/>
              </w:rPr>
            </w:pPr>
            <w:r>
              <w:rPr>
                <w:rFonts w:ascii="Arial" w:cs="Arial" w:eastAsia="Arial" w:hAnsi="Arial"/>
                <w:sz w:val="16"/>
                <w:szCs w:val="16"/>
                <w:color w:val="auto"/>
              </w:rPr>
              <w:t>Direct access</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835</w:t>
            </w:r>
          </w:p>
        </w:tc>
        <w:tc>
          <w:tcPr>
            <w:tcW w:w="220" w:type="dxa"/>
            <w:vAlign w:val="bottom"/>
          </w:tcPr>
          <w:p>
            <w:pPr>
              <w:spacing w:after="0"/>
              <w:rPr>
                <w:sz w:val="18"/>
                <w:szCs w:val="18"/>
                <w:color w:val="auto"/>
              </w:rPr>
            </w:pP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31</w:t>
            </w:r>
          </w:p>
        </w:tc>
        <w:tc>
          <w:tcPr>
            <w:tcW w:w="1120" w:type="dxa"/>
            <w:vAlign w:val="bottom"/>
          </w:tcPr>
          <w:p>
            <w:pPr>
              <w:jc w:val="right"/>
              <w:spacing w:after="0"/>
              <w:rPr>
                <w:sz w:val="20"/>
                <w:szCs w:val="20"/>
                <w:color w:val="auto"/>
              </w:rPr>
            </w:pPr>
            <w:r>
              <w:rPr>
                <w:rFonts w:ascii="Arial" w:cs="Arial" w:eastAsia="Arial" w:hAnsi="Arial"/>
                <w:sz w:val="16"/>
                <w:szCs w:val="16"/>
                <w:color w:val="auto"/>
              </w:rPr>
              <w:t>752</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6"/>
        </w:trPr>
        <w:tc>
          <w:tcPr>
            <w:tcW w:w="6580" w:type="dxa"/>
            <w:vAlign w:val="bottom"/>
          </w:tcPr>
          <w:p>
            <w:pPr>
              <w:spacing w:after="0"/>
              <w:rPr>
                <w:sz w:val="20"/>
                <w:szCs w:val="20"/>
                <w:color w:val="auto"/>
              </w:rPr>
            </w:pPr>
            <w:r>
              <w:rPr>
                <w:rFonts w:ascii="Arial" w:cs="Arial" w:eastAsia="Arial" w:hAnsi="Arial"/>
                <w:sz w:val="16"/>
                <w:szCs w:val="16"/>
                <w:color w:val="auto"/>
              </w:rPr>
              <w:t>Street and highway lighting</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24"/>
        </w:trPr>
        <w:tc>
          <w:tcPr>
            <w:tcW w:w="658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4,859</w:t>
            </w:r>
          </w:p>
        </w:tc>
        <w:tc>
          <w:tcPr>
            <w:tcW w:w="220" w:type="dxa"/>
            <w:vAlign w:val="bottom"/>
          </w:tcPr>
          <w:p>
            <w:pPr>
              <w:spacing w:after="0"/>
              <w:rPr>
                <w:sz w:val="19"/>
                <w:szCs w:val="19"/>
                <w:color w:val="auto"/>
              </w:rPr>
            </w:pP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645</w:t>
            </w:r>
          </w:p>
        </w:tc>
        <w:tc>
          <w:tcPr>
            <w:tcW w:w="1120" w:type="dxa"/>
            <w:vAlign w:val="bottom"/>
          </w:tcPr>
          <w:p>
            <w:pPr>
              <w:jc w:val="right"/>
              <w:spacing w:after="0"/>
              <w:rPr>
                <w:sz w:val="20"/>
                <w:szCs w:val="20"/>
                <w:color w:val="auto"/>
              </w:rPr>
            </w:pPr>
            <w:r>
              <w:rPr>
                <w:rFonts w:ascii="Arial" w:cs="Arial" w:eastAsia="Arial" w:hAnsi="Arial"/>
                <w:sz w:val="16"/>
                <w:szCs w:val="16"/>
                <w:color w:val="auto"/>
              </w:rPr>
              <w:t>4,841</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609</w:t>
            </w:r>
          </w:p>
        </w:tc>
      </w:tr>
      <w:tr>
        <w:trPr>
          <w:trHeight w:val="216"/>
        </w:trPr>
        <w:tc>
          <w:tcPr>
            <w:tcW w:w="6580" w:type="dxa"/>
            <w:vAlign w:val="bottom"/>
          </w:tcPr>
          <w:p>
            <w:pPr>
              <w:spacing w:after="0"/>
              <w:rPr>
                <w:sz w:val="20"/>
                <w:szCs w:val="20"/>
                <w:color w:val="auto"/>
              </w:rPr>
            </w:pPr>
            <w:r>
              <w:rPr>
                <w:rFonts w:ascii="Arial" w:cs="Arial" w:eastAsia="Arial" w:hAnsi="Arial"/>
                <w:sz w:val="16"/>
                <w:szCs w:val="16"/>
                <w:color w:val="auto"/>
              </w:rPr>
              <w:t>Other revenues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100</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16"/>
        </w:trPr>
        <w:tc>
          <w:tcPr>
            <w:tcW w:w="6580" w:type="dxa"/>
            <w:vAlign w:val="bottom"/>
          </w:tcPr>
          <w:p>
            <w:pPr>
              <w:spacing w:after="0"/>
              <w:rPr>
                <w:sz w:val="20"/>
                <w:szCs w:val="20"/>
                <w:color w:val="auto"/>
              </w:rPr>
            </w:pPr>
            <w:r>
              <w:rPr>
                <w:rFonts w:ascii="Arial" w:cs="Arial" w:eastAsia="Arial" w:hAnsi="Arial"/>
                <w:sz w:val="16"/>
                <w:szCs w:val="16"/>
                <w:color w:val="auto"/>
              </w:rPr>
              <w:t>Balancing accounts</w:t>
            </w:r>
          </w:p>
        </w:tc>
        <w:tc>
          <w:tcPr>
            <w:tcW w:w="1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27</w:t>
            </w: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65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Total(1)</w:t>
            </w:r>
          </w:p>
        </w:tc>
        <w:tc>
          <w:tcPr>
            <w:tcW w:w="1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772</w:t>
            </w: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w:t>
            </w:r>
          </w:p>
        </w:tc>
      </w:tr>
      <w:tr>
        <w:trPr>
          <w:trHeight w:val="21"/>
        </w:trPr>
        <w:tc>
          <w:tcPr>
            <w:tcW w:w="6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ind w:left="600" w:hanging="383"/>
        <w:spacing w:after="0"/>
        <w:tabs>
          <w:tab w:leader="none" w:pos="600" w:val="left"/>
        </w:tabs>
        <w:numPr>
          <w:ilvl w:val="0"/>
          <w:numId w:val="72"/>
        </w:numPr>
        <w:rPr>
          <w:rFonts w:ascii="Arial" w:cs="Arial" w:eastAsia="Arial" w:hAnsi="Arial"/>
          <w:sz w:val="14"/>
          <w:szCs w:val="14"/>
          <w:i w:val="1"/>
          <w:iCs w:val="1"/>
          <w:color w:val="auto"/>
        </w:rPr>
      </w:pPr>
      <w:r>
        <w:rPr>
          <w:rFonts w:ascii="Arial" w:cs="Arial" w:eastAsia="Arial" w:hAnsi="Arial"/>
          <w:sz w:val="14"/>
          <w:szCs w:val="14"/>
          <w:i w:val="1"/>
          <w:iCs w:val="1"/>
          <w:color w:val="auto"/>
        </w:rPr>
        <w:t>Includes sales to affiliates of $1 million in 2013 and $2 million in 2012.</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2013, electric revenues increased by $101 million (15%) to $772 million at SDG&amp;E, primarily due to:</w:t>
      </w:r>
    </w:p>
    <w:p>
      <w:pPr>
        <w:spacing w:after="0" w:line="252" w:lineRule="exact"/>
        <w:rPr>
          <w:sz w:val="20"/>
          <w:szCs w:val="20"/>
          <w:color w:val="auto"/>
        </w:rPr>
      </w:pPr>
    </w:p>
    <w:p>
      <w:pPr>
        <w:ind w:left="340" w:hanging="188"/>
        <w:spacing w:after="0"/>
        <w:tabs>
          <w:tab w:leader="none" w:pos="34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$68 million higher authorized revenues from electric transmission including:</w:t>
      </w:r>
    </w:p>
    <w:p>
      <w:pPr>
        <w:spacing w:after="0" w:line="252" w:lineRule="exact"/>
        <w:rPr>
          <w:rFonts w:ascii="Arial" w:cs="Arial" w:eastAsia="Arial" w:hAnsi="Arial"/>
          <w:sz w:val="18"/>
          <w:szCs w:val="18"/>
          <w:b w:val="1"/>
          <w:bCs w:val="1"/>
          <w:color w:val="auto"/>
        </w:rPr>
      </w:pPr>
    </w:p>
    <w:p>
      <w:pPr>
        <w:ind w:left="660" w:hanging="184"/>
        <w:spacing w:after="0"/>
        <w:tabs>
          <w:tab w:leader="none" w:pos="660" w:val="left"/>
        </w:tabs>
        <w:numPr>
          <w:ilvl w:val="1"/>
          <w:numId w:val="73"/>
        </w:numPr>
        <w:rPr>
          <w:rFonts w:ascii="Arial" w:cs="Arial" w:eastAsia="Arial" w:hAnsi="Arial"/>
          <w:sz w:val="18"/>
          <w:szCs w:val="18"/>
          <w:b w:val="1"/>
          <w:bCs w:val="1"/>
          <w:color w:val="auto"/>
        </w:rPr>
      </w:pPr>
      <w:r>
        <w:rPr>
          <w:rFonts w:ascii="Arial" w:cs="Arial" w:eastAsia="Arial" w:hAnsi="Arial"/>
          <w:sz w:val="18"/>
          <w:szCs w:val="18"/>
          <w:color w:val="auto"/>
        </w:rPr>
        <w:t>$45 million from placing the Sunrise Powerlink transmission line in service in June 2012, and</w:t>
      </w:r>
    </w:p>
    <w:p>
      <w:pPr>
        <w:spacing w:after="0" w:line="252" w:lineRule="exact"/>
        <w:rPr>
          <w:rFonts w:ascii="Arial" w:cs="Arial" w:eastAsia="Arial" w:hAnsi="Arial"/>
          <w:sz w:val="18"/>
          <w:szCs w:val="18"/>
          <w:b w:val="1"/>
          <w:bCs w:val="1"/>
          <w:color w:val="auto"/>
        </w:rPr>
      </w:pPr>
    </w:p>
    <w:p>
      <w:pPr>
        <w:ind w:left="660" w:hanging="184"/>
        <w:spacing w:after="0"/>
        <w:tabs>
          <w:tab w:leader="none" w:pos="660" w:val="left"/>
        </w:tabs>
        <w:numPr>
          <w:ilvl w:val="1"/>
          <w:numId w:val="73"/>
        </w:numPr>
        <w:rPr>
          <w:rFonts w:ascii="Arial" w:cs="Arial" w:eastAsia="Arial" w:hAnsi="Arial"/>
          <w:sz w:val="18"/>
          <w:szCs w:val="18"/>
          <w:b w:val="1"/>
          <w:bCs w:val="1"/>
          <w:color w:val="auto"/>
        </w:rPr>
      </w:pPr>
      <w:r>
        <w:rPr>
          <w:rFonts w:ascii="Arial" w:cs="Arial" w:eastAsia="Arial" w:hAnsi="Arial"/>
          <w:sz w:val="18"/>
          <w:szCs w:val="18"/>
          <w:color w:val="auto"/>
        </w:rPr>
        <w:t>$23 million from increased investment in other transmission assets; and</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$46 million increase in cost of electric fuel and purchased power including:</w:t>
      </w:r>
    </w:p>
    <w:p>
      <w:pPr>
        <w:spacing w:after="0" w:line="252" w:lineRule="exact"/>
        <w:rPr>
          <w:rFonts w:ascii="Arial" w:cs="Arial" w:eastAsia="Arial" w:hAnsi="Arial"/>
          <w:sz w:val="18"/>
          <w:szCs w:val="18"/>
          <w:b w:val="1"/>
          <w:bCs w:val="1"/>
          <w:color w:val="auto"/>
        </w:rPr>
      </w:pPr>
    </w:p>
    <w:p>
      <w:pPr>
        <w:ind w:left="660" w:hanging="184"/>
        <w:spacing w:after="0"/>
        <w:tabs>
          <w:tab w:leader="none" w:pos="660" w:val="left"/>
        </w:tabs>
        <w:numPr>
          <w:ilvl w:val="1"/>
          <w:numId w:val="73"/>
        </w:numPr>
        <w:rPr>
          <w:rFonts w:ascii="Arial" w:cs="Arial" w:eastAsia="Arial" w:hAnsi="Arial"/>
          <w:sz w:val="17"/>
          <w:szCs w:val="17"/>
          <w:b w:val="1"/>
          <w:bCs w:val="1"/>
          <w:color w:val="auto"/>
        </w:rPr>
      </w:pPr>
      <w:r>
        <w:rPr>
          <w:rFonts w:ascii="Arial" w:cs="Arial" w:eastAsia="Arial" w:hAnsi="Arial"/>
          <w:sz w:val="17"/>
          <w:szCs w:val="17"/>
          <w:color w:val="auto"/>
        </w:rPr>
        <w:t>$27 million due to the cost of power purchased to replace power scheduled to be generated and delivered to SDG&amp;E from SONGS, and</w:t>
      </w:r>
    </w:p>
    <w:p>
      <w:pPr>
        <w:spacing w:after="0" w:line="259" w:lineRule="exact"/>
        <w:rPr>
          <w:rFonts w:ascii="Arial" w:cs="Arial" w:eastAsia="Arial" w:hAnsi="Arial"/>
          <w:sz w:val="17"/>
          <w:szCs w:val="17"/>
          <w:b w:val="1"/>
          <w:bCs w:val="1"/>
          <w:color w:val="auto"/>
        </w:rPr>
      </w:pPr>
    </w:p>
    <w:p>
      <w:pPr>
        <w:ind w:left="660" w:hanging="184"/>
        <w:spacing w:after="0"/>
        <w:tabs>
          <w:tab w:leader="none" w:pos="660" w:val="left"/>
        </w:tabs>
        <w:numPr>
          <w:ilvl w:val="1"/>
          <w:numId w:val="73"/>
        </w:numPr>
        <w:rPr>
          <w:rFonts w:ascii="Arial" w:cs="Arial" w:eastAsia="Arial" w:hAnsi="Arial"/>
          <w:sz w:val="18"/>
          <w:szCs w:val="18"/>
          <w:b w:val="1"/>
          <w:bCs w:val="1"/>
          <w:color w:val="auto"/>
        </w:rPr>
      </w:pPr>
      <w:r>
        <w:rPr>
          <w:rFonts w:ascii="Arial" w:cs="Arial" w:eastAsia="Arial" w:hAnsi="Arial"/>
          <w:sz w:val="18"/>
          <w:szCs w:val="18"/>
          <w:color w:val="auto"/>
        </w:rPr>
        <w:t xml:space="preserve">$19 million due to the incremental cost of renewable energy and other purchased power;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$7 million lower CPUC-authorized rate of return established in the CPUC cost of capital proceeding effective as of January 1, 2013.</w:t>
      </w:r>
    </w:p>
    <w:p>
      <w:pPr>
        <w:spacing w:after="0" w:line="252"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We do not include in the Condensed Consolidated Statements of Operations the commodity costs (and the revenues to recover those costs) associated with long-term contracts that are allocated to SDG&amp;E by the California Department of Water Resources. However, we do include the associated volumes and</w:t>
      </w:r>
    </w:p>
    <w:p>
      <w:pPr>
        <w:sectPr>
          <w:pgSz w:w="11900" w:h="16838" w:orient="portrait"/>
          <w:cols w:equalWidth="0" w:num="1">
            <w:col w:w="11420"/>
          </w:cols>
          <w:pgMar w:left="240" w:top="125" w:right="239" w:bottom="0" w:gutter="0" w:footer="0" w:header="0"/>
        </w:sectPr>
      </w:pPr>
    </w:p>
    <w:bookmarkStart w:id="53" w:name="page54"/>
    <w:bookmarkEnd w:id="53"/>
    <w:p>
      <w:pPr>
        <w:ind w:right="200"/>
        <w:spacing w:after="0" w:line="277" w:lineRule="auto"/>
        <w:rPr>
          <w:sz w:val="20"/>
          <w:szCs w:val="20"/>
          <w:color w:val="auto"/>
        </w:rPr>
      </w:pPr>
      <w:r>
        <w:rPr>
          <w:rFonts w:ascii="Arial" w:cs="Arial" w:eastAsia="Arial" w:hAnsi="Arial"/>
          <w:sz w:val="18"/>
          <w:szCs w:val="18"/>
          <w:color w:val="auto"/>
        </w:rPr>
        <w:t>distribution revenues in the table above. We provide further discussion of these contracts in Note 1 of the Notes to Consolidated Financial Statements in the Annual Report.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 and SoCalGas: Natural Gas Revenues and Cost of Natural Gas</w:t>
      </w:r>
    </w:p>
    <w:p>
      <w:pPr>
        <w:spacing w:after="0" w:line="24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tables below show natural gas revenues for SDG&amp;E and SoCalGas for the three-month periods ended March 31, 2013 and 2012. Because the cost of natural gas is recovered in rates, changes in the cost are reflected in the changes in revenues. In addition to the change in market prices, natural gas revenues recorded during a period are impacted by the difference between customer billings and recorded or CPUC-authorized costs. These differences are required to be balanced over time, resulting in over- and undercollected regulatory balancing accounts. We discuss balancing accounts and their effects further in Note 1 of the Notes to Consolidated Financial Statements in the Annual Report.</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NATURAL GAS SALES AND TRANSPORTATION</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(Volumes in billion cubic feet, 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60" w:type="dxa"/>
            <w:vAlign w:val="bottom"/>
          </w:tcPr>
          <w:p>
            <w:pPr>
              <w:spacing w:after="0"/>
              <w:rPr>
                <w:sz w:val="14"/>
                <w:szCs w:val="14"/>
                <w:color w:val="auto"/>
              </w:rPr>
            </w:pPr>
          </w:p>
        </w:tc>
        <w:tc>
          <w:tcPr>
            <w:tcW w:w="26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Natural Gas Sales</w:t>
            </w:r>
          </w:p>
        </w:tc>
        <w:tc>
          <w:tcPr>
            <w:tcW w:w="2100" w:type="dxa"/>
            <w:vAlign w:val="bottom"/>
            <w:tcBorders>
              <w:bottom w:val="single" w:sz="8" w:color="auto"/>
            </w:tcBorders>
            <w:gridSpan w:val="2"/>
          </w:tcPr>
          <w:p>
            <w:pPr>
              <w:jc w:val="center"/>
              <w:ind w:left="121"/>
              <w:spacing w:after="0"/>
              <w:rPr>
                <w:sz w:val="20"/>
                <w:szCs w:val="20"/>
                <w:color w:val="auto"/>
              </w:rPr>
            </w:pPr>
            <w:r>
              <w:rPr>
                <w:rFonts w:ascii="Arial" w:cs="Arial" w:eastAsia="Arial" w:hAnsi="Arial"/>
                <w:sz w:val="14"/>
                <w:szCs w:val="14"/>
                <w:color w:val="auto"/>
              </w:rPr>
              <w:t>Transportation</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Total</w:t>
            </w:r>
          </w:p>
        </w:tc>
        <w:tc>
          <w:tcPr>
            <w:tcW w:w="1080" w:type="dxa"/>
            <w:vAlign w:val="bottom"/>
            <w:tcBorders>
              <w:bottom w:val="single" w:sz="8" w:color="auto"/>
            </w:tcBorders>
          </w:tcPr>
          <w:p>
            <w:pPr>
              <w:spacing w:after="0"/>
              <w:rPr>
                <w:sz w:val="14"/>
                <w:szCs w:val="14"/>
                <w:color w:val="auto"/>
              </w:rPr>
            </w:pPr>
          </w:p>
        </w:tc>
      </w:tr>
      <w:tr>
        <w:trPr>
          <w:trHeight w:val="169"/>
        </w:trPr>
        <w:tc>
          <w:tcPr>
            <w:tcW w:w="3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Customer class</w:t>
            </w:r>
          </w:p>
        </w:tc>
        <w:tc>
          <w:tcPr>
            <w:tcW w:w="11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Volumes</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Revenue</w:t>
            </w:r>
          </w:p>
        </w:tc>
        <w:tc>
          <w:tcPr>
            <w:tcW w:w="10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Volumes</w:t>
            </w:r>
          </w:p>
        </w:tc>
        <w:tc>
          <w:tcPr>
            <w:tcW w:w="10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Revenue</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Volumes</w:t>
            </w: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Revenue</w:t>
            </w:r>
          </w:p>
        </w:tc>
      </w:tr>
      <w:tr>
        <w:trPr>
          <w:trHeight w:val="218"/>
        </w:trPr>
        <w:tc>
          <w:tcPr>
            <w:tcW w:w="3760" w:type="dxa"/>
            <w:vAlign w:val="bottom"/>
          </w:tcPr>
          <w:p>
            <w:pPr>
              <w:spacing w:after="0"/>
              <w:rPr>
                <w:sz w:val="20"/>
                <w:szCs w:val="20"/>
                <w:color w:val="auto"/>
              </w:rPr>
            </w:pPr>
            <w:r>
              <w:rPr>
                <w:rFonts w:ascii="Arial" w:cs="Arial" w:eastAsia="Arial" w:hAnsi="Arial"/>
                <w:sz w:val="16"/>
                <w:szCs w:val="16"/>
                <w:color w:val="auto"/>
              </w:rPr>
              <w:t>Three months ended March 31, 2013:</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5"/>
        </w:trPr>
        <w:tc>
          <w:tcPr>
            <w:tcW w:w="376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13</w:t>
            </w:r>
          </w:p>
        </w:tc>
        <w:tc>
          <w:tcPr>
            <w:tcW w:w="280" w:type="dxa"/>
            <w:vAlign w:val="bottom"/>
          </w:tcPr>
          <w:p>
            <w:pPr>
              <w:jc w:val="center"/>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133</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80" w:type="dxa"/>
            <w:vAlign w:val="bottom"/>
          </w:tcPr>
          <w:p>
            <w:pPr>
              <w:jc w:val="center"/>
              <w:ind w:right="741"/>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c>
          <w:tcPr>
            <w:tcW w:w="400" w:type="dxa"/>
            <w:vAlign w:val="bottom"/>
          </w:tcPr>
          <w:p>
            <w:pPr>
              <w:jc w:val="center"/>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18"/>
                <w:szCs w:val="18"/>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30</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1080" w:type="dxa"/>
            <w:vAlign w:val="bottom"/>
          </w:tcPr>
          <w:p>
            <w:pPr>
              <w:spacing w:after="0"/>
              <w:rPr>
                <w:sz w:val="18"/>
                <w:szCs w:val="18"/>
                <w:color w:val="auto"/>
              </w:rPr>
            </w:pP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980" w:type="dxa"/>
            <w:vAlign w:val="bottom"/>
          </w:tcPr>
          <w:p>
            <w:pPr>
              <w:jc w:val="right"/>
              <w:spacing w:after="0"/>
              <w:rPr>
                <w:sz w:val="20"/>
                <w:szCs w:val="20"/>
                <w:color w:val="auto"/>
              </w:rPr>
            </w:pPr>
            <w:r>
              <w:rPr>
                <w:rFonts w:ascii="Arial" w:cs="Arial" w:eastAsia="Arial" w:hAnsi="Arial"/>
                <w:sz w:val="16"/>
                <w:szCs w:val="16"/>
                <w:color w:val="auto"/>
              </w:rPr>
              <w:t>7</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Electric generation plants</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w:t>
            </w: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24"/>
        </w:trPr>
        <w:tc>
          <w:tcPr>
            <w:tcW w:w="376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18</w:t>
            </w:r>
          </w:p>
        </w:tc>
        <w:tc>
          <w:tcPr>
            <w:tcW w:w="280" w:type="dxa"/>
            <w:vAlign w:val="bottom"/>
          </w:tcPr>
          <w:p>
            <w:pPr>
              <w:jc w:val="center"/>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163</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1080" w:type="dxa"/>
            <w:vAlign w:val="bottom"/>
          </w:tcPr>
          <w:p>
            <w:pPr>
              <w:jc w:val="center"/>
              <w:ind w:right="741"/>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980" w:type="dxa"/>
            <w:vAlign w:val="bottom"/>
          </w:tcPr>
          <w:p>
            <w:pPr>
              <w:jc w:val="right"/>
              <w:spacing w:after="0"/>
              <w:rPr>
                <w:sz w:val="20"/>
                <w:szCs w:val="20"/>
                <w:color w:val="auto"/>
              </w:rPr>
            </w:pPr>
            <w:r>
              <w:rPr>
                <w:rFonts w:ascii="Arial" w:cs="Arial" w:eastAsia="Arial" w:hAnsi="Arial"/>
                <w:sz w:val="16"/>
                <w:szCs w:val="16"/>
                <w:color w:val="auto"/>
              </w:rPr>
              <w:t>26</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Other revenues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37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Total(1)</w:t>
            </w: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r>
      <w:tr>
        <w:trPr>
          <w:trHeight w:val="21"/>
        </w:trPr>
        <w:tc>
          <w:tcPr>
            <w:tcW w:w="3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1"/>
        </w:trPr>
        <w:tc>
          <w:tcPr>
            <w:tcW w:w="3760" w:type="dxa"/>
            <w:vAlign w:val="bottom"/>
          </w:tcPr>
          <w:p>
            <w:pPr>
              <w:spacing w:after="0"/>
              <w:rPr>
                <w:sz w:val="20"/>
                <w:szCs w:val="20"/>
                <w:color w:val="auto"/>
              </w:rPr>
            </w:pPr>
            <w:r>
              <w:rPr>
                <w:rFonts w:ascii="Arial" w:cs="Arial" w:eastAsia="Arial" w:hAnsi="Arial"/>
                <w:sz w:val="16"/>
                <w:szCs w:val="16"/>
                <w:color w:val="auto"/>
              </w:rPr>
              <w:t>Three months ended March 31, 2012:</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5"/>
        </w:trPr>
        <w:tc>
          <w:tcPr>
            <w:tcW w:w="376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12</w:t>
            </w:r>
          </w:p>
        </w:tc>
        <w:tc>
          <w:tcPr>
            <w:tcW w:w="280" w:type="dxa"/>
            <w:vAlign w:val="bottom"/>
          </w:tcPr>
          <w:p>
            <w:pPr>
              <w:jc w:val="center"/>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112</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80" w:type="dxa"/>
            <w:vAlign w:val="bottom"/>
          </w:tcPr>
          <w:p>
            <w:pPr>
              <w:jc w:val="center"/>
              <w:ind w:right="741"/>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w:t>
            </w:r>
          </w:p>
        </w:tc>
        <w:tc>
          <w:tcPr>
            <w:tcW w:w="400" w:type="dxa"/>
            <w:vAlign w:val="bottom"/>
          </w:tcPr>
          <w:p>
            <w:pPr>
              <w:jc w:val="center"/>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18"/>
                <w:szCs w:val="18"/>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26</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1080" w:type="dxa"/>
            <w:vAlign w:val="bottom"/>
          </w:tcPr>
          <w:p>
            <w:pPr>
              <w:spacing w:after="0"/>
              <w:rPr>
                <w:sz w:val="18"/>
                <w:szCs w:val="18"/>
                <w:color w:val="auto"/>
              </w:rPr>
            </w:pP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980" w:type="dxa"/>
            <w:vAlign w:val="bottom"/>
          </w:tcPr>
          <w:p>
            <w:pPr>
              <w:jc w:val="right"/>
              <w:spacing w:after="0"/>
              <w:rPr>
                <w:sz w:val="20"/>
                <w:szCs w:val="20"/>
                <w:color w:val="auto"/>
              </w:rPr>
            </w:pPr>
            <w:r>
              <w:rPr>
                <w:rFonts w:ascii="Arial" w:cs="Arial" w:eastAsia="Arial" w:hAnsi="Arial"/>
                <w:sz w:val="16"/>
                <w:szCs w:val="16"/>
                <w:color w:val="auto"/>
              </w:rPr>
              <w:t>7</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Electric generation plants</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w:t>
            </w: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24"/>
        </w:trPr>
        <w:tc>
          <w:tcPr>
            <w:tcW w:w="376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17</w:t>
            </w:r>
          </w:p>
        </w:tc>
        <w:tc>
          <w:tcPr>
            <w:tcW w:w="280" w:type="dxa"/>
            <w:vAlign w:val="bottom"/>
          </w:tcPr>
          <w:p>
            <w:pPr>
              <w:jc w:val="center"/>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138</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1080" w:type="dxa"/>
            <w:vAlign w:val="bottom"/>
          </w:tcPr>
          <w:p>
            <w:pPr>
              <w:jc w:val="center"/>
              <w:ind w:right="741"/>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980" w:type="dxa"/>
            <w:vAlign w:val="bottom"/>
          </w:tcPr>
          <w:p>
            <w:pPr>
              <w:jc w:val="right"/>
              <w:spacing w:after="0"/>
              <w:rPr>
                <w:sz w:val="20"/>
                <w:szCs w:val="20"/>
                <w:color w:val="auto"/>
              </w:rPr>
            </w:pPr>
            <w:r>
              <w:rPr>
                <w:rFonts w:ascii="Arial" w:cs="Arial" w:eastAsia="Arial" w:hAnsi="Arial"/>
                <w:sz w:val="16"/>
                <w:szCs w:val="16"/>
                <w:color w:val="auto"/>
              </w:rPr>
              <w:t>27</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Other revenues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37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r>
      <w:tr>
        <w:trPr>
          <w:trHeight w:val="21"/>
        </w:trPr>
        <w:tc>
          <w:tcPr>
            <w:tcW w:w="3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ind w:left="160"/>
        <w:spacing w:after="0"/>
        <w:tabs>
          <w:tab w:leader="none" w:pos="460" w:val="left"/>
        </w:tabs>
        <w:rPr>
          <w:sz w:val="20"/>
          <w:szCs w:val="20"/>
          <w:color w:val="auto"/>
        </w:rPr>
      </w:pPr>
      <w:r>
        <w:rPr>
          <w:rFonts w:ascii="Arial" w:cs="Arial" w:eastAsia="Arial" w:hAnsi="Arial"/>
          <w:sz w:val="14"/>
          <w:szCs w:val="14"/>
          <w:i w:val="1"/>
          <w:iCs w:val="1"/>
          <w:color w:val="auto"/>
        </w:rPr>
        <w:t>(1)</w:t>
        <w:tab/>
        <w:t>Includes sales to affiliates of $1 million in 2013.</w:t>
      </w:r>
    </w:p>
    <w:p>
      <w:pPr>
        <w:spacing w:after="0" w:line="200" w:lineRule="exact"/>
        <w:rPr>
          <w:sz w:val="20"/>
          <w:szCs w:val="20"/>
          <w:color w:val="auto"/>
        </w:rPr>
      </w:pPr>
    </w:p>
    <w:p>
      <w:pPr>
        <w:spacing w:after="0" w:line="24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three months ended March 31, 2013, SDG&amp;E’s natural gas revenues increased by $4 million (2%) to $167 million, and the cost of natural gas sold increased by $9 million (13%) to $76 million.</w:t>
      </w:r>
    </w:p>
    <w:p>
      <w:pPr>
        <w:spacing w:after="0" w:line="19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SDG&amp;E’s average cost of natural gas for the three months ended March 31, 2013 was $4.19 per thousand cubic feet (Mcf) compared to $3.89 per Mcf for the corresponding period in 2012, an 8-percent increase of $0.30 per Mcf, resulting in higher revenues and cost of $5 million. The increase in the cost of natural gas sold was also attributable to higher volumes, which resulted in higher revenues and cost of $4 million.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NATURAL GAS SALES AND TRANSPORTATION</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(Volumes in billion cubic feet, 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60" w:type="dxa"/>
            <w:vAlign w:val="bottom"/>
          </w:tcPr>
          <w:p>
            <w:pPr>
              <w:spacing w:after="0"/>
              <w:rPr>
                <w:sz w:val="14"/>
                <w:szCs w:val="14"/>
                <w:color w:val="auto"/>
              </w:rPr>
            </w:pPr>
          </w:p>
        </w:tc>
        <w:tc>
          <w:tcPr>
            <w:tcW w:w="2160" w:type="dxa"/>
            <w:vAlign w:val="bottom"/>
            <w:tcBorders>
              <w:bottom w:val="single" w:sz="8" w:color="auto"/>
            </w:tcBorders>
            <w:gridSpan w:val="2"/>
          </w:tcPr>
          <w:p>
            <w:pPr>
              <w:jc w:val="center"/>
              <w:ind w:left="300"/>
              <w:spacing w:after="0"/>
              <w:rPr>
                <w:sz w:val="20"/>
                <w:szCs w:val="20"/>
                <w:color w:val="auto"/>
              </w:rPr>
            </w:pPr>
            <w:r>
              <w:rPr>
                <w:rFonts w:ascii="Arial" w:cs="Arial" w:eastAsia="Arial" w:hAnsi="Arial"/>
                <w:sz w:val="14"/>
                <w:szCs w:val="14"/>
                <w:color w:val="auto"/>
              </w:rPr>
              <w:t>Natural Gas Sales</w:t>
            </w:r>
          </w:p>
        </w:tc>
        <w:tc>
          <w:tcPr>
            <w:tcW w:w="5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jc w:val="center"/>
              <w:ind w:left="120"/>
              <w:spacing w:after="0"/>
              <w:rPr>
                <w:sz w:val="20"/>
                <w:szCs w:val="20"/>
                <w:color w:val="auto"/>
              </w:rPr>
            </w:pPr>
            <w:r>
              <w:rPr>
                <w:rFonts w:ascii="Arial" w:cs="Arial" w:eastAsia="Arial" w:hAnsi="Arial"/>
                <w:sz w:val="14"/>
                <w:szCs w:val="14"/>
                <w:color w:val="auto"/>
              </w:rPr>
              <w:t>Transportation</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Total</w:t>
            </w:r>
          </w:p>
        </w:tc>
        <w:tc>
          <w:tcPr>
            <w:tcW w:w="1080" w:type="dxa"/>
            <w:vAlign w:val="bottom"/>
            <w:tcBorders>
              <w:bottom w:val="single" w:sz="8" w:color="auto"/>
            </w:tcBorders>
          </w:tcPr>
          <w:p>
            <w:pPr>
              <w:spacing w:after="0"/>
              <w:rPr>
                <w:sz w:val="14"/>
                <w:szCs w:val="14"/>
                <w:color w:val="auto"/>
              </w:rPr>
            </w:pPr>
          </w:p>
        </w:tc>
      </w:tr>
      <w:tr>
        <w:trPr>
          <w:trHeight w:val="169"/>
        </w:trPr>
        <w:tc>
          <w:tcPr>
            <w:tcW w:w="3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Customer class</w:t>
            </w:r>
          </w:p>
        </w:tc>
        <w:tc>
          <w:tcPr>
            <w:tcW w:w="11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Volumes</w:t>
            </w:r>
          </w:p>
        </w:tc>
        <w:tc>
          <w:tcPr>
            <w:tcW w:w="102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Revenue</w:t>
            </w:r>
          </w:p>
        </w:tc>
        <w:tc>
          <w:tcPr>
            <w:tcW w:w="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Volumes</w:t>
            </w:r>
          </w:p>
        </w:tc>
        <w:tc>
          <w:tcPr>
            <w:tcW w:w="10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Revenue</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Volumes</w:t>
            </w: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Revenue</w:t>
            </w:r>
          </w:p>
        </w:tc>
      </w:tr>
      <w:tr>
        <w:trPr>
          <w:trHeight w:val="218"/>
        </w:trPr>
        <w:tc>
          <w:tcPr>
            <w:tcW w:w="3760" w:type="dxa"/>
            <w:vAlign w:val="bottom"/>
          </w:tcPr>
          <w:p>
            <w:pPr>
              <w:spacing w:after="0"/>
              <w:rPr>
                <w:sz w:val="20"/>
                <w:szCs w:val="20"/>
                <w:color w:val="auto"/>
              </w:rPr>
            </w:pPr>
            <w:r>
              <w:rPr>
                <w:rFonts w:ascii="Arial" w:cs="Arial" w:eastAsia="Arial" w:hAnsi="Arial"/>
                <w:sz w:val="16"/>
                <w:szCs w:val="16"/>
                <w:color w:val="auto"/>
              </w:rPr>
              <w:t>Three months ended March 31, 2013:</w:t>
            </w: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5"/>
        </w:trPr>
        <w:tc>
          <w:tcPr>
            <w:tcW w:w="376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140" w:type="dxa"/>
            <w:vAlign w:val="bottom"/>
          </w:tcPr>
          <w:p>
            <w:pPr>
              <w:jc w:val="right"/>
              <w:spacing w:after="0"/>
              <w:rPr>
                <w:sz w:val="20"/>
                <w:szCs w:val="20"/>
                <w:color w:val="auto"/>
              </w:rPr>
            </w:pPr>
            <w:r>
              <w:rPr>
                <w:rFonts w:ascii="Arial" w:cs="Arial" w:eastAsia="Arial" w:hAnsi="Arial"/>
                <w:sz w:val="16"/>
                <w:szCs w:val="16"/>
                <w:color w:val="auto"/>
              </w:rPr>
              <w:t>91</w:t>
            </w:r>
          </w:p>
        </w:tc>
        <w:tc>
          <w:tcPr>
            <w:tcW w:w="1020" w:type="dxa"/>
            <w:vAlign w:val="bottom"/>
          </w:tcPr>
          <w:p>
            <w:pPr>
              <w:jc w:val="center"/>
              <w:ind w:right="681"/>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771</w:t>
            </w: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080" w:type="dxa"/>
            <w:vAlign w:val="bottom"/>
          </w:tcPr>
          <w:p>
            <w:pPr>
              <w:jc w:val="center"/>
              <w:ind w:right="741"/>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980" w:type="dxa"/>
            <w:vAlign w:val="bottom"/>
          </w:tcPr>
          <w:p>
            <w:pPr>
              <w:jc w:val="right"/>
              <w:spacing w:after="0"/>
              <w:rPr>
                <w:sz w:val="20"/>
                <w:szCs w:val="20"/>
                <w:color w:val="auto"/>
              </w:rPr>
            </w:pPr>
            <w:r>
              <w:rPr>
                <w:rFonts w:ascii="Arial" w:cs="Arial" w:eastAsia="Arial" w:hAnsi="Arial"/>
                <w:sz w:val="16"/>
                <w:szCs w:val="16"/>
                <w:color w:val="auto"/>
              </w:rPr>
              <w:t>92</w:t>
            </w:r>
          </w:p>
        </w:tc>
        <w:tc>
          <w:tcPr>
            <w:tcW w:w="400" w:type="dxa"/>
            <w:vAlign w:val="bottom"/>
          </w:tcPr>
          <w:p>
            <w:pPr>
              <w:jc w:val="center"/>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774</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1140" w:type="dxa"/>
            <w:vAlign w:val="bottom"/>
          </w:tcPr>
          <w:p>
            <w:pPr>
              <w:jc w:val="right"/>
              <w:spacing w:after="0"/>
              <w:rPr>
                <w:sz w:val="20"/>
                <w:szCs w:val="20"/>
                <w:color w:val="auto"/>
              </w:rPr>
            </w:pPr>
            <w:r>
              <w:rPr>
                <w:rFonts w:ascii="Arial" w:cs="Arial" w:eastAsia="Arial" w:hAnsi="Arial"/>
                <w:sz w:val="16"/>
                <w:szCs w:val="16"/>
                <w:color w:val="auto"/>
              </w:rPr>
              <w:t>31</w:t>
            </w:r>
          </w:p>
        </w:tc>
        <w:tc>
          <w:tcPr>
            <w:tcW w:w="1020" w:type="dxa"/>
            <w:vAlign w:val="bottom"/>
          </w:tcPr>
          <w:p>
            <w:pPr>
              <w:spacing w:after="0"/>
              <w:rPr>
                <w:sz w:val="18"/>
                <w:szCs w:val="18"/>
                <w:color w:val="auto"/>
              </w:rPr>
            </w:pP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203</w:t>
            </w:r>
          </w:p>
        </w:tc>
        <w:tc>
          <w:tcPr>
            <w:tcW w:w="1020" w:type="dxa"/>
            <w:vAlign w:val="bottom"/>
          </w:tcPr>
          <w:p>
            <w:pPr>
              <w:jc w:val="right"/>
              <w:spacing w:after="0"/>
              <w:rPr>
                <w:sz w:val="20"/>
                <w:szCs w:val="20"/>
                <w:color w:val="auto"/>
              </w:rPr>
            </w:pPr>
            <w:r>
              <w:rPr>
                <w:rFonts w:ascii="Arial" w:cs="Arial" w:eastAsia="Arial" w:hAnsi="Arial"/>
                <w:sz w:val="16"/>
                <w:szCs w:val="16"/>
                <w:color w:val="auto"/>
              </w:rPr>
              <w:t>72</w:t>
            </w:r>
          </w:p>
        </w:tc>
        <w:tc>
          <w:tcPr>
            <w:tcW w:w="1080" w:type="dxa"/>
            <w:vAlign w:val="bottom"/>
          </w:tcPr>
          <w:p>
            <w:pPr>
              <w:spacing w:after="0"/>
              <w:rPr>
                <w:sz w:val="18"/>
                <w:szCs w:val="18"/>
                <w:color w:val="auto"/>
              </w:rPr>
            </w:pP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60</w:t>
            </w:r>
          </w:p>
        </w:tc>
        <w:tc>
          <w:tcPr>
            <w:tcW w:w="980" w:type="dxa"/>
            <w:vAlign w:val="bottom"/>
          </w:tcPr>
          <w:p>
            <w:pPr>
              <w:jc w:val="right"/>
              <w:spacing w:after="0"/>
              <w:rPr>
                <w:sz w:val="20"/>
                <w:szCs w:val="20"/>
                <w:color w:val="auto"/>
              </w:rPr>
            </w:pPr>
            <w:r>
              <w:rPr>
                <w:rFonts w:ascii="Arial" w:cs="Arial" w:eastAsia="Arial" w:hAnsi="Arial"/>
                <w:sz w:val="16"/>
                <w:szCs w:val="16"/>
                <w:color w:val="auto"/>
              </w:rPr>
              <w:t>103</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263</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Electric generation plants</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8"/>
                <w:szCs w:val="18"/>
                <w:color w:val="auto"/>
              </w:rPr>
            </w:pP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38</w:t>
            </w:r>
          </w:p>
        </w:tc>
        <w:tc>
          <w:tcPr>
            <w:tcW w:w="1080" w:type="dxa"/>
            <w:vAlign w:val="bottom"/>
          </w:tcPr>
          <w:p>
            <w:pPr>
              <w:spacing w:after="0"/>
              <w:rPr>
                <w:sz w:val="18"/>
                <w:szCs w:val="18"/>
                <w:color w:val="auto"/>
              </w:rPr>
            </w:pP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9</w:t>
            </w:r>
          </w:p>
        </w:tc>
        <w:tc>
          <w:tcPr>
            <w:tcW w:w="980" w:type="dxa"/>
            <w:vAlign w:val="bottom"/>
          </w:tcPr>
          <w:p>
            <w:pPr>
              <w:jc w:val="right"/>
              <w:spacing w:after="0"/>
              <w:rPr>
                <w:sz w:val="20"/>
                <w:szCs w:val="20"/>
                <w:color w:val="auto"/>
              </w:rPr>
            </w:pPr>
            <w:r>
              <w:rPr>
                <w:rFonts w:ascii="Arial" w:cs="Arial" w:eastAsia="Arial" w:hAnsi="Arial"/>
                <w:sz w:val="16"/>
                <w:szCs w:val="16"/>
                <w:color w:val="auto"/>
              </w:rPr>
              <w:t>38</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Wholesale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24"/>
        </w:trPr>
        <w:tc>
          <w:tcPr>
            <w:tcW w:w="37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122</w:t>
            </w:r>
          </w:p>
        </w:tc>
        <w:tc>
          <w:tcPr>
            <w:tcW w:w="1020" w:type="dxa"/>
            <w:vAlign w:val="bottom"/>
          </w:tcPr>
          <w:p>
            <w:pPr>
              <w:jc w:val="center"/>
              <w:ind w:right="681"/>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974</w:t>
            </w:r>
          </w:p>
        </w:tc>
        <w:tc>
          <w:tcPr>
            <w:tcW w:w="1020" w:type="dxa"/>
            <w:vAlign w:val="bottom"/>
          </w:tcPr>
          <w:p>
            <w:pPr>
              <w:jc w:val="right"/>
              <w:spacing w:after="0"/>
              <w:rPr>
                <w:sz w:val="20"/>
                <w:szCs w:val="20"/>
                <w:color w:val="auto"/>
              </w:rPr>
            </w:pPr>
            <w:r>
              <w:rPr>
                <w:rFonts w:ascii="Arial" w:cs="Arial" w:eastAsia="Arial" w:hAnsi="Arial"/>
                <w:sz w:val="16"/>
                <w:szCs w:val="16"/>
                <w:color w:val="auto"/>
              </w:rPr>
              <w:t>160</w:t>
            </w:r>
          </w:p>
        </w:tc>
        <w:tc>
          <w:tcPr>
            <w:tcW w:w="1080" w:type="dxa"/>
            <w:vAlign w:val="bottom"/>
          </w:tcPr>
          <w:p>
            <w:pPr>
              <w:jc w:val="center"/>
              <w:ind w:right="741"/>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79</w:t>
            </w:r>
          </w:p>
        </w:tc>
        <w:tc>
          <w:tcPr>
            <w:tcW w:w="980" w:type="dxa"/>
            <w:vAlign w:val="bottom"/>
          </w:tcPr>
          <w:p>
            <w:pPr>
              <w:jc w:val="right"/>
              <w:spacing w:after="0"/>
              <w:rPr>
                <w:sz w:val="20"/>
                <w:szCs w:val="20"/>
                <w:color w:val="auto"/>
              </w:rPr>
            </w:pPr>
            <w:r>
              <w:rPr>
                <w:rFonts w:ascii="Arial" w:cs="Arial" w:eastAsia="Arial" w:hAnsi="Arial"/>
                <w:sz w:val="16"/>
                <w:szCs w:val="16"/>
                <w:color w:val="auto"/>
              </w:rPr>
              <w:t>282</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1,053</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Other revenues</w:t>
            </w: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r>
      <w:tr>
        <w:trPr>
          <w:trHeight w:val="216"/>
        </w:trPr>
        <w:tc>
          <w:tcPr>
            <w:tcW w:w="37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Total(1)</w:t>
            </w:r>
          </w:p>
        </w:tc>
        <w:tc>
          <w:tcPr>
            <w:tcW w:w="1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w:t>
            </w:r>
          </w:p>
        </w:tc>
      </w:tr>
      <w:tr>
        <w:trPr>
          <w:trHeight w:val="21"/>
        </w:trPr>
        <w:tc>
          <w:tcPr>
            <w:tcW w:w="3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1"/>
        </w:trPr>
        <w:tc>
          <w:tcPr>
            <w:tcW w:w="3760" w:type="dxa"/>
            <w:vAlign w:val="bottom"/>
          </w:tcPr>
          <w:p>
            <w:pPr>
              <w:spacing w:after="0"/>
              <w:rPr>
                <w:sz w:val="20"/>
                <w:szCs w:val="20"/>
                <w:color w:val="auto"/>
              </w:rPr>
            </w:pPr>
            <w:r>
              <w:rPr>
                <w:rFonts w:ascii="Arial" w:cs="Arial" w:eastAsia="Arial" w:hAnsi="Arial"/>
                <w:sz w:val="16"/>
                <w:szCs w:val="16"/>
                <w:color w:val="auto"/>
              </w:rPr>
              <w:t>Three months ended March 31, 2012:</w:t>
            </w: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5"/>
        </w:trPr>
        <w:tc>
          <w:tcPr>
            <w:tcW w:w="376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140" w:type="dxa"/>
            <w:vAlign w:val="bottom"/>
          </w:tcPr>
          <w:p>
            <w:pPr>
              <w:jc w:val="right"/>
              <w:spacing w:after="0"/>
              <w:rPr>
                <w:sz w:val="20"/>
                <w:szCs w:val="20"/>
                <w:color w:val="auto"/>
              </w:rPr>
            </w:pPr>
            <w:r>
              <w:rPr>
                <w:rFonts w:ascii="Arial" w:cs="Arial" w:eastAsia="Arial" w:hAnsi="Arial"/>
                <w:sz w:val="16"/>
                <w:szCs w:val="16"/>
                <w:color w:val="auto"/>
              </w:rPr>
              <w:t>88</w:t>
            </w:r>
          </w:p>
        </w:tc>
        <w:tc>
          <w:tcPr>
            <w:tcW w:w="1020" w:type="dxa"/>
            <w:vAlign w:val="bottom"/>
          </w:tcPr>
          <w:p>
            <w:pPr>
              <w:jc w:val="center"/>
              <w:ind w:right="681"/>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692</w:t>
            </w: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080" w:type="dxa"/>
            <w:vAlign w:val="bottom"/>
          </w:tcPr>
          <w:p>
            <w:pPr>
              <w:jc w:val="center"/>
              <w:ind w:right="741"/>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980" w:type="dxa"/>
            <w:vAlign w:val="bottom"/>
          </w:tcPr>
          <w:p>
            <w:pPr>
              <w:jc w:val="right"/>
              <w:spacing w:after="0"/>
              <w:rPr>
                <w:sz w:val="20"/>
                <w:szCs w:val="20"/>
                <w:color w:val="auto"/>
              </w:rPr>
            </w:pPr>
            <w:r>
              <w:rPr>
                <w:rFonts w:ascii="Arial" w:cs="Arial" w:eastAsia="Arial" w:hAnsi="Arial"/>
                <w:sz w:val="16"/>
                <w:szCs w:val="16"/>
                <w:color w:val="auto"/>
              </w:rPr>
              <w:t>89</w:t>
            </w:r>
          </w:p>
        </w:tc>
        <w:tc>
          <w:tcPr>
            <w:tcW w:w="400" w:type="dxa"/>
            <w:vAlign w:val="bottom"/>
          </w:tcPr>
          <w:p>
            <w:pPr>
              <w:jc w:val="center"/>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694</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1140" w:type="dxa"/>
            <w:vAlign w:val="bottom"/>
          </w:tcPr>
          <w:p>
            <w:pPr>
              <w:jc w:val="right"/>
              <w:spacing w:after="0"/>
              <w:rPr>
                <w:sz w:val="20"/>
                <w:szCs w:val="20"/>
                <w:color w:val="auto"/>
              </w:rPr>
            </w:pPr>
            <w:r>
              <w:rPr>
                <w:rFonts w:ascii="Arial" w:cs="Arial" w:eastAsia="Arial" w:hAnsi="Arial"/>
                <w:sz w:val="16"/>
                <w:szCs w:val="16"/>
                <w:color w:val="auto"/>
              </w:rPr>
              <w:t>29</w:t>
            </w:r>
          </w:p>
        </w:tc>
        <w:tc>
          <w:tcPr>
            <w:tcW w:w="1020" w:type="dxa"/>
            <w:vAlign w:val="bottom"/>
          </w:tcPr>
          <w:p>
            <w:pPr>
              <w:spacing w:after="0"/>
              <w:rPr>
                <w:sz w:val="18"/>
                <w:szCs w:val="18"/>
                <w:color w:val="auto"/>
              </w:rPr>
            </w:pP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185</w:t>
            </w:r>
          </w:p>
        </w:tc>
        <w:tc>
          <w:tcPr>
            <w:tcW w:w="1020" w:type="dxa"/>
            <w:vAlign w:val="bottom"/>
          </w:tcPr>
          <w:p>
            <w:pPr>
              <w:jc w:val="right"/>
              <w:spacing w:after="0"/>
              <w:rPr>
                <w:sz w:val="20"/>
                <w:szCs w:val="20"/>
                <w:color w:val="auto"/>
              </w:rPr>
            </w:pPr>
            <w:r>
              <w:rPr>
                <w:rFonts w:ascii="Arial" w:cs="Arial" w:eastAsia="Arial" w:hAnsi="Arial"/>
                <w:sz w:val="16"/>
                <w:szCs w:val="16"/>
                <w:color w:val="auto"/>
              </w:rPr>
              <w:t>69</w:t>
            </w:r>
          </w:p>
        </w:tc>
        <w:tc>
          <w:tcPr>
            <w:tcW w:w="1080" w:type="dxa"/>
            <w:vAlign w:val="bottom"/>
          </w:tcPr>
          <w:p>
            <w:pPr>
              <w:spacing w:after="0"/>
              <w:rPr>
                <w:sz w:val="18"/>
                <w:szCs w:val="18"/>
                <w:color w:val="auto"/>
              </w:rPr>
            </w:pP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62</w:t>
            </w:r>
          </w:p>
        </w:tc>
        <w:tc>
          <w:tcPr>
            <w:tcW w:w="980" w:type="dxa"/>
            <w:vAlign w:val="bottom"/>
          </w:tcPr>
          <w:p>
            <w:pPr>
              <w:jc w:val="right"/>
              <w:spacing w:after="0"/>
              <w:rPr>
                <w:sz w:val="20"/>
                <w:szCs w:val="20"/>
                <w:color w:val="auto"/>
              </w:rPr>
            </w:pPr>
            <w:r>
              <w:rPr>
                <w:rFonts w:ascii="Arial" w:cs="Arial" w:eastAsia="Arial" w:hAnsi="Arial"/>
                <w:sz w:val="16"/>
                <w:szCs w:val="16"/>
                <w:color w:val="auto"/>
              </w:rPr>
              <w:t>98</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247</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Electric generation plants</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8"/>
                <w:szCs w:val="18"/>
                <w:color w:val="auto"/>
              </w:rPr>
            </w:pP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44</w:t>
            </w:r>
          </w:p>
        </w:tc>
        <w:tc>
          <w:tcPr>
            <w:tcW w:w="1080" w:type="dxa"/>
            <w:vAlign w:val="bottom"/>
          </w:tcPr>
          <w:p>
            <w:pPr>
              <w:spacing w:after="0"/>
              <w:rPr>
                <w:sz w:val="18"/>
                <w:szCs w:val="18"/>
                <w:color w:val="auto"/>
              </w:rPr>
            </w:pP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9</w:t>
            </w:r>
          </w:p>
        </w:tc>
        <w:tc>
          <w:tcPr>
            <w:tcW w:w="980" w:type="dxa"/>
            <w:vAlign w:val="bottom"/>
          </w:tcPr>
          <w:p>
            <w:pPr>
              <w:jc w:val="right"/>
              <w:spacing w:after="0"/>
              <w:rPr>
                <w:sz w:val="20"/>
                <w:szCs w:val="20"/>
                <w:color w:val="auto"/>
              </w:rPr>
            </w:pPr>
            <w:r>
              <w:rPr>
                <w:rFonts w:ascii="Arial" w:cs="Arial" w:eastAsia="Arial" w:hAnsi="Arial"/>
                <w:sz w:val="16"/>
                <w:szCs w:val="16"/>
                <w:color w:val="auto"/>
              </w:rPr>
              <w:t>44</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Wholesale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24"/>
        </w:trPr>
        <w:tc>
          <w:tcPr>
            <w:tcW w:w="37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117</w:t>
            </w:r>
          </w:p>
        </w:tc>
        <w:tc>
          <w:tcPr>
            <w:tcW w:w="1020" w:type="dxa"/>
            <w:vAlign w:val="bottom"/>
          </w:tcPr>
          <w:p>
            <w:pPr>
              <w:jc w:val="center"/>
              <w:ind w:right="681"/>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877</w:t>
            </w:r>
          </w:p>
        </w:tc>
        <w:tc>
          <w:tcPr>
            <w:tcW w:w="1020" w:type="dxa"/>
            <w:vAlign w:val="bottom"/>
          </w:tcPr>
          <w:p>
            <w:pPr>
              <w:jc w:val="right"/>
              <w:spacing w:after="0"/>
              <w:rPr>
                <w:sz w:val="20"/>
                <w:szCs w:val="20"/>
                <w:color w:val="auto"/>
              </w:rPr>
            </w:pPr>
            <w:r>
              <w:rPr>
                <w:rFonts w:ascii="Arial" w:cs="Arial" w:eastAsia="Arial" w:hAnsi="Arial"/>
                <w:sz w:val="16"/>
                <w:szCs w:val="16"/>
                <w:color w:val="auto"/>
              </w:rPr>
              <w:t>161</w:t>
            </w:r>
          </w:p>
        </w:tc>
        <w:tc>
          <w:tcPr>
            <w:tcW w:w="1080" w:type="dxa"/>
            <w:vAlign w:val="bottom"/>
          </w:tcPr>
          <w:p>
            <w:pPr>
              <w:jc w:val="center"/>
              <w:ind w:right="741"/>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80</w:t>
            </w:r>
          </w:p>
        </w:tc>
        <w:tc>
          <w:tcPr>
            <w:tcW w:w="980" w:type="dxa"/>
            <w:vAlign w:val="bottom"/>
          </w:tcPr>
          <w:p>
            <w:pPr>
              <w:jc w:val="right"/>
              <w:spacing w:after="0"/>
              <w:rPr>
                <w:sz w:val="20"/>
                <w:szCs w:val="20"/>
                <w:color w:val="auto"/>
              </w:rPr>
            </w:pPr>
            <w:r>
              <w:rPr>
                <w:rFonts w:ascii="Arial" w:cs="Arial" w:eastAsia="Arial" w:hAnsi="Arial"/>
                <w:sz w:val="16"/>
                <w:szCs w:val="16"/>
                <w:color w:val="auto"/>
              </w:rPr>
              <w:t>278</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957</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Other revenues</w:t>
            </w: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6"/>
        </w:trPr>
        <w:tc>
          <w:tcPr>
            <w:tcW w:w="376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r>
      <w:tr>
        <w:trPr>
          <w:trHeight w:val="216"/>
        </w:trPr>
        <w:tc>
          <w:tcPr>
            <w:tcW w:w="37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Total(1)</w:t>
            </w:r>
          </w:p>
        </w:tc>
        <w:tc>
          <w:tcPr>
            <w:tcW w:w="1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w:t>
            </w:r>
          </w:p>
        </w:tc>
      </w:tr>
      <w:tr>
        <w:trPr>
          <w:trHeight w:val="21"/>
        </w:trPr>
        <w:tc>
          <w:tcPr>
            <w:tcW w:w="3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ind w:left="480" w:hanging="324"/>
        <w:spacing w:after="0"/>
        <w:tabs>
          <w:tab w:leader="none" w:pos="480" w:val="left"/>
        </w:tabs>
        <w:numPr>
          <w:ilvl w:val="0"/>
          <w:numId w:val="74"/>
        </w:numPr>
        <w:rPr>
          <w:rFonts w:ascii="Arial" w:cs="Arial" w:eastAsia="Arial" w:hAnsi="Arial"/>
          <w:sz w:val="14"/>
          <w:szCs w:val="14"/>
          <w:i w:val="1"/>
          <w:iCs w:val="1"/>
          <w:color w:val="auto"/>
        </w:rPr>
      </w:pPr>
      <w:r>
        <w:rPr>
          <w:rFonts w:ascii="Arial" w:cs="Arial" w:eastAsia="Arial" w:hAnsi="Arial"/>
          <w:sz w:val="14"/>
          <w:szCs w:val="14"/>
          <w:i w:val="1"/>
          <w:iCs w:val="1"/>
          <w:color w:val="auto"/>
        </w:rPr>
        <w:t>Includes sales to affiliates of $15 million in both 2013 and 2012.</w:t>
      </w:r>
    </w:p>
    <w:p>
      <w:pPr>
        <w:spacing w:after="0" w:line="200" w:lineRule="exact"/>
        <w:rPr>
          <w:sz w:val="20"/>
          <w:szCs w:val="20"/>
          <w:color w:val="auto"/>
        </w:rPr>
      </w:pPr>
    </w:p>
    <w:p>
      <w:pPr>
        <w:spacing w:after="0" w:line="24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three months ended March 31, 2013, SoCalGas’ natural gas revenues increased by $103 million (12%) to $983 million, and the cost of natural gas sold increased by $105 million (30%) to $454 million.</w:t>
      </w:r>
    </w:p>
    <w:p>
      <w:pPr>
        <w:sectPr>
          <w:pgSz w:w="11900" w:h="16838" w:orient="portrait"/>
          <w:cols w:equalWidth="0" w:num="1">
            <w:col w:w="11420"/>
          </w:cols>
          <w:pgMar w:left="240" w:top="125" w:right="239" w:bottom="0" w:gutter="0" w:footer="0" w:header="0"/>
        </w:sectPr>
      </w:pPr>
    </w:p>
    <w:bookmarkStart w:id="54" w:name="page55"/>
    <w:bookmarkEnd w:id="54"/>
    <w:p>
      <w:pPr>
        <w:spacing w:after="0" w:line="264" w:lineRule="auto"/>
        <w:rPr>
          <w:sz w:val="20"/>
          <w:szCs w:val="20"/>
          <w:color w:val="auto"/>
        </w:rPr>
      </w:pPr>
      <w:r>
        <w:rPr>
          <w:rFonts w:ascii="Arial" w:cs="Arial" w:eastAsia="Arial" w:hAnsi="Arial"/>
          <w:sz w:val="18"/>
          <w:szCs w:val="18"/>
          <w:color w:val="auto"/>
        </w:rPr>
        <w:t>SoCalGas’ average cost of natural gas for the three months ended March 31, 2013 was $3.70 per Mcf compared to $2.97 per Mcf for the corresponding period in 2012, a 25-percent increase of $0.73 per Mcf, resulting in higher revenues and cost of $89 million. The increase in the cost of natural gas sold was also attributable to higher volumes, which resulted in higher revenues and cost of $16 million.</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Utilities: Revenues and Cost of Sales</w:t>
      </w:r>
    </w:p>
    <w:p>
      <w:pPr>
        <w:spacing w:after="0" w:line="24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Revenues generated by Chilquinta Energía and Luz del Sur are based on tariffs that are set by government agencies in their respective countries based on an efficient model distribution company defined by those agencies. The basis for the tariffs do not meet the requirement necessary for treatment under applicable U.S. GAAP for regulatory accounting. We discuss revenue recognition further for Chilquinta Energía and Luz del Sur in Note 1 of the Notes to Consolidated Financial Statements in the Annual Report.</w:t>
      </w:r>
    </w:p>
    <w:p>
      <w:pPr>
        <w:spacing w:after="0" w:line="21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Operations of Mobile Gas, Willmut Gas and Ecogas qualify for regulatory accounting treatment under applicable U.S. GAAP, similar to the California Utilities.</w:t>
      </w:r>
    </w:p>
    <w:p>
      <w:pPr>
        <w:spacing w:after="0" w:line="200" w:lineRule="exact"/>
        <w:rPr>
          <w:sz w:val="20"/>
          <w:szCs w:val="20"/>
          <w:color w:val="auto"/>
        </w:rPr>
      </w:pPr>
    </w:p>
    <w:p>
      <w:pPr>
        <w:spacing w:after="0" w:line="24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table below summarizes natural gas and electric revenues for our utilities outside of California for the three-month periods ended March 31, 2013 and 2012:</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689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36893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NATURAL GAS AND ELECTRIC REVENUES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80" w:type="dxa"/>
            <w:vAlign w:val="bottom"/>
          </w:tcPr>
          <w:p>
            <w:pPr>
              <w:spacing w:after="0"/>
              <w:rPr>
                <w:sz w:val="14"/>
                <w:szCs w:val="14"/>
                <w:color w:val="auto"/>
              </w:rPr>
            </w:pPr>
          </w:p>
        </w:tc>
        <w:tc>
          <w:tcPr>
            <w:tcW w:w="2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Three months ended March 31, 2013</w:t>
            </w:r>
          </w:p>
        </w:tc>
        <w:tc>
          <w:tcPr>
            <w:tcW w:w="2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Three months ended March 31, 2012</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Volumes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Revenue</w:t>
            </w:r>
          </w:p>
        </w:tc>
        <w:tc>
          <w:tcPr>
            <w:tcW w:w="11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Volumes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218"/>
        </w:trPr>
        <w:tc>
          <w:tcPr>
            <w:tcW w:w="6180" w:type="dxa"/>
            <w:vAlign w:val="bottom"/>
          </w:tcPr>
          <w:p>
            <w:pPr>
              <w:spacing w:after="0"/>
              <w:rPr>
                <w:sz w:val="20"/>
                <w:szCs w:val="20"/>
                <w:color w:val="auto"/>
              </w:rPr>
            </w:pPr>
            <w:r>
              <w:rPr>
                <w:rFonts w:ascii="Arial" w:cs="Arial" w:eastAsia="Arial" w:hAnsi="Arial"/>
                <w:sz w:val="16"/>
                <w:szCs w:val="16"/>
                <w:b w:val="1"/>
                <w:bCs w:val="1"/>
                <w:color w:val="auto"/>
              </w:rPr>
              <w:t>Natural Gas Sales (billion cubic feet):</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180" w:type="dxa"/>
            <w:vAlign w:val="bottom"/>
          </w:tcPr>
          <w:p>
            <w:pPr>
              <w:spacing w:after="0"/>
              <w:rPr>
                <w:sz w:val="20"/>
                <w:szCs w:val="20"/>
                <w:color w:val="auto"/>
              </w:rPr>
            </w:pPr>
            <w:r>
              <w:rPr>
                <w:rFonts w:ascii="Arial" w:cs="Arial" w:eastAsia="Arial" w:hAnsi="Arial"/>
                <w:sz w:val="16"/>
                <w:szCs w:val="16"/>
                <w:color w:val="auto"/>
              </w:rPr>
              <w:t>Sempra Mexico — Ecogas</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6</w:t>
            </w:r>
          </w:p>
        </w:tc>
        <w:tc>
          <w:tcPr>
            <w:tcW w:w="300" w:type="dxa"/>
            <w:vAlign w:val="bottom"/>
          </w:tcPr>
          <w:p>
            <w:pPr>
              <w:jc w:val="center"/>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27</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6</w:t>
            </w:r>
          </w:p>
        </w:tc>
        <w:tc>
          <w:tcPr>
            <w:tcW w:w="300" w:type="dxa"/>
            <w:vAlign w:val="bottom"/>
          </w:tcPr>
          <w:p>
            <w:pPr>
              <w:jc w:val="center"/>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6"/>
                <w:szCs w:val="16"/>
                <w:color w:val="auto"/>
              </w:rPr>
              <w:t>Sempra Natural Gas:</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40"/>
              <w:spacing w:after="0"/>
              <w:rPr>
                <w:sz w:val="20"/>
                <w:szCs w:val="20"/>
                <w:color w:val="auto"/>
              </w:rPr>
            </w:pPr>
            <w:r>
              <w:rPr>
                <w:rFonts w:ascii="Arial" w:cs="Arial" w:eastAsia="Arial" w:hAnsi="Arial"/>
                <w:sz w:val="16"/>
                <w:szCs w:val="16"/>
                <w:color w:val="auto"/>
              </w:rPr>
              <w:t>Mobile Gas</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12</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6"/>
        </w:trPr>
        <w:tc>
          <w:tcPr>
            <w:tcW w:w="6180" w:type="dxa"/>
            <w:vAlign w:val="bottom"/>
          </w:tcPr>
          <w:p>
            <w:pPr>
              <w:ind w:left="140"/>
              <w:spacing w:after="0"/>
              <w:rPr>
                <w:sz w:val="20"/>
                <w:szCs w:val="20"/>
                <w:color w:val="auto"/>
              </w:rPr>
            </w:pPr>
            <w:r>
              <w:rPr>
                <w:rFonts w:ascii="Arial" w:cs="Arial" w:eastAsia="Arial" w:hAnsi="Arial"/>
                <w:sz w:val="16"/>
                <w:szCs w:val="16"/>
                <w:color w:val="auto"/>
              </w:rPr>
              <w:t>Willmut Gas(1)</w:t>
            </w: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180" w:type="dxa"/>
            <w:vAlign w:val="bottom"/>
          </w:tcPr>
          <w:p>
            <w:pPr>
              <w:ind w:left="140"/>
              <w:spacing w:after="0" w:line="183" w:lineRule="exact"/>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w:t>
            </w: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w:t>
            </w: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
        </w:trPr>
        <w:tc>
          <w:tcPr>
            <w:tcW w:w="6180" w:type="dxa"/>
            <w:vAlign w:val="bottom"/>
            <w:vMerge w:val="restart"/>
          </w:tcPr>
          <w:p>
            <w:pPr>
              <w:spacing w:after="0"/>
              <w:rPr>
                <w:sz w:val="20"/>
                <w:szCs w:val="20"/>
                <w:color w:val="auto"/>
              </w:rPr>
            </w:pPr>
            <w:r>
              <w:rPr>
                <w:rFonts w:ascii="Arial" w:cs="Arial" w:eastAsia="Arial" w:hAnsi="Arial"/>
                <w:sz w:val="16"/>
                <w:szCs w:val="16"/>
                <w:b w:val="1"/>
                <w:bCs w:val="1"/>
                <w:color w:val="auto"/>
              </w:rPr>
              <w:t>Electric Sales (million kilowatt hours):</w:t>
            </w: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61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180" w:type="dxa"/>
            <w:vAlign w:val="bottom"/>
          </w:tcPr>
          <w:p>
            <w:pPr>
              <w:spacing w:after="0"/>
              <w:rPr>
                <w:sz w:val="20"/>
                <w:szCs w:val="20"/>
                <w:color w:val="auto"/>
              </w:rPr>
            </w:pPr>
            <w:r>
              <w:rPr>
                <w:rFonts w:ascii="Arial" w:cs="Arial" w:eastAsia="Arial" w:hAnsi="Arial"/>
                <w:sz w:val="16"/>
                <w:szCs w:val="16"/>
                <w:color w:val="auto"/>
              </w:rPr>
              <w:t>Sempra South American Utilities:</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180" w:type="dxa"/>
            <w:vAlign w:val="bottom"/>
          </w:tcPr>
          <w:p>
            <w:pPr>
              <w:ind w:left="140"/>
              <w:spacing w:after="0"/>
              <w:rPr>
                <w:sz w:val="20"/>
                <w:szCs w:val="20"/>
                <w:color w:val="auto"/>
              </w:rPr>
            </w:pPr>
            <w:r>
              <w:rPr>
                <w:rFonts w:ascii="Arial" w:cs="Arial" w:eastAsia="Arial" w:hAnsi="Arial"/>
                <w:sz w:val="16"/>
                <w:szCs w:val="16"/>
                <w:color w:val="auto"/>
              </w:rPr>
              <w:t>Luz del Sur</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1,746</w:t>
            </w:r>
          </w:p>
        </w:tc>
        <w:tc>
          <w:tcPr>
            <w:tcW w:w="300" w:type="dxa"/>
            <w:vAlign w:val="bottom"/>
          </w:tcPr>
          <w:p>
            <w:pPr>
              <w:jc w:val="center"/>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204</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1,690</w:t>
            </w:r>
          </w:p>
        </w:tc>
        <w:tc>
          <w:tcPr>
            <w:tcW w:w="300" w:type="dxa"/>
            <w:vAlign w:val="bottom"/>
          </w:tcPr>
          <w:p>
            <w:pPr>
              <w:jc w:val="center"/>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6"/>
        </w:trPr>
        <w:tc>
          <w:tcPr>
            <w:tcW w:w="6180" w:type="dxa"/>
            <w:vAlign w:val="bottom"/>
          </w:tcPr>
          <w:p>
            <w:pPr>
              <w:ind w:left="140"/>
              <w:spacing w:after="0"/>
              <w:rPr>
                <w:sz w:val="20"/>
                <w:szCs w:val="20"/>
                <w:color w:val="auto"/>
              </w:rPr>
            </w:pPr>
            <w:r>
              <w:rPr>
                <w:rFonts w:ascii="Arial" w:cs="Arial" w:eastAsia="Arial" w:hAnsi="Arial"/>
                <w:sz w:val="16"/>
                <w:szCs w:val="16"/>
                <w:color w:val="auto"/>
              </w:rPr>
              <w:t>Chilquinta Energía</w:t>
            </w: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761</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745</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24"/>
        </w:trPr>
        <w:tc>
          <w:tcPr>
            <w:tcW w:w="618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2,507</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345</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2,435</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6"/>
                <w:szCs w:val="16"/>
                <w:color w:val="auto"/>
              </w:rPr>
              <w:t>Other service revenues</w:t>
            </w:r>
          </w:p>
        </w:tc>
        <w:tc>
          <w:tcPr>
            <w:tcW w:w="1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6"/>
        </w:trPr>
        <w:tc>
          <w:tcPr>
            <w:tcW w:w="61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1"/>
        </w:trPr>
        <w:tc>
          <w:tcPr>
            <w:tcW w:w="6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220"/>
        <w:spacing w:after="0"/>
        <w:tabs>
          <w:tab w:leader="none" w:pos="600" w:val="left"/>
        </w:tabs>
        <w:rPr>
          <w:sz w:val="20"/>
          <w:szCs w:val="20"/>
          <w:color w:val="auto"/>
        </w:rPr>
      </w:pPr>
      <w:r>
        <w:rPr>
          <w:rFonts w:ascii="Arial" w:cs="Arial" w:eastAsia="Arial" w:hAnsi="Arial"/>
          <w:sz w:val="14"/>
          <w:szCs w:val="14"/>
          <w:i w:val="1"/>
          <w:iCs w:val="1"/>
          <w:color w:val="auto"/>
        </w:rPr>
        <w:t>(1)</w:t>
        <w:tab/>
        <w:t>We acquired Willmut Gas in May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Energy-Related Businesses: Revenues and Cost of Sales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revenues and cost of sales for our energy-related businesses.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ENERGY-RELATED BUSINESSES: REVENUES AND 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740" w:type="dxa"/>
            <w:vAlign w:val="bottom"/>
          </w:tcPr>
          <w:p>
            <w:pPr>
              <w:spacing w:after="0"/>
              <w:rPr>
                <w:sz w:val="14"/>
                <w:szCs w:val="14"/>
                <w:color w:val="auto"/>
              </w:rPr>
            </w:pPr>
          </w:p>
        </w:tc>
        <w:tc>
          <w:tcPr>
            <w:tcW w:w="31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color w:val="auto"/>
              </w:rPr>
              <w:t>2013</w:t>
            </w:r>
          </w:p>
        </w:tc>
        <w:tc>
          <w:tcPr>
            <w:tcW w:w="6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2012</w:t>
            </w:r>
          </w:p>
        </w:tc>
        <w:tc>
          <w:tcPr>
            <w:tcW w:w="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740" w:type="dxa"/>
            <w:vAlign w:val="bottom"/>
          </w:tcPr>
          <w:p>
            <w:pPr>
              <w:spacing w:after="0"/>
              <w:rPr>
                <w:sz w:val="20"/>
                <w:szCs w:val="20"/>
                <w:color w:val="auto"/>
              </w:rPr>
            </w:pPr>
            <w:r>
              <w:rPr>
                <w:rFonts w:ascii="Arial" w:cs="Arial" w:eastAsia="Arial" w:hAnsi="Arial"/>
                <w:sz w:val="16"/>
                <w:szCs w:val="16"/>
                <w:b w:val="1"/>
                <w:bCs w:val="1"/>
                <w:color w:val="auto"/>
              </w:rPr>
              <w:t>Energy-related businesses revenues:</w:t>
            </w: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1220" w:type="dxa"/>
            <w:vAlign w:val="bottom"/>
          </w:tcPr>
          <w:p>
            <w:pPr>
              <w:jc w:val="right"/>
              <w:ind w:right="104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80" w:type="dxa"/>
            <w:vAlign w:val="bottom"/>
          </w:tcPr>
          <w:p>
            <w:pPr>
              <w:jc w:val="right"/>
              <w:ind w:right="10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6"/>
        </w:trPr>
        <w:tc>
          <w:tcPr>
            <w:tcW w:w="774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122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141</w:t>
            </w:r>
          </w:p>
        </w:tc>
        <w:tc>
          <w:tcPr>
            <w:tcW w:w="1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6"/>
        </w:trPr>
        <w:tc>
          <w:tcPr>
            <w:tcW w:w="7740" w:type="dxa"/>
            <w:vAlign w:val="bottom"/>
          </w:tcPr>
          <w:p>
            <w:pPr>
              <w:ind w:left="100"/>
              <w:spacing w:after="0"/>
              <w:rPr>
                <w:sz w:val="20"/>
                <w:szCs w:val="20"/>
                <w:color w:val="auto"/>
              </w:rPr>
            </w:pPr>
            <w:r>
              <w:rPr>
                <w:rFonts w:ascii="Arial" w:cs="Arial" w:eastAsia="Arial" w:hAnsi="Arial"/>
                <w:sz w:val="16"/>
                <w:szCs w:val="16"/>
                <w:color w:val="auto"/>
              </w:rPr>
              <w:t>Sempra Renewables</w:t>
            </w:r>
          </w:p>
        </w:tc>
        <w:tc>
          <w:tcPr>
            <w:tcW w:w="122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774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122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211</w:t>
            </w:r>
          </w:p>
        </w:tc>
        <w:tc>
          <w:tcPr>
            <w:tcW w:w="1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16"/>
        </w:trPr>
        <w:tc>
          <w:tcPr>
            <w:tcW w:w="7740" w:type="dxa"/>
            <w:vAlign w:val="bottom"/>
          </w:tcPr>
          <w:p>
            <w:pPr>
              <w:ind w:left="100"/>
              <w:spacing w:after="0"/>
              <w:rPr>
                <w:sz w:val="20"/>
                <w:szCs w:val="20"/>
                <w:color w:val="auto"/>
              </w:rPr>
            </w:pPr>
            <w:r>
              <w:rPr>
                <w:rFonts w:ascii="Arial" w:cs="Arial" w:eastAsia="Arial" w:hAnsi="Arial"/>
                <w:sz w:val="16"/>
                <w:szCs w:val="16"/>
                <w:color w:val="auto"/>
              </w:rPr>
              <w:t>Intersegment revenues, adjustments and eliminations(1)</w:t>
            </w:r>
          </w:p>
        </w:tc>
        <w:tc>
          <w:tcPr>
            <w:tcW w:w="1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89"/>
        </w:trPr>
        <w:tc>
          <w:tcPr>
            <w:tcW w:w="7740" w:type="dxa"/>
            <w:vAlign w:val="bottom"/>
          </w:tcPr>
          <w:p>
            <w:pPr>
              <w:ind w:left="320"/>
              <w:spacing w:after="0" w:line="183" w:lineRule="exact"/>
              <w:rPr>
                <w:sz w:val="20"/>
                <w:szCs w:val="20"/>
                <w:color w:val="auto"/>
              </w:rPr>
            </w:pPr>
            <w:r>
              <w:rPr>
                <w:rFonts w:ascii="Arial" w:cs="Arial" w:eastAsia="Arial" w:hAnsi="Arial"/>
                <w:sz w:val="16"/>
                <w:szCs w:val="16"/>
                <w:color w:val="auto"/>
              </w:rPr>
              <w:t>Total energy-related businesses revenues</w:t>
            </w:r>
          </w:p>
        </w:tc>
        <w:tc>
          <w:tcPr>
            <w:tcW w:w="1220" w:type="dxa"/>
            <w:vAlign w:val="bottom"/>
            <w:tcBorders>
              <w:bottom w:val="single" w:sz="8" w:color="auto"/>
            </w:tcBorders>
          </w:tcPr>
          <w:p>
            <w:pPr>
              <w:jc w:val="right"/>
              <w:ind w:right="104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316</w:t>
            </w:r>
          </w:p>
        </w:tc>
        <w:tc>
          <w:tcPr>
            <w:tcW w:w="1280" w:type="dxa"/>
            <w:vAlign w:val="bottom"/>
            <w:tcBorders>
              <w:bottom w:val="single" w:sz="8" w:color="auto"/>
            </w:tcBorders>
          </w:tcPr>
          <w:p>
            <w:pPr>
              <w:jc w:val="right"/>
              <w:ind w:right="106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1"/>
        </w:trPr>
        <w:tc>
          <w:tcPr>
            <w:tcW w:w="7740" w:type="dxa"/>
            <w:vAlign w:val="bottom"/>
            <w:vMerge w:val="restart"/>
          </w:tcPr>
          <w:p>
            <w:pPr>
              <w:spacing w:after="0"/>
              <w:rPr>
                <w:sz w:val="20"/>
                <w:szCs w:val="20"/>
                <w:color w:val="auto"/>
              </w:rPr>
            </w:pPr>
            <w:r>
              <w:rPr>
                <w:rFonts w:ascii="Arial" w:cs="Arial" w:eastAsia="Arial" w:hAnsi="Arial"/>
                <w:sz w:val="16"/>
                <w:szCs w:val="16"/>
                <w:b w:val="1"/>
                <w:bCs w:val="1"/>
                <w:color w:val="auto"/>
              </w:rPr>
              <w:t>Cost of natural gas, electric fuel and purchased power(2):</w:t>
            </w: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774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1220" w:type="dxa"/>
            <w:vAlign w:val="bottom"/>
          </w:tcPr>
          <w:p>
            <w:pPr>
              <w:jc w:val="right"/>
              <w:ind w:right="104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59</w:t>
            </w:r>
          </w:p>
        </w:tc>
        <w:tc>
          <w:tcPr>
            <w:tcW w:w="1280" w:type="dxa"/>
            <w:vAlign w:val="bottom"/>
          </w:tcPr>
          <w:p>
            <w:pPr>
              <w:jc w:val="right"/>
              <w:ind w:right="10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6"/>
        </w:trPr>
        <w:tc>
          <w:tcPr>
            <w:tcW w:w="7740" w:type="dxa"/>
            <w:vAlign w:val="bottom"/>
          </w:tcPr>
          <w:p>
            <w:pPr>
              <w:ind w:left="100"/>
              <w:spacing w:after="0"/>
              <w:rPr>
                <w:sz w:val="20"/>
                <w:szCs w:val="20"/>
                <w:color w:val="auto"/>
              </w:rPr>
            </w:pPr>
            <w:r>
              <w:rPr>
                <w:rFonts w:ascii="Arial" w:cs="Arial" w:eastAsia="Arial" w:hAnsi="Arial"/>
                <w:sz w:val="16"/>
                <w:szCs w:val="16"/>
                <w:color w:val="auto"/>
              </w:rPr>
              <w:t>Sempra Renewables</w:t>
            </w:r>
          </w:p>
        </w:tc>
        <w:tc>
          <w:tcPr>
            <w:tcW w:w="122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7740" w:type="dxa"/>
            <w:vAlign w:val="bottom"/>
          </w:tcPr>
          <w:p>
            <w:pPr>
              <w:ind w:left="100"/>
              <w:spacing w:after="0"/>
              <w:rPr>
                <w:sz w:val="20"/>
                <w:szCs w:val="20"/>
                <w:color w:val="auto"/>
              </w:rPr>
            </w:pPr>
            <w:r>
              <w:rPr>
                <w:rFonts w:ascii="Arial" w:cs="Arial" w:eastAsia="Arial" w:hAnsi="Arial"/>
                <w:sz w:val="16"/>
                <w:szCs w:val="16"/>
                <w:color w:val="auto"/>
              </w:rPr>
              <w:t>Sempra Natural Gas(3)</w:t>
            </w:r>
          </w:p>
        </w:tc>
        <w:tc>
          <w:tcPr>
            <w:tcW w:w="122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130</w:t>
            </w:r>
          </w:p>
        </w:tc>
        <w:tc>
          <w:tcPr>
            <w:tcW w:w="1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16"/>
        </w:trPr>
        <w:tc>
          <w:tcPr>
            <w:tcW w:w="7740" w:type="dxa"/>
            <w:vAlign w:val="bottom"/>
          </w:tcPr>
          <w:p>
            <w:pPr>
              <w:ind w:left="80"/>
              <w:spacing w:after="0"/>
              <w:rPr>
                <w:sz w:val="20"/>
                <w:szCs w:val="20"/>
                <w:color w:val="auto"/>
              </w:rPr>
            </w:pPr>
            <w:r>
              <w:rPr>
                <w:rFonts w:ascii="Arial" w:cs="Arial" w:eastAsia="Arial" w:hAnsi="Arial"/>
                <w:sz w:val="16"/>
                <w:szCs w:val="16"/>
                <w:color w:val="auto"/>
              </w:rPr>
              <w:t>Adjustments and eliminations(1)(3)</w:t>
            </w:r>
          </w:p>
        </w:tc>
        <w:tc>
          <w:tcPr>
            <w:tcW w:w="1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24"/>
        </w:trPr>
        <w:tc>
          <w:tcPr>
            <w:tcW w:w="7740" w:type="dxa"/>
            <w:vAlign w:val="bottom"/>
          </w:tcPr>
          <w:p>
            <w:pPr>
              <w:ind w:left="320"/>
              <w:spacing w:after="0"/>
              <w:rPr>
                <w:sz w:val="20"/>
                <w:szCs w:val="20"/>
                <w:color w:val="auto"/>
              </w:rPr>
            </w:pPr>
            <w:r>
              <w:rPr>
                <w:rFonts w:ascii="Arial" w:cs="Arial" w:eastAsia="Arial" w:hAnsi="Arial"/>
                <w:sz w:val="16"/>
                <w:szCs w:val="16"/>
                <w:color w:val="auto"/>
              </w:rPr>
              <w:t>Total cost of natural gas, electric fuel</w:t>
            </w:r>
          </w:p>
        </w:tc>
        <w:tc>
          <w:tcPr>
            <w:tcW w:w="1220" w:type="dxa"/>
            <w:vAlign w:val="bottom"/>
            <w:vMerge w:val="restart"/>
          </w:tcPr>
          <w:p>
            <w:pPr>
              <w:jc w:val="right"/>
              <w:ind w:right="1041"/>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ind w:right="39"/>
              <w:spacing w:after="0"/>
              <w:rPr>
                <w:sz w:val="20"/>
                <w:szCs w:val="20"/>
                <w:color w:val="auto"/>
              </w:rPr>
            </w:pPr>
            <w:r>
              <w:rPr>
                <w:rFonts w:ascii="Arial" w:cs="Arial" w:eastAsia="Arial" w:hAnsi="Arial"/>
                <w:sz w:val="16"/>
                <w:szCs w:val="16"/>
                <w:color w:val="auto"/>
              </w:rPr>
              <w:t>111</w:t>
            </w:r>
          </w:p>
        </w:tc>
        <w:tc>
          <w:tcPr>
            <w:tcW w:w="1280" w:type="dxa"/>
            <w:vAlign w:val="bottom"/>
            <w:vMerge w:val="restart"/>
          </w:tcPr>
          <w:p>
            <w:pPr>
              <w:jc w:val="right"/>
              <w:ind w:right="1060"/>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187"/>
        </w:trPr>
        <w:tc>
          <w:tcPr>
            <w:tcW w:w="7740" w:type="dxa"/>
            <w:vAlign w:val="bottom"/>
          </w:tcPr>
          <w:p>
            <w:pPr>
              <w:ind w:left="420"/>
              <w:spacing w:after="0" w:line="175" w:lineRule="exact"/>
              <w:rPr>
                <w:sz w:val="20"/>
                <w:szCs w:val="20"/>
                <w:color w:val="auto"/>
              </w:rPr>
            </w:pPr>
            <w:r>
              <w:rPr>
                <w:rFonts w:ascii="Arial" w:cs="Arial" w:eastAsia="Arial" w:hAnsi="Arial"/>
                <w:sz w:val="16"/>
                <w:szCs w:val="16"/>
                <w:color w:val="auto"/>
              </w:rPr>
              <w:t>and purchased power</w:t>
            </w:r>
          </w:p>
        </w:tc>
        <w:tc>
          <w:tcPr>
            <w:tcW w:w="122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740" w:type="dxa"/>
            <w:vAlign w:val="bottom"/>
            <w:vMerge w:val="restart"/>
          </w:tcPr>
          <w:p>
            <w:pPr>
              <w:spacing w:after="0"/>
              <w:rPr>
                <w:sz w:val="20"/>
                <w:szCs w:val="20"/>
                <w:color w:val="auto"/>
              </w:rPr>
            </w:pPr>
            <w:r>
              <w:rPr>
                <w:rFonts w:ascii="Arial" w:cs="Arial" w:eastAsia="Arial" w:hAnsi="Arial"/>
                <w:sz w:val="16"/>
                <w:szCs w:val="16"/>
                <w:b w:val="1"/>
                <w:bCs w:val="1"/>
                <w:color w:val="auto"/>
              </w:rPr>
              <w:t>Other cost of sales(2):</w:t>
            </w: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774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1220" w:type="dxa"/>
            <w:vAlign w:val="bottom"/>
          </w:tcPr>
          <w:p>
            <w:pPr>
              <w:jc w:val="right"/>
              <w:ind w:right="104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80" w:type="dxa"/>
            <w:vAlign w:val="bottom"/>
          </w:tcPr>
          <w:p>
            <w:pPr>
              <w:jc w:val="right"/>
              <w:ind w:right="10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774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122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7740" w:type="dxa"/>
            <w:vAlign w:val="bottom"/>
          </w:tcPr>
          <w:p>
            <w:pPr>
              <w:ind w:left="100"/>
              <w:spacing w:after="0"/>
              <w:rPr>
                <w:sz w:val="20"/>
                <w:szCs w:val="20"/>
                <w:color w:val="auto"/>
              </w:rPr>
            </w:pPr>
            <w:r>
              <w:rPr>
                <w:rFonts w:ascii="Arial" w:cs="Arial" w:eastAsia="Arial" w:hAnsi="Arial"/>
                <w:sz w:val="16"/>
                <w:szCs w:val="16"/>
                <w:color w:val="auto"/>
              </w:rPr>
              <w:t>Sempra Natural Gas(3)</w:t>
            </w:r>
          </w:p>
        </w:tc>
        <w:tc>
          <w:tcPr>
            <w:tcW w:w="122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6"/>
        </w:trPr>
        <w:tc>
          <w:tcPr>
            <w:tcW w:w="7740" w:type="dxa"/>
            <w:vAlign w:val="bottom"/>
          </w:tcPr>
          <w:p>
            <w:pPr>
              <w:ind w:left="80"/>
              <w:spacing w:after="0"/>
              <w:rPr>
                <w:sz w:val="20"/>
                <w:szCs w:val="20"/>
                <w:color w:val="auto"/>
              </w:rPr>
            </w:pPr>
            <w:r>
              <w:rPr>
                <w:rFonts w:ascii="Arial" w:cs="Arial" w:eastAsia="Arial" w:hAnsi="Arial"/>
                <w:sz w:val="16"/>
                <w:szCs w:val="16"/>
                <w:color w:val="auto"/>
              </w:rPr>
              <w:t>Adjustments and eliminations(1)(3)</w:t>
            </w:r>
          </w:p>
        </w:tc>
        <w:tc>
          <w:tcPr>
            <w:tcW w:w="1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74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Total other cost of sales</w:t>
            </w:r>
          </w:p>
        </w:tc>
        <w:tc>
          <w:tcPr>
            <w:tcW w:w="1220" w:type="dxa"/>
            <w:vAlign w:val="bottom"/>
            <w:tcBorders>
              <w:bottom w:val="single" w:sz="8" w:color="auto"/>
            </w:tcBorders>
          </w:tcPr>
          <w:p>
            <w:pPr>
              <w:jc w:val="right"/>
              <w:ind w:right="104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w:t>
            </w:r>
          </w:p>
        </w:tc>
        <w:tc>
          <w:tcPr>
            <w:tcW w:w="1280" w:type="dxa"/>
            <w:vAlign w:val="bottom"/>
            <w:tcBorders>
              <w:bottom w:val="single" w:sz="8" w:color="auto"/>
            </w:tcBorders>
          </w:tcPr>
          <w:p>
            <w:pPr>
              <w:jc w:val="right"/>
              <w:ind w:right="106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
        </w:trPr>
        <w:tc>
          <w:tcPr>
            <w:tcW w:w="7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5" w:right="239" w:bottom="0" w:gutter="0" w:footer="0" w:header="0"/>
        </w:sectPr>
      </w:pPr>
    </w:p>
    <w:p>
      <w:pPr>
        <w:ind w:left="880" w:hanging="521"/>
        <w:spacing w:after="0"/>
        <w:tabs>
          <w:tab w:leader="none" w:pos="880" w:val="left"/>
        </w:tabs>
        <w:numPr>
          <w:ilvl w:val="0"/>
          <w:numId w:val="7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eliminations of intercompany activity.</w:t>
      </w:r>
    </w:p>
    <w:p>
      <w:pPr>
        <w:sectPr>
          <w:pgSz w:w="11900" w:h="16838" w:orient="portrait"/>
          <w:cols w:equalWidth="0" w:num="1">
            <w:col w:w="11420"/>
          </w:cols>
          <w:pgMar w:left="240" w:top="125" w:right="239" w:bottom="0" w:gutter="0" w:footer="0" w:header="0"/>
          <w:type w:val="continuous"/>
        </w:sectPr>
      </w:pPr>
    </w:p>
    <w:bookmarkStart w:id="55" w:name="page56"/>
    <w:bookmarkEnd w:id="55"/>
    <w:p>
      <w:pPr>
        <w:ind w:left="880" w:right="4940" w:hanging="521"/>
        <w:spacing w:after="0" w:line="279" w:lineRule="auto"/>
        <w:tabs>
          <w:tab w:leader="none" w:pos="880" w:val="left"/>
        </w:tabs>
        <w:numPr>
          <w:ilvl w:val="0"/>
          <w:numId w:val="76"/>
        </w:numPr>
        <w:rPr>
          <w:rFonts w:ascii="Arial" w:cs="Arial" w:eastAsia="Arial" w:hAnsi="Arial"/>
          <w:sz w:val="14"/>
          <w:szCs w:val="14"/>
          <w:i w:val="1"/>
          <w:iCs w:val="1"/>
          <w:color w:val="auto"/>
        </w:rPr>
      </w:pPr>
      <w:r>
        <w:rPr>
          <w:rFonts w:ascii="Arial" w:cs="Arial" w:eastAsia="Arial" w:hAnsi="Arial"/>
          <w:sz w:val="14"/>
          <w:szCs w:val="14"/>
          <w:i w:val="1"/>
          <w:iCs w:val="1"/>
          <w:color w:val="auto"/>
        </w:rPr>
        <w:t>Excludes depreciation and amortization, which are shown separately on the Condensed Consolidated Statements of Operations.</w:t>
      </w:r>
    </w:p>
    <w:p>
      <w:pPr>
        <w:spacing w:after="0" w:line="3" w:lineRule="exact"/>
        <w:rPr>
          <w:rFonts w:ascii="Arial" w:cs="Arial" w:eastAsia="Arial" w:hAnsi="Arial"/>
          <w:sz w:val="14"/>
          <w:szCs w:val="14"/>
          <w:i w:val="1"/>
          <w:iCs w:val="1"/>
          <w:color w:val="auto"/>
        </w:rPr>
      </w:pPr>
    </w:p>
    <w:p>
      <w:pPr>
        <w:ind w:left="880" w:hanging="521"/>
        <w:spacing w:after="0"/>
        <w:tabs>
          <w:tab w:leader="none" w:pos="880" w:val="left"/>
        </w:tabs>
        <w:numPr>
          <w:ilvl w:val="0"/>
          <w:numId w:val="76"/>
        </w:numPr>
        <w:rPr>
          <w:rFonts w:ascii="Arial" w:cs="Arial" w:eastAsia="Arial" w:hAnsi="Arial"/>
          <w:sz w:val="14"/>
          <w:szCs w:val="14"/>
          <w:i w:val="1"/>
          <w:iCs w:val="1"/>
          <w:color w:val="auto"/>
        </w:rPr>
      </w:pPr>
      <w:r>
        <w:rPr>
          <w:rFonts w:ascii="Arial" w:cs="Arial" w:eastAsia="Arial" w:hAnsi="Arial"/>
          <w:sz w:val="14"/>
          <w:szCs w:val="14"/>
          <w:i w:val="1"/>
          <w:iCs w:val="1"/>
          <w:color w:val="auto"/>
        </w:rPr>
        <w:t>Prior year amounts have been reclassified to conform to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the three months ended March 31, 2013, revenues from our energy-related businesses increased by $24 million (8%) to $316 million. The increase included</w:t>
      </w:r>
    </w:p>
    <w:p>
      <w:pPr>
        <w:spacing w:after="0" w:line="197" w:lineRule="exact"/>
        <w:rPr>
          <w:sz w:val="20"/>
          <w:szCs w:val="20"/>
          <w:color w:val="auto"/>
        </w:rPr>
      </w:pPr>
    </w:p>
    <w:p>
      <w:pPr>
        <w:ind w:left="340" w:hanging="188"/>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$28 million increase at Sempra Mexico primarily due to higher prices and volumes for both natural gas and power;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$13 million increase at Sempra Renewables mainly from revenues generated by our solar assets;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jc w:val="both"/>
        <w:ind w:left="340" w:right="20" w:hanging="188"/>
        <w:spacing w:after="0" w:line="286" w:lineRule="auto"/>
        <w:tabs>
          <w:tab w:leader="none" w:pos="3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$26 million decrease at Sempra Natural Gas primarily due to lower revenues as a result of the energy management agreement (EMA) with Sempra Mexico and lower power production at Mesquite Power, a portion of which was due to the sale of one 625-MW block of the natural gas-fired power plant, offset by increased natural gas revenues from its LNG operations as a result of higher natural gas prices and volumes.</w:t>
      </w:r>
    </w:p>
    <w:p>
      <w:pPr>
        <w:spacing w:after="0" w:line="19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provide further discussion of the EMA in “Management’s Discussion and Analysis of Financial Condition and Results of Operations” in the Annual Report.</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three months ended March 31, 2013, the cost of natural gas, electric fuel and purchased power for our energy-related businesses decreased by $18 million (14%) to $111 million. The decrease was primarily due to:</w:t>
      </w:r>
    </w:p>
    <w:p>
      <w:pPr>
        <w:spacing w:after="0" w:line="197" w:lineRule="exact"/>
        <w:rPr>
          <w:sz w:val="20"/>
          <w:szCs w:val="20"/>
          <w:color w:val="auto"/>
        </w:rPr>
      </w:pPr>
    </w:p>
    <w:p>
      <w:pPr>
        <w:jc w:val="both"/>
        <w:ind w:left="340" w:hanging="188"/>
        <w:spacing w:after="0" w:line="264"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$41 million decrease at Sempra Natural Gas primarily due to lower costs associated with the EMA with Sempra Mexico and lower natural gas costs and volumes as a result of lower power production at Mesquite Power, as discussed above, offset by increased natural gas costs from its LNG operations as a result of higher natural gas prices and volumes; </w:t>
      </w:r>
      <w:r>
        <w:rPr>
          <w:rFonts w:ascii="Arial" w:cs="Arial" w:eastAsia="Arial" w:hAnsi="Arial"/>
          <w:sz w:val="18"/>
          <w:szCs w:val="18"/>
          <w:b w:val="1"/>
          <w:bCs w:val="1"/>
          <w:color w:val="auto"/>
        </w:rPr>
        <w:t>offset by</w:t>
      </w:r>
    </w:p>
    <w:p>
      <w:pPr>
        <w:spacing w:after="0" w:line="208" w:lineRule="exact"/>
        <w:rPr>
          <w:rFonts w:ascii="Arial" w:cs="Arial" w:eastAsia="Arial" w:hAnsi="Arial"/>
          <w:sz w:val="18"/>
          <w:szCs w:val="18"/>
          <w:color w:val="auto"/>
        </w:rPr>
      </w:pPr>
    </w:p>
    <w:p>
      <w:pPr>
        <w:ind w:left="340" w:hanging="188"/>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$18 million increase at Sempra Mexico primarily due to higher natural gas prices and volumes.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Operation and Maintenance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4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For the three months ended March 31, 2013, our operation and maintenance expenses increased by $53 million (8%) to $724 million, primarily due to increases at our California Utilities.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2013, SDG&amp;E’s operation and maintenance expenses increased by $29 million (11%) to $297 million primarily due to:</w:t>
      </w:r>
    </w:p>
    <w:p>
      <w:pPr>
        <w:spacing w:after="0" w:line="275" w:lineRule="exact"/>
        <w:rPr>
          <w:sz w:val="20"/>
          <w:szCs w:val="20"/>
          <w:color w:val="auto"/>
        </w:rPr>
      </w:pPr>
    </w:p>
    <w:p>
      <w:pPr>
        <w:ind w:left="340" w:hanging="188"/>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$21 million higher other operation and maintenance costs;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$13 million higher operation and maintenance expenses at Otay Mesa VIE;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$6 million lower expenses incurred for activities and programs that are fully recovered in revenue (recoverable expenses).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SoCalGas</w:t>
      </w:r>
    </w:p>
    <w:p>
      <w:pPr>
        <w:spacing w:after="0" w:line="24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three months ended March 31, 2013, operation and maintenance expenses at SoCalGas increased by $17 million (6%) to $306 million primarily due to:</w:t>
      </w:r>
    </w:p>
    <w:p>
      <w:pPr>
        <w:spacing w:after="0" w:line="193" w:lineRule="exact"/>
        <w:rPr>
          <w:sz w:val="20"/>
          <w:szCs w:val="20"/>
          <w:color w:val="auto"/>
        </w:rPr>
      </w:pPr>
    </w:p>
    <w:p>
      <w:pPr>
        <w:ind w:left="340" w:hanging="188"/>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$21 million higher other operation and maintenance costs;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$4 million lower recoverable expenses.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Gain on Sale of Asset</w:t>
      </w:r>
    </w:p>
    <w:p>
      <w:pPr>
        <w:spacing w:after="0" w:line="24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February 2013, Sempra Natural Gas completed the sale of one 625-MW block of its Mesquite Power natural gas-fired power plant to the Salt River Project Agricultural Improvement and Power District for $371 million, resulting in a pretax gain on sale of the asset of $74 million.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 Net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2013, other income, net, decreased by $38 million (51%) to $37 million primarily due to:</w:t>
      </w:r>
    </w:p>
    <w:p>
      <w:pPr>
        <w:spacing w:after="0" w:line="252" w:lineRule="exact"/>
        <w:rPr>
          <w:sz w:val="20"/>
          <w:szCs w:val="20"/>
          <w:color w:val="auto"/>
        </w:rPr>
      </w:pPr>
    </w:p>
    <w:p>
      <w:pPr>
        <w:ind w:left="340" w:hanging="188"/>
        <w:spacing w:after="0"/>
        <w:tabs>
          <w:tab w:leader="none" w:pos="340" w:val="left"/>
        </w:tabs>
        <w:numPr>
          <w:ilvl w:val="0"/>
          <w:numId w:val="81"/>
        </w:numPr>
        <w:rPr>
          <w:rFonts w:ascii="Arial" w:cs="Arial" w:eastAsia="Arial" w:hAnsi="Arial"/>
          <w:sz w:val="17"/>
          <w:szCs w:val="17"/>
          <w:b w:val="1"/>
          <w:bCs w:val="1"/>
          <w:color w:val="auto"/>
        </w:rPr>
      </w:pPr>
      <w:r>
        <w:rPr>
          <w:rFonts w:ascii="Arial" w:cs="Arial" w:eastAsia="Arial" w:hAnsi="Arial"/>
          <w:sz w:val="17"/>
          <w:szCs w:val="17"/>
          <w:color w:val="auto"/>
        </w:rPr>
        <w:t>$19 million decrease in equity-related AFUDC at SDG&amp;E primarily due to completion of construction on the Sunrise Powerlink project in June 2012;</w:t>
      </w:r>
    </w:p>
    <w:p>
      <w:pPr>
        <w:sectPr>
          <w:pgSz w:w="11900" w:h="16838" w:orient="portrait"/>
          <w:cols w:equalWidth="0" w:num="1">
            <w:col w:w="11420"/>
          </w:cols>
          <w:pgMar w:left="240" w:top="130" w:right="239" w:bottom="30" w:gutter="0" w:footer="0" w:header="0"/>
        </w:sectPr>
      </w:pPr>
    </w:p>
    <w:bookmarkStart w:id="56" w:name="page57"/>
    <w:bookmarkEnd w:id="56"/>
    <w:p>
      <w:pPr>
        <w:ind w:left="340" w:hanging="188"/>
        <w:spacing w:after="0"/>
        <w:tabs>
          <w:tab w:leader="none" w:pos="340"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$9 million lower gains from investment activity related to our executive retirement and deferred compensation plans in 2013; and</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$4 million lower gains on interest rate and foreign exchange instruments.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income tax expense and effective income tax rates for Sempra Energy, SDG&amp;E and SoCalGas.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AND EFFECTIVE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0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gridSpan w:val="3"/>
          </w:tcPr>
          <w:p>
            <w:pPr>
              <w:jc w:val="right"/>
              <w:ind w:right="365"/>
              <w:spacing w:after="0"/>
              <w:rPr>
                <w:sz w:val="20"/>
                <w:szCs w:val="20"/>
                <w:color w:val="auto"/>
              </w:rPr>
            </w:pPr>
            <w:r>
              <w:rPr>
                <w:rFonts w:ascii="Arial" w:cs="Arial" w:eastAsia="Arial" w:hAnsi="Arial"/>
                <w:sz w:val="14"/>
                <w:szCs w:val="14"/>
                <w:color w:val="auto"/>
              </w:rPr>
              <w:t>Three months ended March 31,</w:t>
            </w: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r>
      <w:tr>
        <w:trPr>
          <w:trHeight w:val="223"/>
        </w:trPr>
        <w:tc>
          <w:tcPr>
            <w:tcW w:w="360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005"/>
              <w:spacing w:after="0"/>
              <w:rPr>
                <w:sz w:val="20"/>
                <w:szCs w:val="20"/>
                <w:color w:val="auto"/>
              </w:rPr>
            </w:pPr>
            <w:r>
              <w:rPr>
                <w:rFonts w:ascii="Arial" w:cs="Arial" w:eastAsia="Arial" w:hAnsi="Arial"/>
                <w:sz w:val="14"/>
                <w:szCs w:val="14"/>
                <w:color w:val="auto"/>
              </w:rPr>
              <w:t>2013</w:t>
            </w:r>
          </w:p>
        </w:tc>
        <w:tc>
          <w:tcPr>
            <w:tcW w:w="6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1504"/>
              <w:spacing w:after="0"/>
              <w:rPr>
                <w:sz w:val="20"/>
                <w:szCs w:val="20"/>
                <w:color w:val="auto"/>
              </w:rPr>
            </w:pPr>
            <w:r>
              <w:rPr>
                <w:rFonts w:ascii="Arial" w:cs="Arial" w:eastAsia="Arial" w:hAnsi="Arial"/>
                <w:sz w:val="14"/>
                <w:szCs w:val="14"/>
                <w:color w:val="auto"/>
              </w:rPr>
              <w:t>2012</w:t>
            </w:r>
          </w:p>
        </w:tc>
      </w:tr>
      <w:tr>
        <w:trPr>
          <w:trHeight w:val="231"/>
        </w:trPr>
        <w:tc>
          <w:tcPr>
            <w:tcW w:w="3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40" w:type="dxa"/>
            <w:vAlign w:val="bottom"/>
          </w:tcPr>
          <w:p>
            <w:pPr>
              <w:jc w:val="center"/>
              <w:ind w:left="965"/>
              <w:spacing w:after="0"/>
              <w:rPr>
                <w:sz w:val="20"/>
                <w:szCs w:val="20"/>
                <w:color w:val="auto"/>
              </w:rPr>
            </w:pPr>
            <w:r>
              <w:rPr>
                <w:rFonts w:ascii="Arial" w:cs="Arial" w:eastAsia="Arial" w:hAnsi="Arial"/>
                <w:sz w:val="14"/>
                <w:szCs w:val="14"/>
                <w:color w:val="auto"/>
              </w:rPr>
              <w:t>Effective</w:t>
            </w:r>
          </w:p>
        </w:tc>
        <w:tc>
          <w:tcPr>
            <w:tcW w:w="6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rPr>
              <w:t>Effective</w:t>
            </w:r>
          </w:p>
        </w:tc>
      </w:tr>
      <w:tr>
        <w:trPr>
          <w:trHeight w:val="216"/>
        </w:trPr>
        <w:tc>
          <w:tcPr>
            <w:tcW w:w="3600" w:type="dxa"/>
            <w:vAlign w:val="bottom"/>
          </w:tcPr>
          <w:p>
            <w:pPr>
              <w:spacing w:after="0"/>
              <w:rPr>
                <w:sz w:val="18"/>
                <w:szCs w:val="18"/>
                <w:color w:val="auto"/>
              </w:rPr>
            </w:pPr>
          </w:p>
        </w:tc>
        <w:tc>
          <w:tcPr>
            <w:tcW w:w="1560" w:type="dxa"/>
            <w:vAlign w:val="bottom"/>
          </w:tcPr>
          <w:p>
            <w:pPr>
              <w:jc w:val="center"/>
              <w:ind w:left="625"/>
              <w:spacing w:after="0"/>
              <w:rPr>
                <w:sz w:val="20"/>
                <w:szCs w:val="20"/>
                <w:color w:val="auto"/>
              </w:rPr>
            </w:pPr>
            <w:r>
              <w:rPr>
                <w:rFonts w:ascii="Arial" w:cs="Arial" w:eastAsia="Arial" w:hAnsi="Arial"/>
                <w:sz w:val="14"/>
                <w:szCs w:val="14"/>
                <w:color w:val="auto"/>
              </w:rPr>
              <w:t>Income Tax</w:t>
            </w:r>
          </w:p>
        </w:tc>
        <w:tc>
          <w:tcPr>
            <w:tcW w:w="1840" w:type="dxa"/>
            <w:vAlign w:val="bottom"/>
          </w:tcPr>
          <w:p>
            <w:pPr>
              <w:jc w:val="center"/>
              <w:ind w:left="965"/>
              <w:spacing w:after="0"/>
              <w:rPr>
                <w:sz w:val="20"/>
                <w:szCs w:val="20"/>
                <w:color w:val="auto"/>
              </w:rPr>
            </w:pPr>
            <w:r>
              <w:rPr>
                <w:rFonts w:ascii="Arial" w:cs="Arial" w:eastAsia="Arial" w:hAnsi="Arial"/>
                <w:sz w:val="14"/>
                <w:szCs w:val="14"/>
                <w:color w:val="auto"/>
              </w:rPr>
              <w:t>Income</w:t>
            </w:r>
          </w:p>
        </w:tc>
        <w:tc>
          <w:tcPr>
            <w:tcW w:w="680" w:type="dxa"/>
            <w:vAlign w:val="bottom"/>
          </w:tcPr>
          <w:p>
            <w:pPr>
              <w:spacing w:after="0"/>
              <w:rPr>
                <w:sz w:val="18"/>
                <w:szCs w:val="18"/>
                <w:color w:val="auto"/>
              </w:rPr>
            </w:pPr>
          </w:p>
        </w:tc>
        <w:tc>
          <w:tcPr>
            <w:tcW w:w="1420" w:type="dxa"/>
            <w:vAlign w:val="bottom"/>
          </w:tcPr>
          <w:p>
            <w:pPr>
              <w:jc w:val="center"/>
              <w:ind w:left="565"/>
              <w:spacing w:after="0"/>
              <w:rPr>
                <w:sz w:val="20"/>
                <w:szCs w:val="20"/>
                <w:color w:val="auto"/>
              </w:rPr>
            </w:pPr>
            <w:r>
              <w:rPr>
                <w:rFonts w:ascii="Arial" w:cs="Arial" w:eastAsia="Arial" w:hAnsi="Arial"/>
                <w:sz w:val="14"/>
                <w:szCs w:val="14"/>
                <w:color w:val="auto"/>
              </w:rPr>
              <w:t>Income Tax</w:t>
            </w:r>
          </w:p>
        </w:tc>
        <w:tc>
          <w:tcPr>
            <w:tcW w:w="3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rPr>
              <w:t>Income</w:t>
            </w:r>
          </w:p>
        </w:tc>
      </w:tr>
      <w:tr>
        <w:trPr>
          <w:trHeight w:val="208"/>
        </w:trPr>
        <w:tc>
          <w:tcPr>
            <w:tcW w:w="36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left="605"/>
              <w:spacing w:after="0"/>
              <w:rPr>
                <w:sz w:val="20"/>
                <w:szCs w:val="20"/>
                <w:color w:val="auto"/>
              </w:rPr>
            </w:pPr>
            <w:r>
              <w:rPr>
                <w:rFonts w:ascii="Arial" w:cs="Arial" w:eastAsia="Arial" w:hAnsi="Arial"/>
                <w:sz w:val="14"/>
                <w:szCs w:val="14"/>
                <w:color w:val="auto"/>
              </w:rPr>
              <w:t>Expense</w:t>
            </w:r>
          </w:p>
        </w:tc>
        <w:tc>
          <w:tcPr>
            <w:tcW w:w="1840" w:type="dxa"/>
            <w:vAlign w:val="bottom"/>
            <w:tcBorders>
              <w:bottom w:val="single" w:sz="8" w:color="auto"/>
            </w:tcBorders>
          </w:tcPr>
          <w:p>
            <w:pPr>
              <w:jc w:val="center"/>
              <w:ind w:left="965"/>
              <w:spacing w:after="0"/>
              <w:rPr>
                <w:sz w:val="20"/>
                <w:szCs w:val="20"/>
                <w:color w:val="auto"/>
              </w:rPr>
            </w:pPr>
            <w:r>
              <w:rPr>
                <w:rFonts w:ascii="Arial" w:cs="Arial" w:eastAsia="Arial" w:hAnsi="Arial"/>
                <w:sz w:val="14"/>
                <w:szCs w:val="14"/>
                <w:color w:val="auto"/>
                <w:w w:val="98"/>
              </w:rPr>
              <w:t>Tax Rate</w:t>
            </w:r>
          </w:p>
        </w:tc>
        <w:tc>
          <w:tcPr>
            <w:tcW w:w="6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left="545"/>
              <w:spacing w:after="0"/>
              <w:rPr>
                <w:sz w:val="20"/>
                <w:szCs w:val="20"/>
                <w:color w:val="auto"/>
              </w:rPr>
            </w:pPr>
            <w:r>
              <w:rPr>
                <w:rFonts w:ascii="Arial" w:cs="Arial" w:eastAsia="Arial" w:hAnsi="Arial"/>
                <w:sz w:val="14"/>
                <w:szCs w:val="14"/>
                <w:color w:val="auto"/>
              </w:rPr>
              <w:t>Expense</w:t>
            </w:r>
          </w:p>
        </w:tc>
        <w:tc>
          <w:tcPr>
            <w:tcW w:w="3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Tax Rate</w:t>
            </w:r>
          </w:p>
        </w:tc>
      </w:tr>
      <w:tr>
        <w:trPr>
          <w:trHeight w:val="224"/>
        </w:trPr>
        <w:tc>
          <w:tcPr>
            <w:tcW w:w="360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1560" w:type="dxa"/>
            <w:vAlign w:val="bottom"/>
          </w:tcPr>
          <w:p>
            <w:pPr>
              <w:jc w:val="right"/>
              <w:ind w:right="1165"/>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425"/>
              <w:spacing w:after="0"/>
              <w:rPr>
                <w:sz w:val="20"/>
                <w:szCs w:val="20"/>
                <w:color w:val="auto"/>
              </w:rPr>
            </w:pPr>
            <w:r>
              <w:rPr>
                <w:rFonts w:ascii="Arial" w:cs="Arial" w:eastAsia="Arial" w:hAnsi="Arial"/>
                <w:sz w:val="16"/>
                <w:szCs w:val="16"/>
                <w:color w:val="auto"/>
              </w:rPr>
              <w:t>178</w:t>
            </w:r>
          </w:p>
        </w:tc>
        <w:tc>
          <w:tcPr>
            <w:tcW w:w="680" w:type="dxa"/>
            <w:vAlign w:val="bottom"/>
          </w:tcPr>
          <w:p>
            <w:pPr>
              <w:ind w:left="120"/>
              <w:spacing w:after="0"/>
              <w:rPr>
                <w:sz w:val="20"/>
                <w:szCs w:val="20"/>
                <w:color w:val="auto"/>
              </w:rPr>
            </w:pPr>
            <w:r>
              <w:rPr>
                <w:rFonts w:ascii="Arial" w:cs="Arial" w:eastAsia="Arial" w:hAnsi="Arial"/>
                <w:sz w:val="16"/>
                <w:szCs w:val="16"/>
                <w:color w:val="auto"/>
              </w:rPr>
              <w:t>51 %</w:t>
            </w:r>
          </w:p>
        </w:tc>
        <w:tc>
          <w:tcPr>
            <w:tcW w:w="1420" w:type="dxa"/>
            <w:vAlign w:val="bottom"/>
          </w:tcPr>
          <w:p>
            <w:pPr>
              <w:jc w:val="right"/>
              <w:ind w:right="1065"/>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117</w:t>
            </w:r>
          </w:p>
        </w:tc>
        <w:tc>
          <w:tcPr>
            <w:tcW w:w="1960" w:type="dxa"/>
            <w:vAlign w:val="bottom"/>
          </w:tcPr>
          <w:p>
            <w:pPr>
              <w:ind w:left="1420"/>
              <w:spacing w:after="0"/>
              <w:rPr>
                <w:sz w:val="20"/>
                <w:szCs w:val="20"/>
                <w:color w:val="auto"/>
              </w:rPr>
            </w:pPr>
            <w:r>
              <w:rPr>
                <w:rFonts w:ascii="Arial" w:cs="Arial" w:eastAsia="Arial" w:hAnsi="Arial"/>
                <w:sz w:val="16"/>
                <w:szCs w:val="16"/>
                <w:color w:val="auto"/>
              </w:rPr>
              <w:t>33 %</w:t>
            </w:r>
          </w:p>
        </w:tc>
      </w:tr>
      <w:tr>
        <w:trPr>
          <w:trHeight w:val="216"/>
        </w:trPr>
        <w:tc>
          <w:tcPr>
            <w:tcW w:w="3600" w:type="dxa"/>
            <w:vAlign w:val="bottom"/>
          </w:tcPr>
          <w:p>
            <w:pPr>
              <w:spacing w:after="0"/>
              <w:rPr>
                <w:sz w:val="20"/>
                <w:szCs w:val="20"/>
                <w:color w:val="auto"/>
              </w:rPr>
            </w:pPr>
            <w:r>
              <w:rPr>
                <w:rFonts w:ascii="Arial" w:cs="Arial" w:eastAsia="Arial" w:hAnsi="Arial"/>
                <w:sz w:val="16"/>
                <w:szCs w:val="16"/>
                <w:color w:val="auto"/>
              </w:rPr>
              <w:t>SDG&amp;E</w:t>
            </w:r>
          </w:p>
        </w:tc>
        <w:tc>
          <w:tcPr>
            <w:tcW w:w="1560" w:type="dxa"/>
            <w:vAlign w:val="bottom"/>
          </w:tcPr>
          <w:p>
            <w:pPr>
              <w:spacing w:after="0"/>
              <w:rPr>
                <w:sz w:val="18"/>
                <w:szCs w:val="18"/>
                <w:color w:val="auto"/>
              </w:rPr>
            </w:pPr>
          </w:p>
        </w:tc>
        <w:tc>
          <w:tcPr>
            <w:tcW w:w="1840" w:type="dxa"/>
            <w:vAlign w:val="bottom"/>
          </w:tcPr>
          <w:p>
            <w:pPr>
              <w:jc w:val="right"/>
              <w:ind w:right="1425"/>
              <w:spacing w:after="0"/>
              <w:rPr>
                <w:sz w:val="20"/>
                <w:szCs w:val="20"/>
                <w:color w:val="auto"/>
              </w:rPr>
            </w:pPr>
            <w:r>
              <w:rPr>
                <w:rFonts w:ascii="Arial" w:cs="Arial" w:eastAsia="Arial" w:hAnsi="Arial"/>
                <w:sz w:val="16"/>
                <w:szCs w:val="16"/>
                <w:color w:val="auto"/>
              </w:rPr>
              <w:t>51</w:t>
            </w:r>
          </w:p>
        </w:tc>
        <w:tc>
          <w:tcPr>
            <w:tcW w:w="680" w:type="dxa"/>
            <w:vAlign w:val="bottom"/>
          </w:tcPr>
          <w:p>
            <w:pPr>
              <w:ind w:left="120"/>
              <w:spacing w:after="0"/>
              <w:rPr>
                <w:sz w:val="20"/>
                <w:szCs w:val="20"/>
                <w:color w:val="auto"/>
              </w:rPr>
            </w:pPr>
            <w:r>
              <w:rPr>
                <w:rFonts w:ascii="Arial" w:cs="Arial" w:eastAsia="Arial" w:hAnsi="Arial"/>
                <w:sz w:val="16"/>
                <w:szCs w:val="16"/>
                <w:color w:val="auto"/>
              </w:rPr>
              <w:t>39</w:t>
            </w:r>
          </w:p>
        </w:tc>
        <w:tc>
          <w:tcPr>
            <w:tcW w:w="14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60</w:t>
            </w:r>
          </w:p>
        </w:tc>
        <w:tc>
          <w:tcPr>
            <w:tcW w:w="1960" w:type="dxa"/>
            <w:vAlign w:val="bottom"/>
          </w:tcPr>
          <w:p>
            <w:pPr>
              <w:ind w:left="1420"/>
              <w:spacing w:after="0"/>
              <w:rPr>
                <w:sz w:val="20"/>
                <w:szCs w:val="20"/>
                <w:color w:val="auto"/>
              </w:rPr>
            </w:pPr>
            <w:r>
              <w:rPr>
                <w:rFonts w:ascii="Arial" w:cs="Arial" w:eastAsia="Arial" w:hAnsi="Arial"/>
                <w:sz w:val="16"/>
                <w:szCs w:val="16"/>
                <w:color w:val="auto"/>
              </w:rPr>
              <w:t>35</w:t>
            </w:r>
          </w:p>
        </w:tc>
      </w:tr>
      <w:tr>
        <w:trPr>
          <w:trHeight w:val="209"/>
        </w:trPr>
        <w:tc>
          <w:tcPr>
            <w:tcW w:w="3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15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425"/>
              <w:spacing w:after="0"/>
              <w:rPr>
                <w:sz w:val="20"/>
                <w:szCs w:val="20"/>
                <w:color w:val="auto"/>
              </w:rPr>
            </w:pPr>
            <w:r>
              <w:rPr>
                <w:rFonts w:ascii="Arial" w:cs="Arial" w:eastAsia="Arial" w:hAnsi="Arial"/>
                <w:sz w:val="16"/>
                <w:szCs w:val="16"/>
                <w:color w:val="auto"/>
              </w:rPr>
              <w:t>24</w:t>
            </w: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34</w:t>
            </w:r>
          </w:p>
        </w:tc>
        <w:tc>
          <w:tcPr>
            <w:tcW w:w="14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960" w:type="dxa"/>
            <w:vAlign w:val="bottom"/>
            <w:tcBorders>
              <w:bottom w:val="single" w:sz="8" w:color="auto"/>
            </w:tcBorders>
          </w:tcPr>
          <w:p>
            <w:pPr>
              <w:ind w:left="1420"/>
              <w:spacing w:after="0"/>
              <w:rPr>
                <w:sz w:val="20"/>
                <w:szCs w:val="20"/>
                <w:color w:val="auto"/>
              </w:rPr>
            </w:pPr>
            <w:r>
              <w:rPr>
                <w:rFonts w:ascii="Arial" w:cs="Arial" w:eastAsia="Arial" w:hAnsi="Arial"/>
                <w:sz w:val="16"/>
                <w:szCs w:val="16"/>
                <w:color w:val="auto"/>
              </w:rPr>
              <w:t>38</w:t>
            </w:r>
          </w:p>
        </w:tc>
      </w:tr>
      <w:tr>
        <w:trPr>
          <w:trHeight w:val="21"/>
        </w:trPr>
        <w:tc>
          <w:tcPr>
            <w:tcW w:w="3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4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increase in income tax expense in the three months ended March 31, 2013 was primarily due to a higher effective income tax rate, which was mainly due to:</w:t>
      </w:r>
    </w:p>
    <w:p>
      <w:pPr>
        <w:spacing w:after="0" w:line="197" w:lineRule="exact"/>
        <w:rPr>
          <w:sz w:val="20"/>
          <w:szCs w:val="20"/>
          <w:color w:val="auto"/>
        </w:rPr>
      </w:pPr>
    </w:p>
    <w:p>
      <w:pPr>
        <w:ind w:left="340" w:hanging="188"/>
        <w:spacing w:after="0" w:line="277"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$63 million income tax expense resulting from a corporate reorganization in connection with the IEnova stock offerings. We discuss the stock offerings further in Note 5 of the Notes to Condensed Consolidated Financial Statements herein;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lower income tax expense due to Mexican currency translation and inflation adjustments; and</w:t>
      </w:r>
    </w:p>
    <w:p>
      <w:pPr>
        <w:spacing w:after="0" w:line="252" w:lineRule="exact"/>
        <w:rPr>
          <w:rFonts w:ascii="Arial" w:cs="Arial" w:eastAsia="Arial" w:hAnsi="Arial"/>
          <w:sz w:val="18"/>
          <w:szCs w:val="18"/>
          <w:color w:val="auto"/>
        </w:rPr>
      </w:pPr>
    </w:p>
    <w:p>
      <w:pPr>
        <w:jc w:val="both"/>
        <w:ind w:left="340" w:hanging="188"/>
        <w:spacing w:after="0" w:line="255"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income tax benefit in 2013 resulting from changes made in the second half of 2012 in the income tax treatment of certain repairs expenditures that are capitalized for financial statement purposes. The change in income tax treatment of certain repairs expenditures for electric transmission and distribution assets was made pursuant to an Internal Revenue Service (IRS) Revenue Procedure providing a safe harbor for deducting certain repairs expenditures from taxable income when incurred for tax years beginning on or after January 1, 2011. The change in income tax treatment of certain repairs expenditures for gas plant assets was made pursuant to an IRS Revenue Procedure which allows, under an Internal Revenue Code (IRC) section, for such expenditures to be deducted from taxable income when incurred.</w:t>
      </w:r>
    </w:p>
    <w:p>
      <w:pPr>
        <w:spacing w:after="0" w:line="22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As noted in “Results of Operations – Changes in Revenues, Costs and Earnings – Income Taxes” in “Management’s Discussion and Analysis of Financial Condition and Results of Operations” in the Annual Report, we were planning to repatriate a portion of future earnings beginning in 2013 from certain of our non-U.S. subsidiaries in Mexico and Peru. Due to the income tax expense resulting from a corporate reorganization in connection with the IEnova stock offerings, which we discuss further in Note 5 of the Notes to Condensed Consolidated Financial Statements herein, we are now planning to make a distribution in 2013 of approximately $200 million from our non-U.S. subsidiaries. This distribution will be from previously taxed income and will not be subject to additional U.S. federal income tax. We now plan to repatriate a portion of future earnings beginning in 2014 from our subsidiaries in Mexico and Peru. Currently, all future repatriated earnings would be subject to U.S. income tax (with a credit for foreign income taxes) and future repatriation from Peru would be subject to local country withholding tax. Because this potential repatriation would only be from future earnings, it does not change our current assertion that we intend to continue to indefinitely reinvest our cumulative undistributed non-U.S. earnings through December 31, 2013.</w:t>
      </w:r>
    </w:p>
    <w:p>
      <w:pPr>
        <w:spacing w:after="0" w:line="19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Sempra Energy, SDG&amp;E and SoCalGas record income taxes for interim periods utilizing a forecasted effective tax rate anticipated for the full year, as required by U.S. GAAP. The income tax effect of items that can be reliably forecasted are factored into the forecasted effective tax rate and their impact is spread proportionately over the year. The forecasted items, anticipated on a full year basis, may include, among others, self-developed software expenditures, repairs to certain utility plant fixed assets, renewable energy income tax credits, deferred income tax benefits related to renewable energy projects, exclusions from taxable income of the equity portion of AFUDC, and depreciation on a certain portion of utility plant assets. Items that cannot be reliably forecasted (e.g., adjustments related to prior years’ income tax items, Mexican currency translation and inflation adjustments, and deferred income tax benefit associated with the impairment of a book investment, etc.) are recorded in the interim period in which they actually occur, which can result in variability to income tax expense.</w:t>
      </w:r>
    </w:p>
    <w:p>
      <w:pPr>
        <w:spacing w:after="0" w:line="2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2013, we anticipate that Sempra Energy Consolidated’s effective income tax rate will be approximately 29% compared to 6% in 2012. This increase is primarily due to a forecasted increase in pretax book income and because we are not currently anticipating any similar one-time events as occurred in 2012. In addition, we are forecasting a lower favorable impact of renewable energy income tax credits and deferred income tax benefits related to renewable energy projects, a lower favorable impact of self-developed software expenditures and a lower favorable impact of repairs expenditures that are capitalized for financial statement purposes.</w:t>
      </w:r>
    </w:p>
    <w:p>
      <w:pPr>
        <w:spacing w:after="0" w:line="21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the years 2014 through 2017, we anticipate that Sempra Energy Consolidated’s effective income tax rate will range from 28% to 32% primarily due to a forecasted increase in pretax book income, a lower favorable impact of renewable energy income tax credits and deferred income tax benefits related to renewable energy projects, and a lower favorable impact of self-developed software expenditures and repairs expenditures that are capitalized for financial statement purposes.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ectPr>
          <w:pgSz w:w="11900" w:h="16838" w:orient="portrait"/>
          <w:cols w:equalWidth="0" w:num="1">
            <w:col w:w="11420"/>
          </w:cols>
          <w:pgMar w:left="240" w:top="125" w:right="239" w:bottom="0" w:gutter="0" w:footer="0" w:header="0"/>
        </w:sectPr>
      </w:pPr>
    </w:p>
    <w:p>
      <w:pPr>
        <w:spacing w:after="0" w:line="24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decrease in SDG&amp;E’s income tax expense in the three months ended March 31, 2013 was primarily due to lower pretax income, offset by the impact of a higher effective income tax rate. The higher effective income tax rate in the three months ended March 31, 2013 was primarily due to:</w:t>
      </w:r>
    </w:p>
    <w:p>
      <w:pPr>
        <w:sectPr>
          <w:pgSz w:w="11900" w:h="16838" w:orient="portrait"/>
          <w:cols w:equalWidth="0" w:num="1">
            <w:col w:w="11420"/>
          </w:cols>
          <w:pgMar w:left="240" w:top="125" w:right="239" w:bottom="0" w:gutter="0" w:footer="0" w:header="0"/>
          <w:type w:val="continuous"/>
        </w:sectPr>
      </w:pPr>
    </w:p>
    <w:bookmarkStart w:id="57" w:name="page58"/>
    <w:bookmarkEnd w:id="57"/>
    <w:p>
      <w:pPr>
        <w:spacing w:after="0" w:line="80" w:lineRule="exact"/>
        <w:rPr>
          <w:sz w:val="20"/>
          <w:szCs w:val="20"/>
          <w:color w:val="auto"/>
        </w:rPr>
      </w:pPr>
    </w:p>
    <w:p>
      <w:pPr>
        <w:ind w:left="340" w:hanging="188"/>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impact of Otay Mesa VIE, which we discuss below;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lower exclusions from taxable income of the equity portion of AFUDC;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line="342" w:lineRule="auto"/>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income tax benefit in 2013 resulting from a change made in the third quarter of 2012 in the income tax treatment of certain repairs expenditures for electric transmission and distribution assets that are capitalized for financial statement purposes, as we discuss above for Sempra Energy Consolidated.</w:t>
      </w:r>
    </w:p>
    <w:p>
      <w:pPr>
        <w:spacing w:after="0" w:line="151"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The results for Sempra Energy Consolidated and SDG&amp;E include Otay Mesa VIE, which is not included in Sempra Energy’s federal or state income tax returns but is consolidated for financial statement purposes, and therefore, Sempra Energy Consolidated’s and SDG&amp;E’s effective income tax rates are impacted by the VIE’s stand-alone effective income tax rate. In the first quarter of 2013, Otay Mesa VIE had a pretax loss compared to pretax income in 2012, on which no tax benefit or expense, respectively, was recorded by Otay Mesa VIE. We discuss Otay Mesa VIE further in Note 5 of the Notes to Condensed Consolidated Financial Statements herein.</w:t>
      </w:r>
    </w:p>
    <w:p>
      <w:pPr>
        <w:spacing w:after="0" w:line="21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2013, we anticipate that SDG&amp;E’s effective income tax rate will be approximately 35% compared to 27% in 2012. This increase is primarily due to a forecasted increase in pretax book income and because we are not currently anticipating any similar one-time events as incurred in 2012. In addition, we are forecasting lower exclusions from taxable income of the equity portion of AFUDC and a lower favorable impact of self-developed software expenditures, partially offset by an increase in forecasted production tax credits from wind energy projects.</w:t>
      </w:r>
    </w:p>
    <w:p>
      <w:pPr>
        <w:spacing w:after="0" w:line="21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the years 2014 through 2017, we anticipate that SDG&amp;E’s effective income tax rate will range from 34% to 35% primarily due to forecasted increases in pretax book income and a lower favorable impact of self-developed software expenditures, partially offset by an increase in forecasted production tax credits from wind energy projects.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SoCalGas</w:t>
      </w:r>
    </w:p>
    <w:p>
      <w:pPr>
        <w:spacing w:after="0" w:line="24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decrease in SoCalGas’ income tax expense in the three months ended March 31, 2013 was due to lower pretax income and a lower effective income tax rate. The lower effective income tax rate in the three months ended March 31, 2013 was primarily due to:</w:t>
      </w:r>
    </w:p>
    <w:p>
      <w:pPr>
        <w:spacing w:after="0" w:line="197" w:lineRule="exact"/>
        <w:rPr>
          <w:sz w:val="20"/>
          <w:szCs w:val="20"/>
          <w:color w:val="auto"/>
        </w:rPr>
      </w:pPr>
    </w:p>
    <w:p>
      <w:pPr>
        <w:ind w:left="340" w:hanging="188"/>
        <w:spacing w:after="0" w:line="308" w:lineRule="auto"/>
        <w:tabs>
          <w:tab w:leader="none" w:pos="3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income tax benefit in 2013 resulting from a change made in the fourth quarter of 2012 in the income tax treatment of certain repairs expenditures for gas assets that are capitalized for financial statement purposes, as we discuss above for Sempra Energy Consolidated; </w:t>
      </w:r>
      <w:r>
        <w:rPr>
          <w:rFonts w:ascii="Arial" w:cs="Arial" w:eastAsia="Arial" w:hAnsi="Arial"/>
          <w:sz w:val="17"/>
          <w:szCs w:val="17"/>
          <w:b w:val="1"/>
          <w:bCs w:val="1"/>
          <w:color w:val="auto"/>
        </w:rPr>
        <w:t>offset by</w:t>
      </w:r>
    </w:p>
    <w:p>
      <w:pPr>
        <w:spacing w:after="0" w:line="173" w:lineRule="exact"/>
        <w:rPr>
          <w:rFonts w:ascii="Arial" w:cs="Arial" w:eastAsia="Arial" w:hAnsi="Arial"/>
          <w:sz w:val="17"/>
          <w:szCs w:val="17"/>
          <w:color w:val="auto"/>
        </w:rPr>
      </w:pPr>
    </w:p>
    <w:p>
      <w:pPr>
        <w:ind w:left="340" w:hanging="188"/>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higher book depreciation over income tax depreciation related to a certain portion of utility plant fixed assets;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lower deductions for self-developed software costs.</w:t>
      </w:r>
    </w:p>
    <w:p>
      <w:pPr>
        <w:spacing w:after="0" w:line="2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2013, we anticipate that SoCalGas’ effective income tax rate will be approximately 34% compared to 21% in 2012. This increase is primarily due to a forecasted increase in pretax book income and a lower favorable impact of self-developed software expenditures and repairs expenditures that are capitalized for financial statement purposes.</w:t>
      </w:r>
    </w:p>
    <w:p>
      <w:pPr>
        <w:spacing w:after="0" w:line="20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the years 2014 through 2017, we anticipate that SoCalGas’ effective income tax rate will range from approximately 31% to 40%, primarily due to forecasted increases in pretax book income, higher book depreciation over income tax depreciation related to a certain portion of utility plant fixed assets, and a lower favorable impact of self-developed software expenditures and repairs expenditures that are capitalized for financial statement purposes.</w:t>
      </w:r>
    </w:p>
    <w:p>
      <w:pPr>
        <w:spacing w:after="0" w:line="174"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Due to the extension of bonus depreciation, Sempra Energy, SDG&amp;E and SoCalGas generated large U.S. federal net operating losses (NOLs) in 2011 and 2012. We discuss further the impact of NOLs on Sempra Energy, SDG&amp;E and SoCalGas in “Results of Operations – Changes in Revenues, Costs and Earnings – Income Taxes” in “Management’s Discussion and Analysis of Financial Condition and Results of Operations” in the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Mexican Currency Exchange Rate and Inflation Impact on Income Taxes and Related Economic Hedging Activity</w:t>
      </w:r>
    </w:p>
    <w:p>
      <w:pPr>
        <w:spacing w:after="0" w:line="24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Mexican subsidiaries have U.S. dollar denominated cash balances, receivables and payables (monetary assets and liabilities) that give rise to Mexican currency exchange rate movements for Mexican income tax purposes. They also have deferred income tax assets and liabilities that are denominated in the Mexican peso, which must be translated to U.S. dollars for financial reporting purposes. In addition, monetary assets and liabilities are adjusted for Mexican inflation for Mexican income tax purposes.</w:t>
      </w:r>
    </w:p>
    <w:p>
      <w:pPr>
        <w:spacing w:after="0" w:line="21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fluctuations in both the currency exchange rate for the Mexican peso against the U.S. dollar, with regard to Mexican monetary assets and liabilities, and Mexican inflation are subject to Mexican income tax and thus may expose us to fluctuations in our income tax expense. The income tax expense of Sempra Mexico is impacted by these factors. From time to time, we may utilize short-term foreign currency derivatives at our subsidiaries and at the consolidated level as a means to manage these exposures.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For Sempra Energy Consolidated, the impacts on the three months ended March 31, 2013 and 2012 related to the factors described above are as follows:</w:t>
      </w:r>
    </w:p>
    <w:p>
      <w:pPr>
        <w:spacing w:after="0" w:line="200" w:lineRule="exact"/>
        <w:rPr>
          <w:sz w:val="20"/>
          <w:szCs w:val="20"/>
          <w:color w:val="auto"/>
        </w:rPr>
      </w:pPr>
    </w:p>
    <w:p>
      <w:pPr>
        <w:spacing w:after="0" w:line="328" w:lineRule="exact"/>
        <w:rPr>
          <w:sz w:val="20"/>
          <w:szCs w:val="20"/>
          <w:color w:val="auto"/>
        </w:rPr>
      </w:pPr>
    </w:p>
    <w:p>
      <w:pPr>
        <w:ind w:right="3780"/>
        <w:spacing w:after="0" w:line="261" w:lineRule="auto"/>
        <w:rPr>
          <w:sz w:val="20"/>
          <w:szCs w:val="20"/>
          <w:color w:val="auto"/>
        </w:rPr>
      </w:pPr>
      <w:r>
        <w:rPr>
          <w:rFonts w:ascii="Arial" w:cs="Arial" w:eastAsia="Arial" w:hAnsi="Arial"/>
          <w:sz w:val="16"/>
          <w:szCs w:val="16"/>
          <w:b w:val="1"/>
          <w:bCs w:val="1"/>
          <w:color w:val="auto"/>
        </w:rPr>
        <w:t xml:space="preserve">MEXICAN CURRENCY IMPACT ON INCOME TAXES AND RELATED ECONOMIC HEDGING ACTIVITY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2317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7620" w:type="dxa"/>
            <w:vAlign w:val="bottom"/>
          </w:tcPr>
          <w:p>
            <w:pPr>
              <w:spacing w:after="0"/>
              <w:rPr>
                <w:sz w:val="14"/>
                <w:szCs w:val="14"/>
                <w:color w:val="auto"/>
              </w:rPr>
            </w:pPr>
          </w:p>
        </w:tc>
        <w:tc>
          <w:tcPr>
            <w:tcW w:w="3240" w:type="dxa"/>
            <w:vAlign w:val="bottom"/>
            <w:tcBorders>
              <w:bottom w:val="single" w:sz="8" w:color="auto"/>
            </w:tcBorders>
            <w:gridSpan w:val="3"/>
          </w:tcPr>
          <w:p>
            <w:pPr>
              <w:jc w:val="right"/>
              <w:ind w:right="263"/>
              <w:spacing w:after="0" w:line="158" w:lineRule="exact"/>
              <w:rPr>
                <w:sz w:val="20"/>
                <w:szCs w:val="20"/>
                <w:color w:val="auto"/>
              </w:rPr>
            </w:pPr>
            <w:r>
              <w:rPr>
                <w:rFonts w:ascii="Arial" w:cs="Arial" w:eastAsia="Arial" w:hAnsi="Arial"/>
                <w:sz w:val="14"/>
                <w:szCs w:val="14"/>
                <w:color w:val="auto"/>
              </w:rPr>
              <w:t>Three months ended March 31,</w:t>
            </w:r>
          </w:p>
        </w:tc>
        <w:tc>
          <w:tcPr>
            <w:tcW w:w="560" w:type="dxa"/>
            <w:vAlign w:val="bottom"/>
            <w:tcBorders>
              <w:bottom w:val="single" w:sz="8" w:color="auto"/>
            </w:tcBorders>
          </w:tcPr>
          <w:p>
            <w:pPr>
              <w:spacing w:after="0"/>
              <w:rPr>
                <w:sz w:val="14"/>
                <w:szCs w:val="14"/>
                <w:color w:val="auto"/>
              </w:rPr>
            </w:pPr>
          </w:p>
        </w:tc>
      </w:tr>
      <w:tr>
        <w:trPr>
          <w:trHeight w:val="223"/>
        </w:trPr>
        <w:tc>
          <w:tcPr>
            <w:tcW w:w="76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color w:val="auto"/>
              </w:rPr>
              <w:t>2013</w:t>
            </w:r>
          </w:p>
        </w:tc>
        <w:tc>
          <w:tcPr>
            <w:tcW w:w="6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color w:val="auto"/>
              </w:rPr>
              <w:t>2012</w:t>
            </w:r>
          </w:p>
        </w:tc>
        <w:tc>
          <w:tcPr>
            <w:tcW w:w="560" w:type="dxa"/>
            <w:vAlign w:val="bottom"/>
            <w:tcBorders>
              <w:bottom w:val="single" w:sz="8" w:color="auto"/>
            </w:tcBorders>
          </w:tcPr>
          <w:p>
            <w:pPr>
              <w:spacing w:after="0"/>
              <w:rPr>
                <w:sz w:val="19"/>
                <w:szCs w:val="19"/>
                <w:color w:val="auto"/>
              </w:rPr>
            </w:pPr>
          </w:p>
        </w:tc>
      </w:tr>
      <w:tr>
        <w:trPr>
          <w:trHeight w:val="224"/>
        </w:trPr>
        <w:tc>
          <w:tcPr>
            <w:tcW w:w="7620" w:type="dxa"/>
            <w:vAlign w:val="bottom"/>
          </w:tcPr>
          <w:p>
            <w:pPr>
              <w:spacing w:after="0"/>
              <w:rPr>
                <w:sz w:val="20"/>
                <w:szCs w:val="20"/>
                <w:color w:val="auto"/>
              </w:rPr>
            </w:pPr>
            <w:r>
              <w:rPr>
                <w:rFonts w:ascii="Arial" w:cs="Arial" w:eastAsia="Arial" w:hAnsi="Arial"/>
                <w:sz w:val="16"/>
                <w:szCs w:val="16"/>
                <w:color w:val="auto"/>
              </w:rPr>
              <w:t>Income tax expense on currency exchange</w:t>
            </w: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6"/>
        </w:trPr>
        <w:tc>
          <w:tcPr>
            <w:tcW w:w="7620" w:type="dxa"/>
            <w:vAlign w:val="bottom"/>
          </w:tcPr>
          <w:p>
            <w:pPr>
              <w:ind w:left="300"/>
              <w:spacing w:after="0"/>
              <w:rPr>
                <w:sz w:val="20"/>
                <w:szCs w:val="20"/>
                <w:color w:val="auto"/>
              </w:rPr>
            </w:pPr>
            <w:r>
              <w:rPr>
                <w:rFonts w:ascii="Arial" w:cs="Arial" w:eastAsia="Arial" w:hAnsi="Arial"/>
                <w:sz w:val="16"/>
                <w:szCs w:val="16"/>
                <w:color w:val="auto"/>
              </w:rPr>
              <w:t>rate movement of monetary assets and liabilities</w:t>
            </w:r>
          </w:p>
        </w:tc>
        <w:tc>
          <w:tcPr>
            <w:tcW w:w="1340" w:type="dxa"/>
            <w:vAlign w:val="bottom"/>
          </w:tcPr>
          <w:p>
            <w:pPr>
              <w:jc w:val="right"/>
              <w:ind w:right="985"/>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40" w:type="dxa"/>
            <w:vAlign w:val="bottom"/>
          </w:tcPr>
          <w:p>
            <w:pPr>
              <w:jc w:val="right"/>
              <w:ind w:right="963"/>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Translation of non-U.S. deferred income tax balances</w:t>
            </w:r>
          </w:p>
        </w:tc>
        <w:tc>
          <w:tcPr>
            <w:tcW w:w="134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Income tax expense on inflation</w:t>
            </w:r>
          </w:p>
        </w:tc>
        <w:tc>
          <w:tcPr>
            <w:tcW w:w="1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8"/>
        </w:trPr>
        <w:tc>
          <w:tcPr>
            <w:tcW w:w="7620" w:type="dxa"/>
            <w:vAlign w:val="bottom"/>
          </w:tcPr>
          <w:p>
            <w:pPr>
              <w:ind w:left="300"/>
              <w:spacing w:after="0"/>
              <w:rPr>
                <w:sz w:val="20"/>
                <w:szCs w:val="20"/>
                <w:color w:val="auto"/>
              </w:rPr>
            </w:pPr>
            <w:r>
              <w:rPr>
                <w:rFonts w:ascii="Arial" w:cs="Arial" w:eastAsia="Arial" w:hAnsi="Arial"/>
                <w:sz w:val="16"/>
                <w:szCs w:val="16"/>
                <w:color w:val="auto"/>
              </w:rPr>
              <w:t>Total impact on income taxes</w:t>
            </w:r>
          </w:p>
        </w:tc>
        <w:tc>
          <w:tcPr>
            <w:tcW w:w="134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195"/>
        </w:trPr>
        <w:tc>
          <w:tcPr>
            <w:tcW w:w="7620" w:type="dxa"/>
            <w:vAlign w:val="bottom"/>
          </w:tcPr>
          <w:p>
            <w:pPr>
              <w:spacing w:after="0"/>
              <w:rPr>
                <w:sz w:val="20"/>
                <w:szCs w:val="20"/>
                <w:color w:val="auto"/>
              </w:rPr>
            </w:pPr>
            <w:r>
              <w:rPr>
                <w:rFonts w:ascii="Arial" w:cs="Arial" w:eastAsia="Arial" w:hAnsi="Arial"/>
                <w:sz w:val="16"/>
                <w:szCs w:val="16"/>
                <w:color w:val="auto"/>
              </w:rPr>
              <w:t>After-tax gains on Mexican peso exchange rate</w:t>
            </w:r>
          </w:p>
        </w:tc>
        <w:tc>
          <w:tcPr>
            <w:tcW w:w="1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60" w:type="dxa"/>
            <w:vAlign w:val="bottom"/>
          </w:tcPr>
          <w:p>
            <w:pPr>
              <w:spacing w:after="0"/>
              <w:rPr>
                <w:sz w:val="16"/>
                <w:szCs w:val="16"/>
                <w:color w:val="auto"/>
              </w:rPr>
            </w:pPr>
          </w:p>
        </w:tc>
      </w:tr>
    </w:tbl>
    <w:p>
      <w:pPr>
        <w:sectPr>
          <w:pgSz w:w="11900" w:h="16918" w:orient="portrait"/>
          <w:cols w:equalWidth="0" w:num="1">
            <w:col w:w="11420"/>
          </w:cols>
          <w:pgMar w:left="240" w:top="368" w:right="239" w:bottom="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620" w:type="dxa"/>
            <w:vAlign w:val="bottom"/>
          </w:tcPr>
          <w:p>
            <w:pPr>
              <w:jc w:val="right"/>
              <w:ind w:right="4099"/>
              <w:spacing w:after="0"/>
              <w:rPr>
                <w:sz w:val="20"/>
                <w:szCs w:val="20"/>
                <w:color w:val="auto"/>
              </w:rPr>
            </w:pPr>
            <w:r>
              <w:rPr>
                <w:rFonts w:ascii="Arial" w:cs="Arial" w:eastAsia="Arial" w:hAnsi="Arial"/>
                <w:sz w:val="16"/>
                <w:szCs w:val="16"/>
                <w:color w:val="auto"/>
              </w:rPr>
              <w:t>instruments (included in Other Income, Net)</w:t>
            </w:r>
          </w:p>
        </w:tc>
        <w:tc>
          <w:tcPr>
            <w:tcW w:w="9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w:t>
            </w:r>
          </w:p>
        </w:tc>
        <w:tc>
          <w:tcPr>
            <w:tcW w:w="8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24"/>
        </w:trPr>
        <w:tc>
          <w:tcPr>
            <w:tcW w:w="7620" w:type="dxa"/>
            <w:vAlign w:val="bottom"/>
          </w:tcPr>
          <w:p>
            <w:pPr>
              <w:jc w:val="right"/>
              <w:ind w:right="4399"/>
              <w:spacing w:after="0"/>
              <w:rPr>
                <w:sz w:val="20"/>
                <w:szCs w:val="20"/>
                <w:color w:val="auto"/>
              </w:rPr>
            </w:pPr>
            <w:r>
              <w:rPr>
                <w:rFonts w:ascii="Arial" w:cs="Arial" w:eastAsia="Arial" w:hAnsi="Arial"/>
                <w:sz w:val="16"/>
                <w:szCs w:val="16"/>
                <w:color w:val="auto"/>
              </w:rPr>
              <w:t>Net impacts on Sempra Energy Condensed</w:t>
            </w:r>
          </w:p>
        </w:tc>
        <w:tc>
          <w:tcPr>
            <w:tcW w:w="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9"/>
        </w:trPr>
        <w:tc>
          <w:tcPr>
            <w:tcW w:w="7620" w:type="dxa"/>
            <w:vAlign w:val="bottom"/>
            <w:tcBorders>
              <w:bottom w:val="single" w:sz="8" w:color="auto"/>
            </w:tcBorders>
          </w:tcPr>
          <w:p>
            <w:pPr>
              <w:jc w:val="right"/>
              <w:ind w:right="4399"/>
              <w:spacing w:after="0"/>
              <w:rPr>
                <w:sz w:val="20"/>
                <w:szCs w:val="20"/>
                <w:color w:val="auto"/>
              </w:rPr>
            </w:pPr>
            <w:r>
              <w:rPr>
                <w:rFonts w:ascii="Arial" w:cs="Arial" w:eastAsia="Arial" w:hAnsi="Arial"/>
                <w:sz w:val="16"/>
                <w:szCs w:val="16"/>
                <w:color w:val="auto"/>
              </w:rPr>
              <w:t>Consolidated Statements of Operations</w:t>
            </w:r>
          </w:p>
        </w:tc>
        <w:tc>
          <w:tcPr>
            <w:tcW w:w="9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8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1"/>
        </w:trPr>
        <w:tc>
          <w:tcPr>
            <w:tcW w:w="7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Earnings, Net of Income Tax</w:t>
      </w:r>
    </w:p>
    <w:p>
      <w:pPr>
        <w:spacing w:after="0" w:line="245"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In the three months ended March 31, 2013, equity earnings of unconsolidated subsidiaries, net of income tax, decreased by $7 million due to a noncash impairment charge related to our investment in two Argentine natural gas utility holding companies, as we discuss in Note 4 of the Notes to Condensed Consolidated Financial Statements herein.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 Attributable to Noncontrolling Interests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4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Losses attributable to noncontrolling interests were $2 million for the three months ended March 31, 2013 compared to earnings of $13 million for the same period in 2012. The net change of $15 million included</w:t>
      </w:r>
    </w:p>
    <w:p>
      <w:pPr>
        <w:spacing w:after="0" w:line="193" w:lineRule="exact"/>
        <w:rPr>
          <w:sz w:val="20"/>
          <w:szCs w:val="20"/>
          <w:color w:val="auto"/>
        </w:rPr>
      </w:pPr>
    </w:p>
    <w:p>
      <w:pPr>
        <w:ind w:left="340" w:hanging="188"/>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losses attributable to noncontrolling interest of $11 million at Otay Mesa VIE in 2013 compared to earnings of $6 million in 2012;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$1 million at Sempra Mexico in 2013 from earnings attributable to noncontrolling interest of IEnova. We discuss the stock offerings of IEnova in Note 5 of the Notes to Condensed Consolidated Financial Statements herein.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discuss variations in earnings by segment above in “Segment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637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color w:val="auto"/>
        </w:rPr>
        <w:t>CAPITAL RESOURCES AND LIQUIDITY</w:t>
      </w:r>
    </w:p>
    <w:p>
      <w:pPr>
        <w:spacing w:after="0" w:line="200" w:lineRule="exact"/>
        <w:rPr>
          <w:sz w:val="20"/>
          <w:szCs w:val="20"/>
          <w:color w:val="auto"/>
        </w:rPr>
      </w:pPr>
    </w:p>
    <w:p>
      <w:pPr>
        <w:spacing w:after="0" w:line="26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We expect our cash flows from operations to fund a substantial portion of our capital expenditures and dividends. In addition, we may meet our cash requirements through the issuance of securities, including short-term and long-term debt securities, and distributions from our equity method investments.</w:t>
      </w:r>
    </w:p>
    <w:p>
      <w:pPr>
        <w:spacing w:after="0" w:line="15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Our committed lines of credit provide liquidity and support commercial paper. As we discuss in Note 6 of the Notes to Condensed Consolidated Financial Statements herein, Sempra Energy, Sempra Global (the holding company for our subsidiaries not subject to California utility regulation) and the California Utilities each have five-year revolving credit facilities, expiring in 2017. At Sempra Energy and the California Utilities, the agreements are syndicated broadly among 24 different lenders and at Sempra Global, among 25 different lenders. No single lender has greater than a 7-percent share in any agreement.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amount of available funds at March 31, 2013:</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FUNDS AT MARCH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20" w:type="dxa"/>
            <w:vAlign w:val="bottom"/>
          </w:tcPr>
          <w:p>
            <w:pPr>
              <w:spacing w:after="0"/>
              <w:rPr>
                <w:sz w:val="14"/>
                <w:szCs w:val="14"/>
                <w:color w:val="auto"/>
              </w:rPr>
            </w:pPr>
          </w:p>
        </w:tc>
        <w:tc>
          <w:tcPr>
            <w:tcW w:w="2860" w:type="dxa"/>
            <w:vAlign w:val="bottom"/>
          </w:tcPr>
          <w:p>
            <w:pPr>
              <w:jc w:val="center"/>
              <w:ind w:left="1785"/>
              <w:spacing w:after="0"/>
              <w:rPr>
                <w:sz w:val="20"/>
                <w:szCs w:val="20"/>
                <w:color w:val="auto"/>
              </w:rPr>
            </w:pPr>
            <w:r>
              <w:rPr>
                <w:rFonts w:ascii="Arial" w:cs="Arial" w:eastAsia="Arial" w:hAnsi="Arial"/>
                <w:sz w:val="14"/>
                <w:szCs w:val="14"/>
                <w:color w:val="auto"/>
              </w:rPr>
              <w:t>Sempra Energy</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08"/>
        </w:trPr>
        <w:tc>
          <w:tcPr>
            <w:tcW w:w="42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jc w:val="center"/>
              <w:ind w:left="1785"/>
              <w:spacing w:after="0"/>
              <w:rPr>
                <w:sz w:val="20"/>
                <w:szCs w:val="20"/>
                <w:color w:val="auto"/>
              </w:rPr>
            </w:pPr>
            <w:r>
              <w:rPr>
                <w:rFonts w:ascii="Arial" w:cs="Arial" w:eastAsia="Arial" w:hAnsi="Arial"/>
                <w:sz w:val="14"/>
                <w:szCs w:val="14"/>
                <w:color w:val="auto"/>
              </w:rPr>
              <w:t>Consolidated</w:t>
            </w:r>
          </w:p>
        </w:tc>
        <w:tc>
          <w:tcPr>
            <w:tcW w:w="5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22"/>
              <w:spacing w:after="0"/>
              <w:rPr>
                <w:sz w:val="20"/>
                <w:szCs w:val="20"/>
                <w:color w:val="auto"/>
              </w:rPr>
            </w:pPr>
            <w:r>
              <w:rPr>
                <w:rFonts w:ascii="Arial" w:cs="Arial" w:eastAsia="Arial" w:hAnsi="Arial"/>
                <w:sz w:val="14"/>
                <w:szCs w:val="14"/>
                <w:color w:val="auto"/>
              </w:rPr>
              <w:t>SDG&amp;E</w:t>
            </w: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color w:val="auto"/>
              </w:rPr>
              <w:t>SoCalGas</w:t>
            </w:r>
          </w:p>
        </w:tc>
      </w:tr>
      <w:tr>
        <w:trPr>
          <w:trHeight w:val="197"/>
        </w:trPr>
        <w:tc>
          <w:tcPr>
            <w:tcW w:w="4220" w:type="dxa"/>
            <w:vAlign w:val="bottom"/>
          </w:tcPr>
          <w:p>
            <w:pPr>
              <w:spacing w:after="0"/>
              <w:rPr>
                <w:sz w:val="20"/>
                <w:szCs w:val="20"/>
                <w:color w:val="auto"/>
              </w:rPr>
            </w:pPr>
            <w:r>
              <w:rPr>
                <w:rFonts w:ascii="Arial" w:cs="Arial" w:eastAsia="Arial" w:hAnsi="Arial"/>
                <w:sz w:val="16"/>
                <w:szCs w:val="16"/>
                <w:color w:val="auto"/>
              </w:rPr>
              <w:t>Unrestricted cash and cash equivalents</w:t>
            </w:r>
          </w:p>
        </w:tc>
        <w:tc>
          <w:tcPr>
            <w:tcW w:w="2860" w:type="dxa"/>
            <w:vAlign w:val="bottom"/>
          </w:tcPr>
          <w:p>
            <w:pPr>
              <w:jc w:val="right"/>
              <w:ind w:right="1305"/>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1,471</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42"/>
              <w:spacing w:after="0"/>
              <w:rPr>
                <w:sz w:val="20"/>
                <w:szCs w:val="20"/>
                <w:color w:val="auto"/>
              </w:rPr>
            </w:pPr>
            <w:r>
              <w:rPr>
                <w:rFonts w:ascii="Arial" w:cs="Arial" w:eastAsia="Arial" w:hAnsi="Arial"/>
                <w:sz w:val="16"/>
                <w:szCs w:val="16"/>
                <w:color w:val="auto"/>
              </w:rPr>
              <w:t>106</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09"/>
        </w:trPr>
        <w:tc>
          <w:tcPr>
            <w:tcW w:w="4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Available unused credit(1)</w:t>
            </w:r>
          </w:p>
        </w:tc>
        <w:tc>
          <w:tcPr>
            <w:tcW w:w="2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4"/>
              </w:rPr>
              <w:t>3,352</w:t>
            </w:r>
          </w:p>
        </w:tc>
        <w:tc>
          <w:tcPr>
            <w:tcW w:w="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658</w:t>
            </w: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w:t>
            </w:r>
          </w:p>
        </w:tc>
      </w:tr>
      <w:tr>
        <w:trPr>
          <w:trHeight w:val="21"/>
        </w:trPr>
        <w:tc>
          <w:tcPr>
            <w:tcW w:w="422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ind w:left="620" w:right="120" w:hanging="389"/>
        <w:spacing w:after="0" w:line="265" w:lineRule="auto"/>
        <w:tabs>
          <w:tab w:leader="none" w:pos="620" w:val="left"/>
        </w:tabs>
        <w:numPr>
          <w:ilvl w:val="0"/>
          <w:numId w:val="87"/>
        </w:numPr>
        <w:rPr>
          <w:rFonts w:ascii="Arial" w:cs="Arial" w:eastAsia="Arial" w:hAnsi="Arial"/>
          <w:sz w:val="14"/>
          <w:szCs w:val="14"/>
          <w:i w:val="1"/>
          <w:iCs w:val="1"/>
          <w:color w:val="auto"/>
        </w:rPr>
      </w:pPr>
      <w:r>
        <w:rPr>
          <w:rFonts w:ascii="Arial" w:cs="Arial" w:eastAsia="Arial" w:hAnsi="Arial"/>
          <w:sz w:val="14"/>
          <w:szCs w:val="14"/>
          <w:i w:val="1"/>
          <w:iCs w:val="1"/>
          <w:color w:val="auto"/>
        </w:rPr>
        <w:t>Borrowings on the shared line of credit at SDG&amp;E and SoCalGas, discussed in Note 6 of the Notes to Condensed Consolidated Financial Statements herein, are limited to $658 million for each utility and a combined total of $877 million.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4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believe that these available funds and cash flows from operations, distributions from equity method investments and security issuances, combined with current cash balances, will be adequate to:</w:t>
      </w:r>
    </w:p>
    <w:p>
      <w:pPr>
        <w:spacing w:after="0" w:line="197" w:lineRule="exact"/>
        <w:rPr>
          <w:sz w:val="20"/>
          <w:szCs w:val="20"/>
          <w:color w:val="auto"/>
        </w:rPr>
      </w:pPr>
    </w:p>
    <w:p>
      <w:pPr>
        <w:ind w:left="340" w:hanging="188"/>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finance capital expenditures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meet liquidity requirements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fund shareholder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fund new business acquisitions or start-ups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repay maturing long-term debt</w:t>
      </w:r>
    </w:p>
    <w:p>
      <w:pPr>
        <w:sectPr>
          <w:pgSz w:w="11900" w:h="16838" w:orient="portrait"/>
          <w:cols w:equalWidth="0" w:num="1">
            <w:col w:w="11420"/>
          </w:cols>
          <w:pgMar w:left="240" w:top="385" w:right="239" w:bottom="0" w:gutter="0" w:footer="0" w:header="0"/>
        </w:sectPr>
      </w:pPr>
    </w:p>
    <w:bookmarkStart w:id="59" w:name="page60"/>
    <w:bookmarkEnd w:id="59"/>
    <w:p>
      <w:pPr>
        <w:ind w:right="40"/>
        <w:spacing w:after="0" w:line="291" w:lineRule="auto"/>
        <w:rPr>
          <w:sz w:val="20"/>
          <w:szCs w:val="20"/>
          <w:color w:val="auto"/>
        </w:rPr>
      </w:pPr>
      <w:r>
        <w:rPr>
          <w:rFonts w:ascii="Arial" w:cs="Arial" w:eastAsia="Arial" w:hAnsi="Arial"/>
          <w:sz w:val="16"/>
          <w:szCs w:val="16"/>
          <w:color w:val="auto"/>
        </w:rPr>
        <w:t>In 2012, Sempra Energy, SoCalGas and SDG&amp;E publicly offered and sold debt securities totaling $1.1 billion ($500 million maturing in 2022 and $600 million in 2017), $350 million (maturing in 2042) and $250 million (maturing 2042), respectively. Changing economic conditions could affect the availability and cost of both short-term and long-term financing. If cash flows from operations were to be significantly reduced or we were unable to borrow under acceptable terms, we would likely first reduce or postpone discretionary capital expenditures (not related to safety) and investments in new businesses. If these measures were necessary, they would primarily impact certain of our Sempra International and Sempra U.S. Gas &amp; Power businesses before we would reduce funds necessary for the ongoing needs of our utilities. We continuously monitor our ability to finance the needs of our operating, investing and financing activities in a manner consistent with our intention to maintain strong, investment-grade credit ratings and capital structure.</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increase in Sempra Energy Consolidated cash and cash equivalents at March 31, 2013 of $1.0 billion was primarily due to the influx of cash from the IEnova debt and equity offerings. Net cash proceeds from these transactions totaled approximately $1.0 billion. Although IEnova used the majority of the proceeds from its debt offering to repay intercompany debt balances, these balances were primarily with other Sempra Energy consolidated foreign entities. Because of this, and because the proceeds of the IEnova equity offerings were received in late March 2013, substantially all of the proceeds from these debt and equity offerings remains held in cash and cash equivalents in non-U.S. jurisdiction entities at March 31, 2013. In the first quarter of 2013, Sempra Energy also received $371 million cash proceeds from the sale of a 625-MW block of Sempra Natural Gas’ Mesquite Power plant, which we utilized to pay down commercial paper in February and March of 2013. We discuss these transactions further in Notes 3, 5 and 6 of the Notes to Condensed Consolidated Financial Statements herein.</w:t>
      </w:r>
    </w:p>
    <w:p>
      <w:pPr>
        <w:spacing w:after="0" w:line="21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three separate transactions during 2010 and one in early 2011, we and RBS sold substantially all of the businesses and assets of our joint-venture partnership that comprised our commodities-marketing businesses. The investment balance of $126 million at March 31, 2013 reflects remaining distributions expected to be received from the partnership as it is dissolved. The timing and amount of distributions may be impacted by the matters we discuss related to RBS Sempra Commodities in Note 10 of the Notes to Condensed Consolidated Financial Statements herein under “Other Litigation.” In addition, amounts may be retained by the partnership for an extended period of time to help offset unanticipated future general and administrative costs necessary to complete the dissolution of the partnership. We are providing transitional back-up guarantees, a few of which may continue for a prolonged period of time. Either RBS or JP Morgan Chase &amp; Co., one of the buyers’ parties in the sales transactions, has fully indemnified us for any claims or losses in connection with the related transactions.</w:t>
      </w:r>
    </w:p>
    <w:p>
      <w:pPr>
        <w:spacing w:after="0" w:line="21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provide additional information about RBS Sempra Commodities and the sales transactions and guarantees in Notes 4, 6 and 10 of the Notes to Condensed Consolidated Financial Statements herein and in Notes 4, 5 and 15 of the Notes to Consolidated Financial Statements in the Annual Report.</w:t>
      </w:r>
    </w:p>
    <w:p>
      <w:pPr>
        <w:spacing w:after="0" w:line="15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At March 31, 2013, our cash and cash equivalents held in non-U.S. jurisdictions that are unavailable to fund U.S. operations unless repatriated are approximately $1.3 billion. As noted in “Results of Operations – Changes in Revenues, Costs and Earnings – Income Taxes” in “Management’s Discussion and Analysis of Financial Condition and Results of Operations” in the Annual Report, we were planning to repatriate a portion of future earnings beginning in 2013 from certain of our non-U.S. subsidiaries in Mexico and Peru. Due to the income tax expense resulting from a corporate reorganization in connection with the IEnova stock offerings, which we discuss further in Note 5 of the Notes to Condensed Consolidated Financial Statements herein, we are now planning to make a distribution in 2013 of approximately $200 million from our non-U.S. subsidiaries. This distribution will be from previously taxed income and will not be subject to additional U.S. federal income tax. We now plan to repatriate a portion of future earnings beginning in 2014 from our subsidiaries in Mexico and Peru. Currently, all future repatriated earnings would be subject to U.S. income tax (with a credit for foreign income taxes) and future repatriation from Peru would be subject to local country withholding tax. Because this potential repatriation would only be from future earnings, it does not change our current assertion that we intend to continue to indefinitely reinvest our cumulative undistributed non-U.S. earnings through December 31, 2013. Therefore, we do not intend to use these cumulative undistributed earnings as a source of funding for U.S. operations.</w:t>
      </w:r>
    </w:p>
    <w:p>
      <w:pPr>
        <w:spacing w:after="0" w:line="20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significant investments in several trusts to provide for future payments of pensions and other postretirement benefits, and nuclear decommissioning. Changes in asset values, which are dependent on the activity in the equity and fixed income markets, have not affected the trust funds’ abilities to make required payments, but may impact funding requirements for pension and other postretirement benefit plans and the nuclear decommissioning trusts. At the California Utilities, funding requirements are generally recoverable in rates.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discuss our principal credit agreements more fully in Note 6 of the Notes to Condensed Consolidated Financial Statements herein.</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California Utilities</w:t>
      </w:r>
    </w:p>
    <w:p>
      <w:pPr>
        <w:spacing w:after="0" w:line="24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SDG&amp;E and SoCalGas expect that available funds, cash flows from operations and debt issuances will continue to be adequate to meet their working capital and capital expenditure requirements.</w:t>
      </w:r>
    </w:p>
    <w:p>
      <w:pPr>
        <w:spacing w:after="0" w:line="19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SoCalGas declared and paid a $50 million common dividend in the first quarter of 2012. However, as a result of the increase in SoCalGas’ capital investment programs over the next few years, and the increase in SoCalGas’ authorized common equity weighting as approved by the CPUC in the recent cost of capital proceeding, management expects that SoCalGas’ dividends on common stock will be reduced, when compared to the dividends on common stock declared on an annual basis historically, or temporarily suspended over the next few years to maintain SoCalGas’ authorized capital structure during the periods of high capital investments. We discuss the cost of capital proceeding in Note 9 of the Notes to Condensed Consolidated Financial Statements herein and in Note 14 of the Notes to Consolidated Financial Statements in the Annual Report.</w:t>
      </w:r>
    </w:p>
    <w:p>
      <w:pPr>
        <w:spacing w:after="0" w:line="20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As a result of SDG&amp;E’s large capital investment program over the past few years and the level of capital investment in 2012, SDG&amp;E did not pay common dividends to Sempra Energy in 2012. However, due to the completion of construction of the Sunrise Powerlink transmission power line in June 2012, SDG&amp;E expects to be able to resume the declaration and payment of dividends on its common stock in 2014.</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South American Utilities</w:t>
      </w:r>
    </w:p>
    <w:p>
      <w:pPr>
        <w:spacing w:after="0" w:line="24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expect projects at Chilquinta Energía and Luz del Sur to be funded by external borrowings and funds internally generated by Chilquinta Energía and Luz del Sur.</w:t>
      </w:r>
    </w:p>
    <w:p>
      <w:pPr>
        <w:sectPr>
          <w:pgSz w:w="11900" w:h="16838" w:orient="portrait"/>
          <w:cols w:equalWidth="0" w:num="1">
            <w:col w:w="11420"/>
          </w:cols>
          <w:pgMar w:left="240" w:top="584" w:right="239" w:bottom="112" w:gutter="0" w:footer="0" w:header="0"/>
        </w:sectPr>
      </w:pPr>
    </w:p>
    <w:bookmarkStart w:id="60" w:name="page61"/>
    <w:bookmarkEnd w:id="60"/>
    <w:p>
      <w:pPr>
        <w:spacing w:after="0"/>
        <w:rPr>
          <w:sz w:val="20"/>
          <w:szCs w:val="20"/>
          <w:color w:val="auto"/>
        </w:rPr>
      </w:pPr>
      <w:r>
        <w:rPr>
          <w:rFonts w:ascii="Arial" w:cs="Arial" w:eastAsia="Arial" w:hAnsi="Arial"/>
          <w:sz w:val="20"/>
          <w:szCs w:val="20"/>
          <w:b w:val="1"/>
          <w:bCs w:val="1"/>
          <w:i w:val="1"/>
          <w:iCs w:val="1"/>
          <w:color w:val="auto"/>
        </w:rPr>
        <w:t>Sempra Mexico</w:t>
      </w:r>
    </w:p>
    <w:p>
      <w:pPr>
        <w:spacing w:after="0" w:line="24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expect projects in Mexico to be funded through a combination of funds internally generated by the Mexico businesses, project financing, partnering in joint ventures and the proceeds from its recent debt and equity offerings. In February 2013, IEnova, a subsidiary of Sempra Mexico, publicly offered and sold in Mexico $306 million U.S. equivalent of fixed-rate, peso-denominated notes maturing in 2023 and $102 million U.S. equivalent variable-rate, peso-denominated notes maturing in 2018. Sempra Mexico used the proceeds of the notes primarily for the repayment of intercompany debt and also for capital projects. Sempra Mexico entered into cross-currency swaps for U.S. dollars at the time of issuance. We discuss this offering further in Note 6 of the Notes to Condensed Consolidated Financial Statements herein.</w:t>
      </w:r>
    </w:p>
    <w:p>
      <w:pPr>
        <w:spacing w:after="0" w:line="22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March 2013, Sempra Mexico received net proceeds of $574 million from the sale of IEnova common stock in concurrent private and public offerings, as we discuss in Note 5 of the Notes to Condensed Consolidated Financial Statements herein. The net proceeds from these offerings are expected to be used primarily for general corporate purposes and for the funding of current investments and ongoing expansion plans.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Renewables</w:t>
      </w:r>
    </w:p>
    <w:p>
      <w:pPr>
        <w:spacing w:after="0" w:line="24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expect Sempra Renewables to require funds for the development of and investment in electric renewable energy projects. Projects at Sempra Renewables may be financed through a combination of operating cash flow, project financing, funds from the parent, and partnering in joint ventures. The Sempra Renewables projects have planned in-service dates through 2016.</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Natural Gas</w:t>
      </w:r>
    </w:p>
    <w:p>
      <w:pPr>
        <w:spacing w:after="0" w:line="24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expect Sempra Natural Gas to require funding for the expansion of its portfolio of projects, including natural gas storage, pipelines, and natural gas liquefaction facility. Funding for the development and expansion of its natural gas storage and transmission projects may be financed through a combination of operating cash flow, funding from the parent and the sale completed in February 2013 of one 625-MW block of the Mesquite Power plant. Sempra Natural Gas received cash of $371 million from the sale, which we discuss in Note 3 of the Notes to Condensed Consolidated Financial Statements herein. Sempra Natural Gas also plans to develop a natural gas liquefaction export facility at its Cameron LNG terminal. Sempra Natural Gas expects the majority of the liquefaction project to be project-financed and the remainder of the capital requirements to be provided by the project partners, including Sempra Energy, through equity contributions in a joint venture agreement. We expect to provide the majority of our share of equity through the contribution of the existing Cameron facility valued at approximately $1 billion.</w:t>
      </w:r>
    </w:p>
    <w:p>
      <w:pPr>
        <w:spacing w:after="0" w:line="20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Some of Sempra Natural Gas’ long-term power sale contracts contain collateral requirements which require its affiliates and/or the counterparty to post cash, guarantees or letters of credit to the other party for exposure in excess of established thresholds. Sempra Natural Gas may be required to provide collateral when market price movements adversely affect the counterparty’s cost of replacement energy supplies if Sempra Natural Gas fails to deliver the contracted amounts. We have neither collateral posted nor owed to counterparties at March 31, 2013 pursuant to these requirements.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OPERATING ACTIVITIES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color w:val="auto"/>
              </w:rPr>
              <w:t>2013 Change</w:t>
            </w:r>
          </w:p>
        </w:tc>
        <w:tc>
          <w:tcPr>
            <w:tcW w:w="60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color w:val="auto"/>
              </w:rPr>
              <w:t>2012</w:t>
            </w:r>
          </w:p>
        </w:tc>
      </w:tr>
      <w:tr>
        <w:trPr>
          <w:trHeight w:val="197"/>
        </w:trPr>
        <w:tc>
          <w:tcPr>
            <w:tcW w:w="364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2600" w:type="dxa"/>
            <w:vAlign w:val="bottom"/>
          </w:tcPr>
          <w:p>
            <w:pPr>
              <w:jc w:val="right"/>
              <w:ind w:right="923"/>
              <w:spacing w:after="0"/>
              <w:rPr>
                <w:sz w:val="20"/>
                <w:szCs w:val="20"/>
                <w:color w:val="auto"/>
              </w:rPr>
            </w:pPr>
            <w:r>
              <w:rPr>
                <w:rFonts w:ascii="Arial" w:cs="Arial" w:eastAsia="Arial" w:hAnsi="Arial"/>
                <w:sz w:val="16"/>
                <w:szCs w:val="16"/>
                <w:color w:val="auto"/>
              </w:rPr>
              <w:t>$</w:t>
            </w: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835</w:t>
            </w:r>
          </w:p>
        </w:tc>
        <w:tc>
          <w:tcPr>
            <w:tcW w:w="6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641"/>
              <w:spacing w:after="0"/>
              <w:rPr>
                <w:sz w:val="20"/>
                <w:szCs w:val="20"/>
                <w:color w:val="auto"/>
              </w:rPr>
            </w:pPr>
            <w:r>
              <w:rPr>
                <w:rFonts w:ascii="Arial" w:cs="Arial" w:eastAsia="Arial" w:hAnsi="Arial"/>
                <w:sz w:val="16"/>
                <w:szCs w:val="16"/>
                <w:color w:val="auto"/>
              </w:rPr>
              <w:t>136</w:t>
            </w:r>
          </w:p>
        </w:tc>
        <w:tc>
          <w:tcPr>
            <w:tcW w:w="600" w:type="dxa"/>
            <w:vAlign w:val="bottom"/>
          </w:tcPr>
          <w:p>
            <w:pPr>
              <w:jc w:val="right"/>
              <w:ind w:right="99"/>
              <w:spacing w:after="0"/>
              <w:rPr>
                <w:sz w:val="20"/>
                <w:szCs w:val="20"/>
                <w:color w:val="auto"/>
              </w:rPr>
            </w:pPr>
            <w:r>
              <w:rPr>
                <w:rFonts w:ascii="Arial" w:cs="Arial" w:eastAsia="Arial" w:hAnsi="Arial"/>
                <w:sz w:val="16"/>
                <w:szCs w:val="16"/>
                <w:color w:val="auto"/>
              </w:rPr>
              <w:t>19</w:t>
            </w: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699</w:t>
            </w: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SDG&amp;E</w:t>
            </w:r>
          </w:p>
        </w:tc>
        <w:tc>
          <w:tcPr>
            <w:tcW w:w="2600" w:type="dxa"/>
            <w:vAlign w:val="bottom"/>
          </w:tcPr>
          <w:p>
            <w:pPr>
              <w:spacing w:after="0"/>
              <w:rPr>
                <w:sz w:val="18"/>
                <w:szCs w:val="18"/>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680" w:type="dxa"/>
            <w:vAlign w:val="bottom"/>
          </w:tcPr>
          <w:p>
            <w:pPr>
              <w:spacing w:after="0"/>
              <w:rPr>
                <w:sz w:val="18"/>
                <w:szCs w:val="18"/>
                <w:color w:val="auto"/>
              </w:rPr>
            </w:pPr>
          </w:p>
        </w:tc>
        <w:tc>
          <w:tcPr>
            <w:tcW w:w="1540" w:type="dxa"/>
            <w:vAlign w:val="bottom"/>
          </w:tcPr>
          <w:p>
            <w:pPr>
              <w:jc w:val="right"/>
              <w:ind w:right="601"/>
              <w:spacing w:after="0"/>
              <w:rPr>
                <w:sz w:val="20"/>
                <w:szCs w:val="20"/>
                <w:color w:val="auto"/>
              </w:rPr>
            </w:pPr>
            <w:r>
              <w:rPr>
                <w:rFonts w:ascii="Arial" w:cs="Arial" w:eastAsia="Arial" w:hAnsi="Arial"/>
                <w:sz w:val="16"/>
                <w:szCs w:val="16"/>
                <w:color w:val="auto"/>
              </w:rPr>
              <w:t>(2)</w:t>
            </w: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30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266</w:t>
            </w:r>
          </w:p>
        </w:tc>
      </w:tr>
      <w:tr>
        <w:trPr>
          <w:trHeight w:val="209"/>
        </w:trPr>
        <w:tc>
          <w:tcPr>
            <w:tcW w:w="3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260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411</w:t>
            </w:r>
          </w:p>
        </w:tc>
        <w:tc>
          <w:tcPr>
            <w:tcW w:w="6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color w:val="auto"/>
              </w:rPr>
              <w:t>(38)</w:t>
            </w: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w:t>
            </w:r>
          </w:p>
        </w:tc>
        <w:tc>
          <w:tcPr>
            <w:tcW w:w="30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w:t>
            </w:r>
          </w:p>
        </w:tc>
      </w:tr>
      <w:tr>
        <w:trPr>
          <w:trHeight w:val="21"/>
        </w:trPr>
        <w:tc>
          <w:tcPr>
            <w:tcW w:w="364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at Sempra Energy increased in 2013 primarily due to:</w:t>
      </w:r>
    </w:p>
    <w:p>
      <w:pPr>
        <w:spacing w:after="0" w:line="252" w:lineRule="exact"/>
        <w:rPr>
          <w:sz w:val="20"/>
          <w:szCs w:val="20"/>
          <w:color w:val="auto"/>
        </w:rPr>
      </w:pPr>
    </w:p>
    <w:p>
      <w:pPr>
        <w:ind w:left="340" w:hanging="188"/>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$142 million higher net income, adjusted for noncash items included in earnings, in 2013 compared to 2012;</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$49 million increase in the seasonal liability related to temporary LIFO liquidation in 2013 compared to a $32 million decrease in 2012 at SoCalGas, as we discuss below; and</w:t>
      </w:r>
    </w:p>
    <w:p>
      <w:pPr>
        <w:spacing w:after="0" w:line="193" w:lineRule="exact"/>
        <w:rPr>
          <w:rFonts w:ascii="Arial" w:cs="Arial" w:eastAsia="Arial" w:hAnsi="Arial"/>
          <w:sz w:val="18"/>
          <w:szCs w:val="18"/>
          <w:color w:val="auto"/>
        </w:rPr>
      </w:pPr>
    </w:p>
    <w:p>
      <w:pPr>
        <w:ind w:left="340" w:hanging="188"/>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a $62 million decrease in settlement payments and associated legal fees in 2013 for wildfire claims at SDG&amp;E;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$33 million increase in accounts receivable in 2013 compared to a $120 million decrease in 2012.</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at SDG&amp;E decreased in 2013 primarily due to:</w:t>
      </w:r>
    </w:p>
    <w:p>
      <w:pPr>
        <w:spacing w:after="0" w:line="252" w:lineRule="exact"/>
        <w:rPr>
          <w:sz w:val="20"/>
          <w:szCs w:val="20"/>
          <w:color w:val="auto"/>
        </w:rPr>
      </w:pPr>
    </w:p>
    <w:p>
      <w:pPr>
        <w:ind w:left="340" w:hanging="188"/>
        <w:spacing w:after="0" w:line="277"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$92 million lower net income, adjusted for noncash items included in earnings, in 2013 compared to 2012 primarily due to lower deferred tax benefit due to partial reversal of the deferred tax asset from the utilization in 2013 of prior years’ net operating losses;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$62 million decrease in settlement payments and associated legal fees in 2013 for wildfire claims.</w:t>
      </w:r>
    </w:p>
    <w:p>
      <w:pPr>
        <w:sectPr>
          <w:pgSz w:w="11900" w:h="16838" w:orient="portrait"/>
          <w:cols w:equalWidth="0" w:num="1">
            <w:col w:w="11420"/>
          </w:cols>
          <w:pgMar w:left="240" w:top="122" w:right="239" w:bottom="0" w:gutter="0" w:footer="0" w:header="0"/>
        </w:sectPr>
      </w:pPr>
    </w:p>
    <w:bookmarkStart w:id="61" w:name="page62"/>
    <w:bookmarkEnd w:id="61"/>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at SoCalGas decreased in 2013 primarily due to:</w:t>
      </w:r>
    </w:p>
    <w:p>
      <w:pPr>
        <w:spacing w:after="0" w:line="252" w:lineRule="exact"/>
        <w:rPr>
          <w:sz w:val="20"/>
          <w:szCs w:val="20"/>
          <w:color w:val="auto"/>
        </w:rPr>
      </w:pPr>
    </w:p>
    <w:p>
      <w:pPr>
        <w:ind w:left="340" w:hanging="188"/>
        <w:spacing w:after="0"/>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$27 million decrease in accounts receivable in 2013 compared to a $110 million decrease in 2012;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a $6 million decrease in income taxes receivable in 2013 compared to a $26 million decrease in 2012;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jc w:val="both"/>
        <w:ind w:left="340" w:hanging="188"/>
        <w:spacing w:after="0" w:line="259"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$49 million increase in the seasonal liability related to temporary LIFO liquidation in 2013 compared to a $32 million decrease in 2012, primarily due to changes in natural gas inventory value due to increased winter withdrawals. Temporary LIFO liquidation represents the difference between the carrying value of natural gas inventory withdrawn during the period (valued by last-in, first-out method) for delivery to customers and the projected costs of replacement of that inventory during injection months.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contributions to pension and other postretirement benefit plans for the three months ended March 31, 2013.</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20" w:type="dxa"/>
            <w:vAlign w:val="bottom"/>
          </w:tcPr>
          <w:p>
            <w:pPr>
              <w:jc w:val="center"/>
              <w:ind w:right="363"/>
              <w:spacing w:after="0"/>
              <w:rPr>
                <w:sz w:val="20"/>
                <w:szCs w:val="20"/>
                <w:color w:val="auto"/>
              </w:rPr>
            </w:pPr>
            <w:r>
              <w:rPr>
                <w:rFonts w:ascii="Arial" w:cs="Arial" w:eastAsia="Arial" w:hAnsi="Arial"/>
                <w:sz w:val="14"/>
                <w:szCs w:val="14"/>
                <w:color w:val="auto"/>
              </w:rPr>
              <w:t>Other</w:t>
            </w:r>
          </w:p>
        </w:tc>
        <w:tc>
          <w:tcPr>
            <w:tcW w:w="0" w:type="dxa"/>
            <w:vAlign w:val="bottom"/>
          </w:tcPr>
          <w:p>
            <w:pPr>
              <w:spacing w:after="0"/>
              <w:rPr>
                <w:sz w:val="1"/>
                <w:szCs w:val="1"/>
                <w:color w:val="auto"/>
              </w:rPr>
            </w:pPr>
          </w:p>
        </w:tc>
      </w:tr>
      <w:tr>
        <w:trPr>
          <w:trHeight w:val="206"/>
        </w:trPr>
        <w:tc>
          <w:tcPr>
            <w:tcW w:w="422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4020" w:type="dxa"/>
            <w:vAlign w:val="bottom"/>
          </w:tcPr>
          <w:p>
            <w:pPr>
              <w:ind w:left="3100"/>
              <w:spacing w:after="0"/>
              <w:rPr>
                <w:sz w:val="20"/>
                <w:szCs w:val="20"/>
                <w:color w:val="auto"/>
              </w:rPr>
            </w:pPr>
            <w:r>
              <w:rPr>
                <w:rFonts w:ascii="Arial" w:cs="Arial" w:eastAsia="Arial" w:hAnsi="Arial"/>
                <w:sz w:val="14"/>
                <w:szCs w:val="14"/>
                <w:color w:val="auto"/>
              </w:rPr>
              <w:t>Pension</w:t>
            </w: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20" w:type="dxa"/>
            <w:vAlign w:val="bottom"/>
          </w:tcPr>
          <w:p>
            <w:pPr>
              <w:jc w:val="center"/>
              <w:ind w:right="383"/>
              <w:spacing w:after="0"/>
              <w:rPr>
                <w:sz w:val="20"/>
                <w:szCs w:val="20"/>
                <w:color w:val="auto"/>
              </w:rPr>
            </w:pPr>
            <w:r>
              <w:rPr>
                <w:rFonts w:ascii="Arial" w:cs="Arial" w:eastAsia="Arial" w:hAnsi="Arial"/>
                <w:sz w:val="14"/>
                <w:szCs w:val="14"/>
                <w:color w:val="auto"/>
              </w:rPr>
              <w:t>Postretirement</w:t>
            </w:r>
          </w:p>
        </w:tc>
        <w:tc>
          <w:tcPr>
            <w:tcW w:w="0" w:type="dxa"/>
            <w:vAlign w:val="bottom"/>
          </w:tcPr>
          <w:p>
            <w:pPr>
              <w:spacing w:after="0"/>
              <w:rPr>
                <w:sz w:val="1"/>
                <w:szCs w:val="1"/>
                <w:color w:val="auto"/>
              </w:rPr>
            </w:pPr>
          </w:p>
        </w:tc>
      </w:tr>
      <w:tr>
        <w:trPr>
          <w:trHeight w:val="164"/>
        </w:trPr>
        <w:tc>
          <w:tcPr>
            <w:tcW w:w="4220" w:type="dxa"/>
            <w:vAlign w:val="bottom"/>
            <w:tcBorders>
              <w:bottom w:val="single" w:sz="8" w:color="auto"/>
            </w:tcBorders>
            <w:vMerge w:val="continue"/>
          </w:tcPr>
          <w:p>
            <w:pPr>
              <w:spacing w:after="0"/>
              <w:rPr>
                <w:sz w:val="14"/>
                <w:szCs w:val="14"/>
                <w:color w:val="auto"/>
              </w:rPr>
            </w:pPr>
          </w:p>
        </w:tc>
        <w:tc>
          <w:tcPr>
            <w:tcW w:w="4020" w:type="dxa"/>
            <w:vAlign w:val="bottom"/>
            <w:tcBorders>
              <w:bottom w:val="single" w:sz="8" w:color="auto"/>
            </w:tcBorders>
          </w:tcPr>
          <w:p>
            <w:pPr>
              <w:ind w:left="3100"/>
              <w:spacing w:after="0" w:line="157" w:lineRule="exact"/>
              <w:rPr>
                <w:sz w:val="20"/>
                <w:szCs w:val="20"/>
                <w:color w:val="auto"/>
              </w:rPr>
            </w:pPr>
            <w:r>
              <w:rPr>
                <w:rFonts w:ascii="Arial" w:cs="Arial" w:eastAsia="Arial" w:hAnsi="Arial"/>
                <w:sz w:val="14"/>
                <w:szCs w:val="14"/>
                <w:color w:val="auto"/>
              </w:rPr>
              <w:t>Benefits</w:t>
            </w: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center"/>
              <w:ind w:right="363"/>
              <w:spacing w:after="0" w:line="157" w:lineRule="exact"/>
              <w:rPr>
                <w:sz w:val="20"/>
                <w:szCs w:val="20"/>
                <w:color w:val="auto"/>
              </w:rPr>
            </w:pPr>
            <w:r>
              <w:rPr>
                <w:rFonts w:ascii="Arial" w:cs="Arial" w:eastAsia="Arial" w:hAnsi="Arial"/>
                <w:sz w:val="14"/>
                <w:szCs w:val="14"/>
                <w:color w:val="auto"/>
              </w:rPr>
              <w:t>Benefits</w:t>
            </w:r>
          </w:p>
        </w:tc>
        <w:tc>
          <w:tcPr>
            <w:tcW w:w="0" w:type="dxa"/>
            <w:vAlign w:val="bottom"/>
          </w:tcPr>
          <w:p>
            <w:pPr>
              <w:spacing w:after="0"/>
              <w:rPr>
                <w:sz w:val="1"/>
                <w:szCs w:val="1"/>
                <w:color w:val="auto"/>
              </w:rPr>
            </w:pPr>
          </w:p>
        </w:tc>
      </w:tr>
      <w:tr>
        <w:trPr>
          <w:trHeight w:val="197"/>
        </w:trPr>
        <w:tc>
          <w:tcPr>
            <w:tcW w:w="422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4020" w:type="dxa"/>
            <w:vAlign w:val="bottom"/>
          </w:tcPr>
          <w:p>
            <w:pPr>
              <w:jc w:val="right"/>
              <w:ind w:right="1765"/>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21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6"/>
                <w:szCs w:val="16"/>
                <w:color w:val="auto"/>
              </w:rPr>
              <w:t>SDG&amp;E</w:t>
            </w:r>
          </w:p>
        </w:tc>
        <w:tc>
          <w:tcPr>
            <w:tcW w:w="4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4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4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
        </w:trPr>
        <w:tc>
          <w:tcPr>
            <w:tcW w:w="422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INVESTING ACTIVITIES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color w:val="auto"/>
              </w:rPr>
              <w:t>2013</w:t>
            </w:r>
          </w:p>
        </w:tc>
        <w:tc>
          <w:tcPr>
            <w:tcW w:w="52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color w:val="auto"/>
              </w:rPr>
              <w:t>2013 Change</w:t>
            </w:r>
          </w:p>
        </w:tc>
        <w:tc>
          <w:tcPr>
            <w:tcW w:w="62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color w:val="auto"/>
              </w:rPr>
              <w:t>2012</w:t>
            </w:r>
          </w:p>
        </w:tc>
      </w:tr>
      <w:tr>
        <w:trPr>
          <w:trHeight w:val="197"/>
        </w:trPr>
        <w:tc>
          <w:tcPr>
            <w:tcW w:w="364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2560" w:type="dxa"/>
            <w:vAlign w:val="bottom"/>
          </w:tcPr>
          <w:p>
            <w:pPr>
              <w:jc w:val="right"/>
              <w:ind w:right="883"/>
              <w:spacing w:after="0"/>
              <w:rPr>
                <w:sz w:val="20"/>
                <w:szCs w:val="20"/>
                <w:color w:val="auto"/>
              </w:rPr>
            </w:pPr>
            <w:r>
              <w:rPr>
                <w:rFonts w:ascii="Arial" w:cs="Arial" w:eastAsia="Arial" w:hAnsi="Arial"/>
                <w:sz w:val="16"/>
                <w:szCs w:val="16"/>
                <w:color w:val="auto"/>
              </w:rPr>
              <w:t>$</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6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581"/>
              <w:spacing w:after="0"/>
              <w:rPr>
                <w:sz w:val="20"/>
                <w:szCs w:val="20"/>
                <w:color w:val="auto"/>
              </w:rPr>
            </w:pPr>
            <w:r>
              <w:rPr>
                <w:rFonts w:ascii="Arial" w:cs="Arial" w:eastAsia="Arial" w:hAnsi="Arial"/>
                <w:sz w:val="16"/>
                <w:szCs w:val="16"/>
                <w:color w:val="auto"/>
              </w:rPr>
              <w:t>(697)</w:t>
            </w:r>
          </w:p>
        </w:tc>
        <w:tc>
          <w:tcPr>
            <w:tcW w:w="620" w:type="dxa"/>
            <w:vAlign w:val="bottom"/>
          </w:tcPr>
          <w:p>
            <w:pPr>
              <w:jc w:val="center"/>
              <w:spacing w:after="0"/>
              <w:rPr>
                <w:sz w:val="20"/>
                <w:szCs w:val="20"/>
                <w:color w:val="auto"/>
              </w:rPr>
            </w:pPr>
            <w:r>
              <w:rPr>
                <w:rFonts w:ascii="Arial" w:cs="Arial" w:eastAsia="Arial" w:hAnsi="Arial"/>
                <w:sz w:val="16"/>
                <w:szCs w:val="16"/>
                <w:color w:val="auto"/>
                <w:w w:val="98"/>
              </w:rPr>
              <w:t>(81)</w:t>
            </w: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(859)</w:t>
            </w: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SDG&amp;E</w:t>
            </w:r>
          </w:p>
        </w:tc>
        <w:tc>
          <w:tcPr>
            <w:tcW w:w="2560" w:type="dxa"/>
            <w:vAlign w:val="bottom"/>
          </w:tcPr>
          <w:p>
            <w:pPr>
              <w:spacing w:after="0"/>
              <w:rPr>
                <w:sz w:val="18"/>
                <w:szCs w:val="18"/>
                <w:color w:val="auto"/>
              </w:rPr>
            </w:pP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680" w:type="dxa"/>
            <w:vAlign w:val="bottom"/>
          </w:tcPr>
          <w:p>
            <w:pPr>
              <w:spacing w:after="0"/>
              <w:rPr>
                <w:sz w:val="18"/>
                <w:szCs w:val="18"/>
                <w:color w:val="auto"/>
              </w:rPr>
            </w:pPr>
          </w:p>
        </w:tc>
        <w:tc>
          <w:tcPr>
            <w:tcW w:w="1520" w:type="dxa"/>
            <w:vAlign w:val="bottom"/>
          </w:tcPr>
          <w:p>
            <w:pPr>
              <w:jc w:val="right"/>
              <w:ind w:right="581"/>
              <w:spacing w:after="0"/>
              <w:rPr>
                <w:sz w:val="20"/>
                <w:szCs w:val="20"/>
                <w:color w:val="auto"/>
              </w:rPr>
            </w:pPr>
            <w:r>
              <w:rPr>
                <w:rFonts w:ascii="Arial" w:cs="Arial" w:eastAsia="Arial" w:hAnsi="Arial"/>
                <w:sz w:val="16"/>
                <w:szCs w:val="16"/>
                <w:color w:val="auto"/>
              </w:rPr>
              <w:t>(159)</w:t>
            </w:r>
          </w:p>
        </w:tc>
        <w:tc>
          <w:tcPr>
            <w:tcW w:w="620" w:type="dxa"/>
            <w:vAlign w:val="bottom"/>
          </w:tcPr>
          <w:p>
            <w:pPr>
              <w:jc w:val="center"/>
              <w:spacing w:after="0"/>
              <w:rPr>
                <w:sz w:val="20"/>
                <w:szCs w:val="20"/>
                <w:color w:val="auto"/>
              </w:rPr>
            </w:pPr>
            <w:r>
              <w:rPr>
                <w:rFonts w:ascii="Arial" w:cs="Arial" w:eastAsia="Arial" w:hAnsi="Arial"/>
                <w:sz w:val="16"/>
                <w:szCs w:val="16"/>
                <w:color w:val="auto"/>
                <w:w w:val="98"/>
              </w:rPr>
              <w:t>(40)</w:t>
            </w:r>
          </w:p>
        </w:tc>
        <w:tc>
          <w:tcPr>
            <w:tcW w:w="30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(399)</w:t>
            </w:r>
          </w:p>
        </w:tc>
      </w:tr>
      <w:tr>
        <w:trPr>
          <w:trHeight w:val="209"/>
        </w:trPr>
        <w:tc>
          <w:tcPr>
            <w:tcW w:w="3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256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(422)</w:t>
            </w:r>
          </w:p>
        </w:tc>
        <w:tc>
          <w:tcPr>
            <w:tcW w:w="6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21"/>
              <w:spacing w:after="0"/>
              <w:rPr>
                <w:sz w:val="20"/>
                <w:szCs w:val="20"/>
                <w:color w:val="auto"/>
              </w:rPr>
            </w:pPr>
            <w:r>
              <w:rPr>
                <w:rFonts w:ascii="Arial" w:cs="Arial" w:eastAsia="Arial" w:hAnsi="Arial"/>
                <w:sz w:val="16"/>
                <w:szCs w:val="16"/>
                <w:color w:val="auto"/>
              </w:rPr>
              <w:t>57</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16</w:t>
            </w:r>
          </w:p>
        </w:tc>
        <w:tc>
          <w:tcPr>
            <w:tcW w:w="30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w:t>
            </w:r>
          </w:p>
        </w:tc>
      </w:tr>
      <w:tr>
        <w:trPr>
          <w:trHeight w:val="21"/>
        </w:trPr>
        <w:tc>
          <w:tcPr>
            <w:tcW w:w="36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 at Sempra Energy decreased in 2013 primarily due to:</w:t>
      </w:r>
    </w:p>
    <w:p>
      <w:pPr>
        <w:spacing w:after="0" w:line="252" w:lineRule="exact"/>
        <w:rPr>
          <w:sz w:val="20"/>
          <w:szCs w:val="20"/>
          <w:color w:val="auto"/>
        </w:rPr>
      </w:pPr>
    </w:p>
    <w:p>
      <w:pPr>
        <w:ind w:left="340" w:hanging="188"/>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$371 million of proceeds received from Sempra Natural Gas’ 2013 sale of a 625-MW block of its Mesquite Power plant;</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$280 million decrease in capital expenditures;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$43 million invested in the Flat Ridge 2 Wind Farm in 2012.</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4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Cash used in investing activities at SDG&amp;E decreased in 2013 primarily due to a $161 million decrease in capital expenditures, primarily due to the completion of the Sunrise Powerlink project in June 2012.</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 at SoCalGas increased in 2013 due to:</w:t>
      </w:r>
    </w:p>
    <w:p>
      <w:pPr>
        <w:spacing w:after="0" w:line="252" w:lineRule="exact"/>
        <w:rPr>
          <w:sz w:val="20"/>
          <w:szCs w:val="20"/>
          <w:color w:val="auto"/>
        </w:rPr>
      </w:pPr>
    </w:p>
    <w:p>
      <w:pPr>
        <w:ind w:left="340" w:hanging="188"/>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$43 million higher increase in the amount advanced to Sempra Energy in 2013 as compared to 2012;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$14 million increase in capital expenditures.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CONSTRUCTION EXPENDITURES AND INVESTMENTS</w:t>
      </w:r>
    </w:p>
    <w:p>
      <w:pPr>
        <w:spacing w:after="0" w:line="2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amounts and timing of capital expenditures are generally subject to approvals by the CPUC, the Federal Energy Regulatory Commission (FERC) and other regulatory bodies. However, in 2013, we expect to make annual capital expenditures and investments of approximately $3.3 billion. These expenditures include</w:t>
      </w:r>
    </w:p>
    <w:p>
      <w:pPr>
        <w:spacing w:after="0" w:line="208" w:lineRule="exact"/>
        <w:rPr>
          <w:sz w:val="20"/>
          <w:szCs w:val="20"/>
          <w:color w:val="auto"/>
        </w:rPr>
      </w:pPr>
    </w:p>
    <w:p>
      <w:pPr>
        <w:ind w:left="340" w:hanging="188"/>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$2.5 billion at the California Utilities for capital projects and plant improvements ($1.5 billion at SDG&amp;E and $1.0 billion at SoCalGas)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$800 million at our other subsidiaries for capital projects in Mexico and South America, and development of natural gas and renewable generation</w:t>
      </w:r>
    </w:p>
    <w:p>
      <w:pPr>
        <w:sectPr>
          <w:pgSz w:w="11900" w:h="16838" w:orient="portrait"/>
          <w:cols w:equalWidth="0" w:num="1">
            <w:col w:w="11420"/>
          </w:cols>
          <w:pgMar w:left="240" w:top="366" w:right="239" w:bottom="0" w:gutter="0" w:footer="0" w:header="0"/>
        </w:sectPr>
      </w:pPr>
    </w:p>
    <w:bookmarkStart w:id="62" w:name="page63"/>
    <w:bookmarkEnd w:id="62"/>
    <w:p>
      <w:pPr>
        <w:ind w:left="340"/>
        <w:spacing w:after="0"/>
        <w:rPr>
          <w:sz w:val="20"/>
          <w:szCs w:val="20"/>
          <w:color w:val="auto"/>
        </w:rPr>
      </w:pPr>
      <w:r>
        <w:rPr>
          <w:rFonts w:ascii="Arial" w:cs="Arial" w:eastAsia="Arial" w:hAnsi="Arial"/>
          <w:sz w:val="18"/>
          <w:szCs w:val="18"/>
          <w:color w:val="auto"/>
        </w:rPr>
        <w:t>projects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California Utilities’ 2013 planned capital expenditures and investments include</w:t>
      </w:r>
    </w:p>
    <w:p>
      <w:pPr>
        <w:spacing w:after="0" w:line="252" w:lineRule="exact"/>
        <w:rPr>
          <w:sz w:val="20"/>
          <w:szCs w:val="20"/>
          <w:color w:val="auto"/>
        </w:rPr>
      </w:pPr>
    </w:p>
    <w:p>
      <w:pPr>
        <w:ind w:left="340" w:hanging="188"/>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$550 million for improvements to SDG&amp;E’s natural gas and electric distribution systems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$300 million for SDG&amp;E’s renewable energy projects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$300 million for improvements to SDG&amp;E’s electric transmission systems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$290 million at SDG&amp;E for substation expansions (transmission)</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$80 million for SDG&amp;E’s electric generation plants and equipment</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$730 million for improvements to SoCalGas’ distribution and transmission systems, and for pipeline safety</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$220 million for SoCalGas’ advanced metering infrastructure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$70 million for SoCalGas’ underground natural gas storage fields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The California Utilities expect to finance these expenditures and investments with cash flows from operations, available funds and debt issuances.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In 2013, the expected capital expenditures and investments of approximately $800 million at our other subsidiaries include</w:t>
      </w:r>
    </w:p>
    <w:p>
      <w:pPr>
        <w:spacing w:after="0" w:line="200" w:lineRule="exact"/>
        <w:rPr>
          <w:sz w:val="20"/>
          <w:szCs w:val="20"/>
          <w:color w:val="auto"/>
        </w:rPr>
      </w:pPr>
    </w:p>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Sempra South American Utilities</w:t>
      </w:r>
    </w:p>
    <w:p>
      <w:pPr>
        <w:spacing w:after="0" w:line="252" w:lineRule="exact"/>
        <w:rPr>
          <w:sz w:val="20"/>
          <w:szCs w:val="20"/>
          <w:color w:val="auto"/>
        </w:rPr>
      </w:pPr>
    </w:p>
    <w:p>
      <w:pPr>
        <w:ind w:left="660" w:right="20" w:hanging="184"/>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approximately $150 million to $200 million for capital projects in South America (approximately $100 million to $150 million in Peru and approximately $50 million in Chile)</w:t>
      </w: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Sempra Mexico</w:t>
      </w:r>
    </w:p>
    <w:p>
      <w:pPr>
        <w:spacing w:after="0" w:line="252" w:lineRule="exact"/>
        <w:rPr>
          <w:sz w:val="20"/>
          <w:szCs w:val="20"/>
          <w:color w:val="auto"/>
        </w:rPr>
      </w:pPr>
    </w:p>
    <w:p>
      <w:pPr>
        <w:ind w:left="660" w:hanging="184"/>
        <w:spacing w:after="0" w:line="27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approximately $425 million to $475 million for capital projects in Mexico, including approximately $350 million for the development of natural gas pipeline projects developed solely by Sempra Mexico</w:t>
      </w:r>
    </w:p>
    <w:p>
      <w:pPr>
        <w:spacing w:after="0" w:line="197" w:lineRule="exact"/>
        <w:rPr>
          <w:rFonts w:ascii="Arial" w:cs="Arial" w:eastAsia="Arial" w:hAnsi="Arial"/>
          <w:sz w:val="18"/>
          <w:szCs w:val="18"/>
          <w:color w:val="auto"/>
        </w:rPr>
      </w:pPr>
    </w:p>
    <w:p>
      <w:pPr>
        <w:ind w:left="660" w:hanging="184"/>
        <w:spacing w:after="0" w:line="308" w:lineRule="auto"/>
        <w:tabs>
          <w:tab w:leader="none" w:pos="6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approximately $330 million of expenditures for pipeline projects within our joint venture with PEMEX. We expect expenditures for projects done within the joint venture to be funded by the joint venture’s cash flows from operations without additional contributions from its partners</w:t>
      </w:r>
    </w:p>
    <w:p>
      <w:pPr>
        <w:spacing w:after="0" w:line="200" w:lineRule="exact"/>
        <w:rPr>
          <w:sz w:val="20"/>
          <w:szCs w:val="20"/>
          <w:color w:val="auto"/>
        </w:rPr>
      </w:pPr>
    </w:p>
    <w:p>
      <w:pPr>
        <w:spacing w:after="0" w:line="2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Sempra Renewables</w:t>
      </w:r>
    </w:p>
    <w:p>
      <w:pPr>
        <w:spacing w:after="0" w:line="25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 approximately $50 million for investment in the third phase of Copper Mountain Solar, a 250-MW solar project located near Boulder City, Nevada</w:t>
      </w:r>
    </w:p>
    <w:p>
      <w:pPr>
        <w:spacing w:after="0" w:line="200" w:lineRule="exact"/>
        <w:rPr>
          <w:sz w:val="20"/>
          <w:szCs w:val="20"/>
          <w:color w:val="auto"/>
        </w:rPr>
      </w:pPr>
    </w:p>
    <w:p>
      <w:pPr>
        <w:spacing w:after="0" w:line="31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Sempra Natural Gas</w:t>
      </w:r>
    </w:p>
    <w:p>
      <w:pPr>
        <w:spacing w:after="0" w:line="252" w:lineRule="exact"/>
        <w:rPr>
          <w:sz w:val="20"/>
          <w:szCs w:val="20"/>
          <w:color w:val="auto"/>
        </w:rPr>
      </w:pPr>
    </w:p>
    <w:p>
      <w:pPr>
        <w:ind w:left="660" w:right="20" w:hanging="184"/>
        <w:spacing w:after="0" w:line="277"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approximately $100 million for development of natural gas projects, including approximately $50 million for natural gas storage at Bay Gas and Mississippi Hub</w:t>
      </w:r>
    </w:p>
    <w:p>
      <w:pPr>
        <w:spacing w:after="0" w:line="19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Capital expenditure amounts include capitalized interest. At the California Utilities, the amounts also include the portion of AFUDC related to debt, but exclude the portion of AFUDC related to equity. We provide further details about AFUDC in Note 1 of the Notes to Consolidated Financial Statements in the Annual Report.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FINANCING ACTIVITIES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2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color w:val="auto"/>
              </w:rPr>
              <w:t>2013</w:t>
            </w:r>
          </w:p>
        </w:tc>
        <w:tc>
          <w:tcPr>
            <w:tcW w:w="54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jc w:val="right"/>
              <w:ind w:right="601"/>
              <w:spacing w:after="0"/>
              <w:rPr>
                <w:sz w:val="20"/>
                <w:szCs w:val="20"/>
                <w:color w:val="auto"/>
              </w:rPr>
            </w:pPr>
            <w:r>
              <w:rPr>
                <w:rFonts w:ascii="Arial" w:cs="Arial" w:eastAsia="Arial" w:hAnsi="Arial"/>
                <w:sz w:val="14"/>
                <w:szCs w:val="14"/>
                <w:color w:val="auto"/>
              </w:rPr>
              <w:t>2013 Change</w:t>
            </w:r>
          </w:p>
        </w:tc>
        <w:tc>
          <w:tcPr>
            <w:tcW w:w="4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color w:val="auto"/>
              </w:rPr>
              <w:t>2012</w:t>
            </w:r>
          </w:p>
        </w:tc>
      </w:tr>
      <w:tr>
        <w:trPr>
          <w:trHeight w:val="224"/>
        </w:trPr>
        <w:tc>
          <w:tcPr>
            <w:tcW w:w="392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3020" w:type="dxa"/>
            <w:vAlign w:val="bottom"/>
          </w:tcPr>
          <w:p>
            <w:pPr>
              <w:jc w:val="right"/>
              <w:ind w:right="1043"/>
              <w:spacing w:after="0"/>
              <w:rPr>
                <w:sz w:val="20"/>
                <w:szCs w:val="20"/>
                <w:color w:val="auto"/>
              </w:rPr>
            </w:pPr>
            <w:r>
              <w:rPr>
                <w:rFonts w:ascii="Arial" w:cs="Arial" w:eastAsia="Arial" w:hAnsi="Arial"/>
                <w:sz w:val="16"/>
                <w:szCs w:val="16"/>
                <w:color w:val="auto"/>
              </w:rPr>
              <w:t>$</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320</w:t>
            </w:r>
          </w:p>
        </w:tc>
        <w:tc>
          <w:tcPr>
            <w:tcW w:w="4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740" w:type="dxa"/>
            <w:vAlign w:val="bottom"/>
            <w:tcBorders>
              <w:right w:val="single" w:sz="8" w:color="auto"/>
            </w:tcBorders>
          </w:tcPr>
          <w:p>
            <w:pPr>
              <w:jc w:val="right"/>
              <w:ind w:right="461"/>
              <w:spacing w:after="0"/>
              <w:rPr>
                <w:sz w:val="20"/>
                <w:szCs w:val="20"/>
                <w:color w:val="auto"/>
              </w:rPr>
            </w:pPr>
            <w:r>
              <w:rPr>
                <w:rFonts w:ascii="Arial" w:cs="Arial" w:eastAsia="Arial" w:hAnsi="Arial"/>
                <w:sz w:val="16"/>
                <w:szCs w:val="16"/>
                <w:color w:val="auto"/>
              </w:rPr>
              <w:t>10</w:t>
            </w:r>
          </w:p>
        </w:tc>
        <w:tc>
          <w:tcPr>
            <w:tcW w:w="4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310</w:t>
            </w:r>
          </w:p>
        </w:tc>
      </w:tr>
      <w:tr>
        <w:trPr>
          <w:trHeight w:val="216"/>
        </w:trPr>
        <w:tc>
          <w:tcPr>
            <w:tcW w:w="3920" w:type="dxa"/>
            <w:vAlign w:val="bottom"/>
          </w:tcPr>
          <w:p>
            <w:pPr>
              <w:spacing w:after="0"/>
              <w:rPr>
                <w:sz w:val="20"/>
                <w:szCs w:val="20"/>
                <w:color w:val="auto"/>
              </w:rPr>
            </w:pPr>
            <w:r>
              <w:rPr>
                <w:rFonts w:ascii="Arial" w:cs="Arial" w:eastAsia="Arial" w:hAnsi="Arial"/>
                <w:sz w:val="16"/>
                <w:szCs w:val="16"/>
                <w:color w:val="auto"/>
              </w:rPr>
              <w:t>SDG&amp;E</w:t>
            </w:r>
          </w:p>
        </w:tc>
        <w:tc>
          <w:tcPr>
            <w:tcW w:w="3020" w:type="dxa"/>
            <w:vAlign w:val="bottom"/>
          </w:tcPr>
          <w:p>
            <w:pPr>
              <w:spacing w:after="0"/>
              <w:rPr>
                <w:sz w:val="18"/>
                <w:szCs w:val="18"/>
                <w:color w:val="auto"/>
              </w:rPr>
            </w:pP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460" w:type="dxa"/>
            <w:vAlign w:val="bottom"/>
          </w:tcPr>
          <w:p>
            <w:pPr>
              <w:spacing w:after="0"/>
              <w:rPr>
                <w:sz w:val="18"/>
                <w:szCs w:val="18"/>
                <w:color w:val="auto"/>
              </w:rPr>
            </w:pPr>
          </w:p>
        </w:tc>
        <w:tc>
          <w:tcPr>
            <w:tcW w:w="1740" w:type="dxa"/>
            <w:vAlign w:val="bottom"/>
            <w:tcBorders>
              <w:right w:val="single" w:sz="8" w:color="auto"/>
            </w:tcBorders>
          </w:tcPr>
          <w:p>
            <w:pPr>
              <w:jc w:val="right"/>
              <w:ind w:right="401"/>
              <w:spacing w:after="0"/>
              <w:rPr>
                <w:sz w:val="20"/>
                <w:szCs w:val="20"/>
                <w:color w:val="auto"/>
              </w:rPr>
            </w:pPr>
            <w:r>
              <w:rPr>
                <w:rFonts w:ascii="Arial" w:cs="Arial" w:eastAsia="Arial" w:hAnsi="Arial"/>
                <w:sz w:val="16"/>
                <w:szCs w:val="16"/>
                <w:color w:val="auto"/>
              </w:rPr>
              <w:t>(248)</w:t>
            </w:r>
          </w:p>
        </w:tc>
        <w:tc>
          <w:tcPr>
            <w:tcW w:w="4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243</w:t>
            </w:r>
          </w:p>
        </w:tc>
      </w:tr>
      <w:tr>
        <w:trPr>
          <w:trHeight w:val="209"/>
        </w:trPr>
        <w:tc>
          <w:tcPr>
            <w:tcW w:w="3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30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right"/>
              <w:ind w:right="461"/>
              <w:spacing w:after="0"/>
              <w:rPr>
                <w:sz w:val="20"/>
                <w:szCs w:val="20"/>
                <w:color w:val="auto"/>
              </w:rPr>
            </w:pPr>
            <w:r>
              <w:rPr>
                <w:rFonts w:ascii="Arial" w:cs="Arial" w:eastAsia="Arial" w:hAnsi="Arial"/>
                <w:sz w:val="16"/>
                <w:szCs w:val="16"/>
                <w:color w:val="auto"/>
              </w:rPr>
              <w:t>50</w:t>
            </w:r>
          </w:p>
        </w:tc>
        <w:tc>
          <w:tcPr>
            <w:tcW w:w="4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r>
      <w:tr>
        <w:trPr>
          <w:trHeight w:val="21"/>
        </w:trPr>
        <w:tc>
          <w:tcPr>
            <w:tcW w:w="392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financing activities at Sempra Energy increased in 2013 primarily due to:</w:t>
      </w:r>
    </w:p>
    <w:p>
      <w:pPr>
        <w:sectPr>
          <w:pgSz w:w="11900" w:h="16838" w:orient="portrait"/>
          <w:cols w:equalWidth="0" w:num="1">
            <w:col w:w="11420"/>
          </w:cols>
          <w:pgMar w:left="240" w:top="125" w:right="239" w:bottom="0" w:gutter="0" w:footer="0" w:header="0"/>
        </w:sectPr>
      </w:pPr>
    </w:p>
    <w:bookmarkStart w:id="63" w:name="page64"/>
    <w:bookmarkEnd w:id="63"/>
    <w:p>
      <w:pPr>
        <w:ind w:left="340" w:hanging="188"/>
        <w:spacing w:after="0"/>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$574 million net proceeds received from the sale of noncontrolling interests at Sempra Mexico;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$181 million lower decrease in short-term debt (a $43 million decrease in 2013 compared to $224 million in 2012);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jc w:val="both"/>
        <w:ind w:left="340" w:hanging="188"/>
        <w:spacing w:after="0" w:line="264" w:lineRule="auto"/>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$400 million lower issuances of debt, primarily due to a decrease in issuances of long-term debt of $470 million ($408 million in 2013, compared to $878 million in 2012), offset by an increase in issuances of commercial paper with maturities greater than 90 days of $70 million ($200 million in 2013 compared to $130 million in 2012);</w:t>
      </w:r>
    </w:p>
    <w:p>
      <w:pPr>
        <w:spacing w:after="0" w:line="208" w:lineRule="exact"/>
        <w:rPr>
          <w:rFonts w:ascii="Arial" w:cs="Arial" w:eastAsia="Arial" w:hAnsi="Arial"/>
          <w:sz w:val="18"/>
          <w:szCs w:val="18"/>
          <w:color w:val="auto"/>
        </w:rPr>
      </w:pPr>
    </w:p>
    <w:p>
      <w:pPr>
        <w:jc w:val="both"/>
        <w:ind w:left="340" w:hanging="188"/>
        <w:spacing w:after="0" w:line="264" w:lineRule="auto"/>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$298 million higher debt payments, including $386 million higher payments on long-term debt ($405 million in 2013, compared to $19 million in 2012), offset by $88 million lower payments of commercial paper with maturities greater than 90 days ($240 million in 2013, compared to $328 million in 2012); and</w:t>
      </w:r>
    </w:p>
    <w:p>
      <w:pPr>
        <w:spacing w:after="0" w:line="208" w:lineRule="exact"/>
        <w:rPr>
          <w:rFonts w:ascii="Arial" w:cs="Arial" w:eastAsia="Arial" w:hAnsi="Arial"/>
          <w:sz w:val="18"/>
          <w:szCs w:val="18"/>
          <w:color w:val="auto"/>
        </w:rPr>
      </w:pPr>
    </w:p>
    <w:p>
      <w:pPr>
        <w:ind w:left="340" w:hanging="188"/>
        <w:spacing w:after="0"/>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$30 million increase in common dividends paid primarily due to an increase in the dividend rate.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4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change in SDG&amp;E’s cash flows from financing activities in 2013 as compared to 2012 is due to the issuance of $250 million of 4.30-percent first mortgage bonds in the first quarter of 2012 with no new debt issuances occurring during the first quarter of 2013.</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4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change in SoCalGas’ cash flows from financing activities was due to the declaration and payment of a $50 million dividend on common stock in the first quarter of 2012 with no declaration or payment of common dividends in the first quarter of 2013.</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4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discuss significant changes to contractual commitments at Sempra Energy, SDG&amp;E and SoCalGas in Note 10 of the Notes to Condensed Consolidated Financial Statements herein.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credit ratings of Sempra Energy, SDG&amp;E and SoCalGas remained at investment grade levels during the first three months of 2013.</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credit ratings may affect the rates at which borrowings bear interest and of commitment fees on available unused credit. We provide additional information about our credit ratings at Sempra Energy, SDG&amp;E and SoCalGas in “Management’s Discussion and Analysis of Financial Condition and Results of Operations”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518795</wp:posOffset>
            </wp:positionV>
            <wp:extent cx="726376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color w:val="auto"/>
        </w:rPr>
        <w:t>FACTORS INFLUENCING FUTURE PERFORMANCE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OVERVIEW</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California Utilities</w:t>
      </w:r>
    </w:p>
    <w:p>
      <w:pPr>
        <w:spacing w:after="0" w:line="24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California Utilities’ operations have historically provided relatively stable earnings and liquidity. However, for the next few years, SoCalGas intends to limit its common stock dividends to reinvest its earnings in significant capital projects.</w:t>
      </w:r>
    </w:p>
    <w:p>
      <w:pPr>
        <w:spacing w:after="0" w:line="19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California Utilities’ performance will depend primarily on the ratemaking and regulatory process, environmental regulations, economic conditions, actions by the California legislature to address state budget concerns and the changing energy marketplace. Their performance will also depend on the successful completion of capital projects that we discuss in various sections of this report and below. We discuss certain regulatory matters below and in Note 9 of the Notes to Condensed Consolidated Financial Statements herein and in Note 14 of the Notes to Consolidated Financial Statements in the Annual Report.</w:t>
      </w:r>
    </w:p>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SDG&amp;E may also be significantly impacted by matters at San Onofre Nuclear Generating Station (SONGS). We discuss SONGS below and in Notes 9 and 10 of the Notes to Condensed Consolidated Financial Statements herein, in Notes 6, 14 and 15 of the Notes to Consolidated Financial Statements in the Annual Report and in “Risk Factors” in our Annual Report.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South American Utilities</w:t>
      </w:r>
    </w:p>
    <w:p>
      <w:pPr>
        <w:sectPr>
          <w:pgSz w:w="11900" w:h="16838" w:orient="portrait"/>
          <w:cols w:equalWidth="0" w:num="1">
            <w:col w:w="11420"/>
          </w:cols>
          <w:pgMar w:left="240" w:top="125" w:right="239" w:bottom="0" w:gutter="0" w:footer="0" w:header="0"/>
        </w:sectPr>
      </w:pPr>
    </w:p>
    <w:p>
      <w:pPr>
        <w:spacing w:after="0" w:line="245"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In April 2011, Sempra South American Utilities increased its investment in two utilities in South America, Chilquinta Energía and Luz del Sur. As anticipated, the acquisition has continued to be accretive to our earnings per share. However, in connection with our increased interests in these utilities, Sempra Energy has $1 billion in goodwill on its Condensed Consolidated Balance Sheet as of March 31, 2013. Goodwill is subject to impairment testing,</w:t>
      </w:r>
    </w:p>
    <w:p>
      <w:pPr>
        <w:sectPr>
          <w:pgSz w:w="11900" w:h="16838" w:orient="portrait"/>
          <w:cols w:equalWidth="0" w:num="1">
            <w:col w:w="11420"/>
          </w:cols>
          <w:pgMar w:left="240" w:top="125" w:right="239" w:bottom="0" w:gutter="0" w:footer="0" w:header="0"/>
          <w:type w:val="continuous"/>
        </w:sectPr>
      </w:pPr>
    </w:p>
    <w:bookmarkStart w:id="64" w:name="page65"/>
    <w:bookmarkEnd w:id="64"/>
    <w:p>
      <w:pPr>
        <w:spacing w:after="0" w:line="7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annually and under other potential circumstances, which may cause its fair value to vary if differing estimates and assumptions are used in the valuation techniques applied as indicated by changing market or other conditions.</w:t>
      </w:r>
    </w:p>
    <w:p>
      <w:pPr>
        <w:spacing w:after="0" w:line="197"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We discuss the acquisition in Note 3 of the Notes to Consolidated Financial Statements in the Annual Report. Sempra South American Utilities is also expected to provide earnings from construction projects when completed and from other investments, but will require substantial funding for these investments.</w:t>
      </w:r>
    </w:p>
    <w:p>
      <w:pPr>
        <w:spacing w:after="0" w:line="20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Revenues at Chilquinta Energía are based on tariffs set by the National Energy Commission every four years. Rates for four-year periods related to distribution and transmission are reviewed separately on an alternating basis every two years. In late 2011, Chilquinta Energía initiated the process to establish its distribution rates for the period from November 2012 to October 2016. This process was completed in November 2012, with rates published on April 2, 2013, and tariff adjustments going into effect retroactively from November 2012. The next review is scheduled to be completed, with tariff adjustments also going into effect, in November 2014 for transmission, and again for distribution in November 2016.</w:t>
      </w:r>
    </w:p>
    <w:p>
      <w:pPr>
        <w:spacing w:after="0" w:line="20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Luz del Sur serves primarily regulated customers in Peru and revenues are based on rates set by the Energy and Mining Investment Supervisory Body (Organismo Supervisor de la Inversión en Energía y Minería, or OSINERGMIN). The rates are reviewed and adjusted every four years. The next review is scheduled to be completed, with rate adjustments also going into effect, in November 2013. In 2012, Luz del Sur initiated the process to establish its distribution rates subject to this review.</w:t>
      </w:r>
    </w:p>
    <w:p>
      <w:pPr>
        <w:spacing w:after="0" w:line="21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Sempra South American Utilities owns 43 percent of two Argentine natural gas holding companies, as we discuss in Note 4 of the Notes to Condensed Consolidated Financial Statements herein. We expect to dispose of this investment by the end of 2013.</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w:t>
      </w:r>
    </w:p>
    <w:p>
      <w:pPr>
        <w:spacing w:after="0" w:line="24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Sempra Mexico is expected to provide earnings from construction projects when completed and other investments, but will require substantial funding for these investments. On February 14, 2013, Sempra Mexico publicly offered and sold in Mexico $408 million U.S. equivalent fixed- and variable-rate notes. The notes and related interest are denominated in Mexican pesos. Sempra Mexico used the proceeds of the notes primarily for the repayment of $357 million of intercompany debt and also for capital projects. Sempra Mexico entered into cross-currency swaps for U.S. dollars at the time of the issuance. We discuss this financing further in Note 6 of the Notes to Condensed Consolidated Financial Statements herein.</w:t>
      </w:r>
    </w:p>
    <w:p>
      <w:pPr>
        <w:spacing w:after="0" w:line="20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In March 2013, Sempra Mexico sold common shares of a subsidiary, IEnova, in a private placement and, concurrently, in a registered public offering in Mexico, as we discuss in Note 5 of the Notes to Condensed Consolidated Financial Statements herein. The shares sold represent approximately 18.9 percent of the ownership interests in IEnova, which will reduce our earnings from Sempra Mexico and have a dilutive effect on our earnings per share. The earnings attributable to IEnova’s noncontrolling interests were $1 million for the first quarter of 2013. The approximately $574 million in net proceeds from the offerings will be used primarily for general corporate purposes and for the funding of IEnova’s current investments and ongoing expansion plans.</w:t>
      </w:r>
    </w:p>
    <w:p>
      <w:pPr>
        <w:spacing w:after="0" w:line="18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late 2012, the Mexican Federal Labor Law was amended in order to incorporate, among other things, (1) labor principles recognized by the International Labor Organization regarding non-discrimination towards women and the disabled in the labor environment, (2) three new employment arrangements (the “initial training contract,” the “contract on trial” and the “seasonal discontinuous contract”), and (3) a new subcontracting regime providing a legal framework for the contracting of employees through third parties. While we do not expect these amendments to have a material impact on Sempra Mexico, we cannot predict with certainty the potential effects from the application of this new law.</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Renewables</w:t>
      </w:r>
    </w:p>
    <w:p>
      <w:pPr>
        <w:spacing w:after="0" w:line="24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Sempra Renewables is developing and investing in renewable energy generation projects that have long-term contracts with utilities. The renewable energy projects have planned in-service dates through 2016. These projects require construction financing which has come and may come from a variety of sources including operating cash flow, project financing, low-cost financing procured under the DOE’s loan guaranty program, U.S. Treasury Department cash grants, funds from the parent, partnering in joint ventures and, potentially, other forms of equity sales. The varying costs of these alternative financing sources impact the projects’ returns.</w:t>
      </w:r>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Sempra Renewables’ Mesquite Solar 1, the first phase of Copper Mountain Solar 2, Flat Ridge 2 Wind Farm, Mehoopany Wind Farm and Auwahi Wind Farm projects were placed in service in 2012.</w:t>
      </w:r>
    </w:p>
    <w:p>
      <w:pPr>
        <w:spacing w:after="0" w:line="19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Sempra Renewables’ future performance and the demand for renewable energy is impacted by various market factors, most notably state mandated requirements to deliver a portion of total energy load from renewable energy sources. The rules governing these requirements are generally known as Renewables Portfolio Standards (RPS). Additionally, the phase out or extension of U.S. federal income tax incentives, primarily investment tax credits and production tax credits, and grant programs could significantly impact future renewable energy resource availability and investment decisions.</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March 5, 2013, the U.S. Treasury Department announced that, pursuant to the requirements of the Balanced Budget and Emergency Deficit Control Act of 1985, as amended, payments issued under Section 1603 of the American Recovery and Reinvestment Tax Act of 2009 for specified energy property in lieu of tax credits are subject to sequestration. As a result, every award made to a Section 1603 applicant on or after March 1, 2013 through September 30, 2013 will be reduced by 8.7 percent, irrespective of when the application was received by the Treasury Department. The sequestration reduction rate will be applied until September 30, 2013, at which time the sequestration rate is subject to change. In the first quarter of 2013, we reduced our U.S. Treasury grants receivable by $23 million (to $236 million at March 31, 2013) due to sequestration.</w:t>
      </w:r>
    </w:p>
    <w:p>
      <w:pPr>
        <w:spacing w:after="0" w:line="205"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Sempra Renewables is a joint venture partner with BP in the Fowler Ridge 2, Cedar Creek 2, Flat Ridge 2, Mehoopany and Auwahi wind farms. BP has indicated that they may divest their wind generation business, which divestiture may include their investments in one or more of these joint ventures.</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Natural Gas</w:t>
      </w:r>
    </w:p>
    <w:p>
      <w:pPr>
        <w:sectPr>
          <w:pgSz w:w="11900" w:h="16915" w:orient="portrait"/>
          <w:cols w:equalWidth="0" w:num="1">
            <w:col w:w="11420"/>
          </w:cols>
          <w:pgMar w:left="240" w:top="125" w:right="239" w:bottom="0" w:gutter="0" w:footer="0" w:header="0"/>
        </w:sectPr>
      </w:pPr>
    </w:p>
    <w:p>
      <w:pPr>
        <w:spacing w:after="0" w:line="24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In February 2013, Sempra Natural Gas completed the sale of one 625-MW block of its Mesquite Power plant to the Salt River Project Agricultural Improvement and Power District for $371 million in cash.</w:t>
      </w:r>
    </w:p>
    <w:p>
      <w:pPr>
        <w:sectPr>
          <w:pgSz w:w="11900" w:h="16915" w:orient="portrait"/>
          <w:cols w:equalWidth="0" w:num="1">
            <w:col w:w="11420"/>
          </w:cols>
          <w:pgMar w:left="240" w:top="125" w:right="239" w:bottom="0" w:gutter="0" w:footer="0" w:header="0"/>
          <w:type w:val="continuous"/>
        </w:sectPr>
      </w:pPr>
    </w:p>
    <w:bookmarkStart w:id="65" w:name="page66"/>
    <w:bookmarkEnd w:id="65"/>
    <w:p>
      <w:pPr>
        <w:ind w:right="120"/>
        <w:spacing w:after="0" w:line="259" w:lineRule="auto"/>
        <w:rPr>
          <w:sz w:val="20"/>
          <w:szCs w:val="20"/>
          <w:color w:val="auto"/>
        </w:rPr>
      </w:pPr>
      <w:r>
        <w:rPr>
          <w:rFonts w:ascii="Arial" w:cs="Arial" w:eastAsia="Arial" w:hAnsi="Arial"/>
          <w:sz w:val="18"/>
          <w:szCs w:val="18"/>
          <w:color w:val="auto"/>
        </w:rPr>
        <w:t>In June 2011, Sempra Natural Gas entered into a 25-year power contract with various members of Southwest Public Power Resources Group (SPPR Group), an association of 40 not-for-profit utilities in Arizona and southern Nevada. The contract was expanded to a total of 270 MW in February 2013. Under the terms of the agreement, Sempra Natural Gas will provide 21 participating SPPR Group members with firm, day-ahead dispatchable power delivered to the Palo Verde hub beginning in January 2015.</w:t>
      </w:r>
    </w:p>
    <w:p>
      <w:pPr>
        <w:spacing w:after="0" w:line="21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Sempra Natural Gas is currently progressing with plans for a development project to utilize its Cameron LNG terminal for the liquefaction of natural gas and export of LNG. The objective is to obtain long-term contracts for liquefaction services that allow us to fully utilize our existing regasification infrastructure while minimizing our future additional capital investment. The liquefaction facility will utilize Cameron LNG’s existing facilities, including two marine berths, three LNG storage tanks, and vaporization capability of 1.5 Bcf per day. In January 2012, the DOE approved Cameron LNG’s application for a license to export LNG to Free Trade Agreement countries. The authorization to export LNG to countries with which the U.S. does not have a Free Trade Agreement is pending review by the DOE.</w:t>
      </w:r>
    </w:p>
    <w:p>
      <w:pPr>
        <w:spacing w:after="0" w:line="22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 2012, Sempra Natural Gas signed commercial development agreements with Mitsubishi Corporation, Mitsui &amp; Co., Ltd., and a subsidiary of GDF SUEZ S.A. to develop a natural gas liquefaction export facility at the Cameron LNG terminal. The completed liquefaction facility is expected to be comprised of three liquefaction trains and is being designed to a nameplate capacity of 13.5 million tonnes per annum (Mtpa) of LNG and expected export capability of 12 Mtpa of LNG, or approximately 1.7 Bcf per day. Sempra Natural Gas filed for the required permits from the FERC in December 2012. In April 2013, the FERC issued a notice setting February 20, 2014 as the deadline for completing all environmental reviews and issuing a final decision. Pending regulatory approvals and the achievement of other key milestones, we now expect to make a final investment decision and start field construction in the first half of 2014. We expect commercial operations to begin for the first train in the second half of 2017, and all three trains to be completed by the end of 2018. The anticipated incremental investment in the three-train liquefaction project, subject to final design specifications, is estimated to be approximately $6 billion to $7 billion, excluding capitalized interest and other financing costs, the majority of which will be project-financed and the balance provided by the project partners in a joint-venture arrangement. The total cost of the facility, including the cost of our original facility plus interest during construction, financing costs and required reserves, is estimated to be approximately $9 billion to $10 billion.</w:t>
      </w:r>
    </w:p>
    <w:p>
      <w:pPr>
        <w:spacing w:after="0" w:line="2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Sempra Natural Gas’ existing assets will provide substantially all of its capital contribution to the joint venture, however we may contribute up to an additional $600 million to the joint venture, which may come from our share of cash flows from operations from the first and second trains. We expect to own 50.2 percent of the joint venture and the three other joint venture partners are expected to each own 16.6 percent.</w:t>
      </w:r>
    </w:p>
    <w:p>
      <w:pPr>
        <w:spacing w:after="0" w:line="208"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commercial development agreements bind the parties to fund certain development costs, including design, permitting and engineering, as well as to negotiate in good faith 20-year tolling agreements, based on agreed-upon key terms outlined in the commercial development agreements. Each tolling agreement for the respective customers would be for the export of approximately 4 Mtpa.</w:t>
      </w:r>
    </w:p>
    <w:p>
      <w:pPr>
        <w:spacing w:after="0" w:line="20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Sempra Natural Gas owns a 25-percent interest in Rockies Express Pipeline LLC (Rockies Express), a partnership that operates a natural gas pipeline, the Rockies Express Pipeline (REX), that links producing areas in the Rocky Mountains region to the upper Midwest and the eastern United States. We recorded noncash, after-tax impairment charges of $239 million in 2012 to write down our investment in the partnership. Sempra Rockies Marketing, a subsidiary of Sempra Natural Gas, has an agreement for capacity on the Rockies Express Pipeline through November 2019. The capacity costs are offset by revenues from releases of the capacity to RBS Sempra Commodities prior to 2011, and to J.P. Morgan Ventures starting in 2011, and other third parties. Certain capacity release commitments will conclude during 2013. Accordingly, new contracting activity related to that capacity may not be sufficient to offset all of our capacity payments to REX. Our carrying value in Rockies Express as of March 31, 2013 is $348 million. We discuss our investment in Rockies Express and the impairment charges in Notes 4 and 11 of the Notes to Consolidated Financial Statements in the Annual Report.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Commodities</w:t>
      </w:r>
    </w:p>
    <w:p>
      <w:pPr>
        <w:spacing w:after="0" w:line="24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three separate transactions in 2010 and one in early 2011, we and RBS sold substantially all of the businesses and assets of our commodities-marketing partnership. The investment balance of $126 million at March 31, 2013 reflects remaining distributions expected to be received from the partnership as it is dissolved. The timing and amount of distributions may be impacted by the matters we discuss related to RBS Sempra Commodities in Note 10 of the Notes to Condensed Consolidated Financial Statements herein under “Other Litigation.” In addition, amounts may be retained by the partnership for an extended period of time to help offset unanticipated future general and administrative costs necessary to complete the dissolution of the partnership. We provide additional information in Notes 4, 6 and 10 of the Notes to Condensed Consolidated Financial Statements herein and in Notes 4, 5 and 15 of the Notes to Consolidated Financial Statements in the Annual Report.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UTILITIES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Joint Matters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Rate Case (GRC)</w:t>
      </w:r>
    </w:p>
    <w:p>
      <w:pPr>
        <w:spacing w:after="0" w:line="24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Both SDG&amp;E and SoCalGas have their 2012 General Rate Case (GRC) applications pending at the CPUC. The California Utilities filed their initial applications for the 2012 GRC in December 2010 to establish their authorized 2012 revenue requirements and the ratemaking mechanisms by which those requirements will change on an annual basis over the subsequent three-year (2013-2015) period. In July 2011, SDG&amp;E and SoCalGas filed revised applications and in February 2012, SDG&amp;E and SoCalGas filed amendments to update the July 2011 filing. The 2012 amendments revised the requested increases to their authorized revenue requirements, as compared to their 2011 authorized revenues, to $235 million at SDG&amp;E, of which $67 million is for the cost recovery of incremental wildfire insurance premiums, and to $268 million at SoCalGas. The Division of Ratepayer Advocates recommended that the CPUC reduce the utilities’ revenue requirements in 2012 by approximately 5 percent compared to 2011.</w:t>
      </w:r>
    </w:p>
    <w:p>
      <w:pPr>
        <w:spacing w:after="0" w:line="2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Because a final decision for the 2012 GRC was not issued in 2012, the California Utilities have recorded revenues in 2012 and 2013 based on levels authorized in 2011 plus, for SDG&amp;E, consistent with the recent CPUC decisions for cost recovery for SDG&amp;E’s incremental wildfire insurance premiums, an amount for the recovery of 2012 wildfire insurance premiums.</w:t>
      </w:r>
    </w:p>
    <w:p>
      <w:pPr>
        <w:sectPr>
          <w:pgSz w:w="11900" w:h="16838" w:orient="portrait"/>
          <w:cols w:equalWidth="0" w:num="1">
            <w:col w:w="11400"/>
          </w:cols>
          <w:pgMar w:left="240" w:top="368" w:right="259" w:bottom="96" w:gutter="0" w:footer="0" w:header="0"/>
        </w:sectPr>
      </w:pPr>
    </w:p>
    <w:bookmarkStart w:id="66" w:name="page67"/>
    <w:bookmarkEnd w:id="66"/>
    <w:p>
      <w:pPr>
        <w:ind w:right="100"/>
        <w:spacing w:after="0" w:line="293" w:lineRule="auto"/>
        <w:rPr>
          <w:sz w:val="20"/>
          <w:szCs w:val="20"/>
          <w:color w:val="auto"/>
        </w:rPr>
      </w:pPr>
      <w:r>
        <w:rPr>
          <w:rFonts w:ascii="Arial" w:cs="Arial" w:eastAsia="Arial" w:hAnsi="Arial"/>
          <w:sz w:val="16"/>
          <w:szCs w:val="16"/>
          <w:color w:val="auto"/>
        </w:rPr>
        <w:t xml:space="preserve">In March 2013, the CPUC issued a proposed draft decision that would establish a 2012 revenue requirement of $1.749 billion for SDG&amp;E and $1.952 billion for SoCalGas. This represents an increase of $135 million (8.4 percent) and $108 million (5.9 percent) over the authorized 2011 revenue requirements of SDG&amp;E and SoCalGas, respectively. The draft decision also establishes a four-year GRC period (through 2015); subsequent escalation of the adopted revenue requirements for years 2013, 2014 and 2015 using the Consumer Price Index </w:t>
      </w:r>
      <w:r>
        <w:rPr>
          <w:rFonts w:ascii="Arial" w:cs="Arial" w:eastAsia="Arial" w:hAnsi="Arial"/>
          <w:sz w:val="17"/>
          <w:szCs w:val="17"/>
          <w:color w:val="auto"/>
        </w:rPr>
        <w:t>–</w:t>
      </w:r>
      <w:r>
        <w:rPr>
          <w:rFonts w:ascii="Arial" w:cs="Arial" w:eastAsia="Arial" w:hAnsi="Arial"/>
          <w:sz w:val="16"/>
          <w:szCs w:val="16"/>
          <w:color w:val="auto"/>
        </w:rPr>
        <w:t xml:space="preserve"> Urban (CPI-U); and the continuation of the Z-Factor mechanism for qualifying cost recovery. The Z-Factor mechanism allows the California Utilities to seek cost recovery of significant cost increases, under certain circumstances, incurred between GRC filings from unforeseen events subject to a $5 million deductible per event.</w:t>
      </w:r>
    </w:p>
    <w:p>
      <w:pPr>
        <w:spacing w:after="0" w:line="19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On April 18, 2013, the California Utilities filed comments in response to the 2012 GRC PD with the CPUC recommending changes to the proposed 2012 revenue requirements, citing significant errors that should be addressed. The issues identified by the California Utilities in their filed comments equate to the 2012 GRC PD’s proposed revenue requirement being understated by $3 million and $52 million for SDG&amp;E and SoCalGas, respectively. Among the major issues in the 2012 GRC PD identified by the California Utilities in the filed comments are: 1) discrepancies between the detail in the model used by the CPUC in determining the proposed 2012 revenue requirements when compared to the language in the 2012 GRC PD; 2) recovery of amounts for the funding of pension plans that are in excess of what the current funding levels of these plans are expected to be based on current pension funding guidelines; 3) reductions for the funding of critical SoCalGas gas operations and customer service departments; and 4) the level of funding for the employees’ short-term incentive compensation plans when compared to the CPUC’s assessment of the level of total employee compensation for the California Utilities and to what has been approved in other recent California investor-owned utilities’ GRC decisions.</w:t>
      </w:r>
    </w:p>
    <w:p>
      <w:pPr>
        <w:spacing w:after="0" w:line="20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addition to the issues comprising the understatement of the 2012 GRC PD’s revenue requirement for 2012, the filed comments also identify an inconsistency in the 2012 GRC PD’s design of the proposed attrition mechanism when compared to the attrition mechanism adopted in other recent California investor-owned utilities’ GRC decisions. The 2012 GRC PD proposes the use of the CPI-U, rather than a utility-industry index, as the basis for Post Test Year escalation. The filed comments provide a comparison of what the attrition would be based on the CPI-U as compared to the attrition mechanism adopted in recent GRCs for other regulated utilities. This comparison shows that, on average over the past five years (2007 – 2012), the utility-industry index for SDG&amp;E and SoCalGas was 170 basis points (1.7 percent) and 140 basis points (1.4 percent) higher, respectively, than the CPI-U. In their filed comments, the California Utilities urge the CPUC to reject the use of the CPI-U as the index and adopt a utility-industry index or indices, similar to what was adopted for other California investor-owned utilities in their most recent GRC proceedings.</w:t>
      </w:r>
    </w:p>
    <w:p>
      <w:pPr>
        <w:spacing w:after="0" w:line="20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expect a final CPUC decision, which will be made effective retroactive to January 1, 2012, in the second quarter of 2013. The financial impact of the final CPUC decision, retroactive to January 1, 2012, will be reflected in the California Utilities’ financial statements in the period in which the final CPUC decision is issued. Because a final decision for the 2012 GRC was not issued by March 31, 2013, the California Utilities have recorded revenues in 2012 and in the first quarter of 2013 based on levels authorized in 2011 plus, for SDG&amp;E and consistent with the recent CPUC decisions for cost recovery for SDG&amp;E’s incremental wildfire insurance premiums, an amount for the recovery of 2012 wildfire insurance premiums.</w:t>
      </w:r>
    </w:p>
    <w:p>
      <w:pPr>
        <w:spacing w:after="0" w:line="20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Sempra Energy and the California Utilities will reflect the impact of the final decision, including the financial effect associated with the retroactive application to January 1, 2012, in 2013 financial results in the period in which such final decision is issued. The timing of the CPUC decision and the outcome from these proceedings will have an impact on the financial condition, operating results and cash flows of the California Utilities. If the CPUC’s final decision grants a significantly lower authorized revenue requirement, it could have a material adverse effect on the California Utilities’ cash flows, financial condition, results of operations and prospects starting in 2013 as compared to 2011. We provide additional information regarding the 2012 GRC in Note 9 of the Notes to Condensed Consolidated Financial Statements herein and in Note 14 of the Notes to the Consolidated Financial Statements in the Annual Report.</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Pipeline Operations Safety Assessments</w:t>
      </w:r>
    </w:p>
    <w:p>
      <w:pPr>
        <w:spacing w:after="0" w:line="24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Pending the outcome of the various regulatory agency evaluations of natural gas pipeline safety regulations, practices and procedures, Sempra Energy, including the California Utilities, may incur incremental expense and capital investment associated with its natural gas pipeline operations and investments. In August 2011, SoCalGas, SDG&amp;E, PG&amp;E and Southwest Gas filed implementation plans with the CPUC to test or replace all natural gas transmission pipelines that have not been pressure tested, as we discuss in Note 9 of the Notes to Condensed Consolidated Financial Statements herein. In their filing with the CPUC, the California Utilities estimated that the total cost for Phase 1 of the two-phase plan is $3.1 billion over a 10-year period. The California Utilities requested that the incremental capital investment required as a result of any approved plan be included in rate base and that cost recovery be allowed for any other incremental cost not eligible for rate-base recovery. The costs that are the subject of these plans are outside the scope of the 2012 GRC proceedings discussed above. If the CPUC were to decide that the incremental capital investment not be considered as incremental rate base outside the GRC process or that this incremental capital investment earn an ROR lower than what is otherwise authorized, it could materially adversely affect the respective company’s cash flows, financial condition, results of operations and prospects upon commencement of this program. We provide additional information in Note 14 of the Notes to Consolidated Financial Statements in the Annual Report.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 Matters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2007 Wildfire Litigation</w:t>
      </w:r>
    </w:p>
    <w:p>
      <w:pPr>
        <w:spacing w:after="0" w:line="24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regard to the 2007 wildfire litigation, SDG&amp;E’s payments for claims settlements plus funds estimated to be required for settlement of outstanding claims and legal fees total approximately $2.4 billion, which is in excess of the $1.1 billion of liability insurance coverage and the approximately $824 million recovered from third parties. However, SDG&amp;E has concluded that it is probable that it will be permitted to recover in rates a substantial portion of the reasonably incurred costs of resolving wildfire claims in excess of its liability insurance coverage and amounts recovered from third parties. Consequently, Sempra Energy and SDG&amp;E expect no significant earnings impact from the resolution of the remaining wildfire claims. As of March 31, 2013, Sempra Energy’s and SDG&amp;E’s Condensed Consolidated Balance Sheets reflect $360 million in Regulatory Assets Arising From Wildfire Litigation Costs, including $321 million related to CPUC-regulated operations and $39 million related to FERC-regulated operations, for costs incurred and the estimated settlement of pending claims. However, SDG&amp;E’s cash flow may be materially adversely affected by timing differences between the resolution of claims and recoveries in rates, which may extend over a number of years. In addition, recovery in rates will require future regulatory approval, and a failure to obtain substantial or full recovery, or any negative assessment of the likelihood of recovery, would likely have a material adverse effect on Sempra Energy’s and SDG&amp;E’s financial condition, cash flows and results of operations.</w:t>
      </w:r>
    </w:p>
    <w:p>
      <w:pPr>
        <w:spacing w:after="0" w:line="21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SDG&amp;E will continue to gather information to evaluate and assess the remaining wildfire claims and the likelihood, amount and timing of recoveries in rates and will make appropriate adjustments to wildfire reserves and the related regulatory assets as additional information becomes available.</w:t>
      </w:r>
    </w:p>
    <w:p>
      <w:pPr>
        <w:sectPr>
          <w:pgSz w:w="11900" w:h="16838" w:orient="portrait"/>
          <w:cols w:equalWidth="0" w:num="1">
            <w:col w:w="11420"/>
          </w:cols>
          <w:pgMar w:left="240" w:top="125" w:right="239" w:bottom="0" w:gutter="0" w:footer="0" w:header="0"/>
        </w:sectPr>
      </w:pPr>
    </w:p>
    <w:bookmarkStart w:id="67" w:name="page68"/>
    <w:bookmarkEnd w:id="67"/>
    <w:p>
      <w:pPr>
        <w:ind w:right="240"/>
        <w:spacing w:after="0" w:line="273" w:lineRule="auto"/>
        <w:rPr>
          <w:sz w:val="20"/>
          <w:szCs w:val="20"/>
          <w:color w:val="auto"/>
        </w:rPr>
      </w:pPr>
      <w:r>
        <w:rPr>
          <w:rFonts w:ascii="Arial" w:cs="Arial" w:eastAsia="Arial" w:hAnsi="Arial"/>
          <w:sz w:val="17"/>
          <w:szCs w:val="17"/>
          <w:color w:val="auto"/>
        </w:rPr>
        <w:t>Should SDG&amp;E conclude that recovery of excess wildfire costs in rates is no longer probable, at that time SDG&amp;E will record a charge against earnings. If SDG&amp;E had concluded that the recovery of regulatory assets related to CPUC-regulated operations was no longer probable or was less than currently estimated, as of March 31, 2013, the resulting after-tax charge against earnings would have been up to $190 million. In addition, in periods following any such conclusion by SDG&amp;E that recovery is no longer probable, Sempra Energy’s and SDG&amp;E’s earnings will be adversely impacted by increases in the estimated costs to litigate or settle pending wildfire claims. We discuss how we assess the probability of recovery of our regulatory assets in Note 1 of the Notes to Consolidated Financial Statements in the Annual Report.</w:t>
      </w:r>
    </w:p>
    <w:p>
      <w:pPr>
        <w:spacing w:after="0" w:line="2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provide additional information concerning these matters in Notes 9 and 10 of the Notes to Condensed Consolidated Financial Statements herein and in Notes 14 and 15 of the Notes to Consolidated Financial Statements in the Annual Report.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SONGS</w:t>
      </w:r>
    </w:p>
    <w:p>
      <w:pPr>
        <w:spacing w:after="0" w:line="24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a result of the extended outage at SONGS, the CPUC has issued an Order Instituting Investigation (OII) to determine whether SDG&amp;E should remove from customer rates some or the entire revenue requirement associated with the portion of the facility that is out of service. This OII will consolidate all SONGS issues from related regulatory proceedings and consider the appropriate cost recovery for SONGS, including among other costs, the cost of the steam generator replacement project, replacement power costs, capital expenditures, operation and maintenance costs and seismic study costs. The OII requires that all costs related to SONGS incurred since January 1, 2012 be tracked in a separate memorandum account, with all revenues collected in recovery of such costs subject to refund, and will address the extent to which such revenues, if any, will be required to be refunded to customers.</w:t>
      </w:r>
    </w:p>
    <w:p>
      <w:pPr>
        <w:spacing w:after="0" w:line="19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the unscheduled outage at SONGS, SDG&amp;E has procured replacement power, the cost of which is fully recovered in revenues subject to review and potential disallowance by the CPUC. The estimated replacement power cost requirements specified in the OII proceeding, including estimated foregone energy sales from excess SONGS production, produce a replacement power cost estimate, in excess of avoided nuclear fuel costs, that is incurred by SDG&amp;E through March 31, 2013, as a result of the unscheduled SONGS outage (commencing in 2012 on January 31 for Unit 3 and March 5 for Unit 2) of approximately $107 million, of which $35 million was incurred in the first quarter of 2013. Total replacement power costs will not be known until the Units are returned to service and are fully operational.</w:t>
      </w:r>
    </w:p>
    <w:p>
      <w:pPr>
        <w:spacing w:after="0" w:line="22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Currently, SDG&amp;E is collecting in customer rates its share of the operating costs, depreciation and return on its investment in SONGS. In 2012, SDG&amp;E recognized approximately $199 million of revenue associated with its investment in SONGS and related operating costs. For the quarter ended March 31, 2013, SDG&amp;E recognized an estimated $39 million of such revenue. Following is a summary of SDG&amp;E’s March 31, 2013 net book investment, excluding any decommissioning-related assets and liabilities, and its rate base investment in SONGS.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SDG&amp;E NET BOOK INVESTMENT AND RATE BASE INVESTMENT IN SONGS(1)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Unit 2</w:t>
            </w:r>
          </w:p>
        </w:tc>
        <w:tc>
          <w:tcPr>
            <w:tcW w:w="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Unit 3</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Common Plant</w:t>
            </w:r>
          </w:p>
        </w:tc>
        <w:tc>
          <w:tcPr>
            <w:tcW w:w="4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Total</w:t>
            </w:r>
          </w:p>
        </w:tc>
      </w:tr>
      <w:tr>
        <w:trPr>
          <w:trHeight w:val="224"/>
        </w:trPr>
        <w:tc>
          <w:tcPr>
            <w:tcW w:w="5040" w:type="dxa"/>
            <w:vAlign w:val="bottom"/>
          </w:tcPr>
          <w:p>
            <w:pPr>
              <w:spacing w:after="0"/>
              <w:rPr>
                <w:sz w:val="20"/>
                <w:szCs w:val="20"/>
                <w:color w:val="auto"/>
              </w:rPr>
            </w:pPr>
            <w:r>
              <w:rPr>
                <w:rFonts w:ascii="Arial" w:cs="Arial" w:eastAsia="Arial" w:hAnsi="Arial"/>
                <w:sz w:val="16"/>
                <w:szCs w:val="16"/>
                <w:color w:val="auto"/>
              </w:rPr>
              <w:t>Net book investment:</w:t>
            </w: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6"/>
        </w:trPr>
        <w:tc>
          <w:tcPr>
            <w:tcW w:w="5040" w:type="dxa"/>
            <w:vAlign w:val="bottom"/>
          </w:tcPr>
          <w:p>
            <w:pPr>
              <w:ind w:left="240"/>
              <w:spacing w:after="0"/>
              <w:rPr>
                <w:sz w:val="20"/>
                <w:szCs w:val="20"/>
                <w:color w:val="auto"/>
              </w:rPr>
            </w:pPr>
            <w:r>
              <w:rPr>
                <w:rFonts w:ascii="Arial" w:cs="Arial" w:eastAsia="Arial" w:hAnsi="Arial"/>
                <w:sz w:val="16"/>
                <w:szCs w:val="16"/>
                <w:color w:val="auto"/>
              </w:rPr>
              <w:t>Net property, plant and equipment, including</w:t>
            </w: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040" w:type="dxa"/>
            <w:vAlign w:val="bottom"/>
          </w:tcPr>
          <w:p>
            <w:pPr>
              <w:ind w:left="480"/>
              <w:spacing w:after="0"/>
              <w:rPr>
                <w:sz w:val="20"/>
                <w:szCs w:val="20"/>
                <w:color w:val="auto"/>
              </w:rPr>
            </w:pPr>
            <w:r>
              <w:rPr>
                <w:rFonts w:ascii="Arial" w:cs="Arial" w:eastAsia="Arial" w:hAnsi="Arial"/>
                <w:sz w:val="16"/>
                <w:szCs w:val="16"/>
                <w:color w:val="auto"/>
              </w:rPr>
              <w:t>construction work in progress</w:t>
            </w:r>
          </w:p>
        </w:tc>
        <w:tc>
          <w:tcPr>
            <w:tcW w:w="1240" w:type="dxa"/>
            <w:vAlign w:val="bottom"/>
          </w:tcPr>
          <w:p>
            <w:pPr>
              <w:jc w:val="right"/>
              <w:ind w:right="701"/>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w w:val="97"/>
              </w:rPr>
              <w:t>151</w:t>
            </w:r>
          </w:p>
        </w:tc>
        <w:tc>
          <w:tcPr>
            <w:tcW w:w="4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115</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127</w:t>
            </w:r>
          </w:p>
        </w:tc>
        <w:tc>
          <w:tcPr>
            <w:tcW w:w="4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393</w:t>
            </w:r>
          </w:p>
        </w:tc>
      </w:tr>
      <w:tr>
        <w:trPr>
          <w:trHeight w:val="216"/>
        </w:trPr>
        <w:tc>
          <w:tcPr>
            <w:tcW w:w="5040" w:type="dxa"/>
            <w:vAlign w:val="bottom"/>
          </w:tcPr>
          <w:p>
            <w:pPr>
              <w:ind w:left="240"/>
              <w:spacing w:after="0"/>
              <w:rPr>
                <w:sz w:val="20"/>
                <w:szCs w:val="20"/>
                <w:color w:val="auto"/>
              </w:rPr>
            </w:pPr>
            <w:r>
              <w:rPr>
                <w:rFonts w:ascii="Arial" w:cs="Arial" w:eastAsia="Arial" w:hAnsi="Arial"/>
                <w:sz w:val="16"/>
                <w:szCs w:val="16"/>
                <w:color w:val="auto"/>
              </w:rPr>
              <w:t>Materials and supplies</w:t>
            </w:r>
          </w:p>
        </w:tc>
        <w:tc>
          <w:tcPr>
            <w:tcW w:w="1240" w:type="dxa"/>
            <w:vAlign w:val="bottom"/>
          </w:tcPr>
          <w:p>
            <w:pPr>
              <w:spacing w:after="0"/>
              <w:rPr>
                <w:sz w:val="18"/>
                <w:szCs w:val="18"/>
                <w:color w:val="auto"/>
              </w:rPr>
            </w:pP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10</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5040" w:type="dxa"/>
            <w:vAlign w:val="bottom"/>
          </w:tcPr>
          <w:p>
            <w:pPr>
              <w:ind w:left="240"/>
              <w:spacing w:after="0"/>
              <w:rPr>
                <w:sz w:val="20"/>
                <w:szCs w:val="20"/>
                <w:color w:val="auto"/>
              </w:rPr>
            </w:pPr>
            <w:r>
              <w:rPr>
                <w:rFonts w:ascii="Arial" w:cs="Arial" w:eastAsia="Arial" w:hAnsi="Arial"/>
                <w:sz w:val="16"/>
                <w:szCs w:val="16"/>
                <w:color w:val="auto"/>
              </w:rPr>
              <w:t>Nuclear fuel</w:t>
            </w:r>
          </w:p>
        </w:tc>
        <w:tc>
          <w:tcPr>
            <w:tcW w:w="1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116</w:t>
            </w: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r>
      <w:tr>
        <w:trPr>
          <w:trHeight w:val="216"/>
        </w:trPr>
        <w:tc>
          <w:tcPr>
            <w:tcW w:w="50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Net book investment</w:t>
            </w:r>
          </w:p>
        </w:tc>
        <w:tc>
          <w:tcPr>
            <w:tcW w:w="1240" w:type="dxa"/>
            <w:vAlign w:val="bottom"/>
            <w:tcBorders>
              <w:bottom w:val="single" w:sz="8" w:color="auto"/>
            </w:tcBorders>
          </w:tcPr>
          <w:p>
            <w:pPr>
              <w:jc w:val="right"/>
              <w:ind w:right="70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7"/>
              </w:rPr>
              <w:t>151</w:t>
            </w: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115</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253</w:t>
            </w:r>
          </w:p>
        </w:tc>
        <w:tc>
          <w:tcPr>
            <w:tcW w:w="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w:t>
            </w:r>
          </w:p>
        </w:tc>
      </w:tr>
      <w:tr>
        <w:trPr>
          <w:trHeight w:val="21"/>
        </w:trPr>
        <w:tc>
          <w:tcPr>
            <w:tcW w:w="50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99"/>
        </w:trPr>
        <w:tc>
          <w:tcPr>
            <w:tcW w:w="5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Rate base investment</w:t>
            </w:r>
          </w:p>
        </w:tc>
        <w:tc>
          <w:tcPr>
            <w:tcW w:w="1240" w:type="dxa"/>
            <w:vAlign w:val="bottom"/>
            <w:tcBorders>
              <w:bottom w:val="single" w:sz="8" w:color="auto"/>
            </w:tcBorders>
          </w:tcPr>
          <w:p>
            <w:pPr>
              <w:jc w:val="right"/>
              <w:ind w:right="70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99</w:t>
            </w: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94</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78</w:t>
            </w:r>
          </w:p>
        </w:tc>
        <w:tc>
          <w:tcPr>
            <w:tcW w:w="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r>
      <w:tr>
        <w:trPr>
          <w:trHeight w:val="21"/>
        </w:trPr>
        <w:tc>
          <w:tcPr>
            <w:tcW w:w="50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ind w:left="480" w:hanging="324"/>
        <w:spacing w:after="0"/>
        <w:tabs>
          <w:tab w:leader="none" w:pos="480"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Excludes nuclear decommissioning-related assets and liabilities.</w:t>
      </w:r>
    </w:p>
    <w:p>
      <w:pPr>
        <w:spacing w:after="0" w:line="200" w:lineRule="exact"/>
        <w:rPr>
          <w:sz w:val="20"/>
          <w:szCs w:val="20"/>
          <w:color w:val="auto"/>
        </w:rPr>
      </w:pPr>
    </w:p>
    <w:p>
      <w:pPr>
        <w:spacing w:after="0" w:line="273"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If the CPUC were to order SDG&amp;E to remove all or most of the authorized revenue requirement associated with SONGS from customer rates, refund all or most of the revenue from its investment in SONGS charged to customers since January 1, 2012, or remove all or most of SDG&amp;E’s rate base investment in SONGS from its rate base, or deny cost recovery for the excess cost of the replacement power it has purchased since the Units were shut down, it would likely have a material adverse effect on Sempra Energy’s and SDG&amp;E’s financial condition, cash flows, results of operations and prospects.</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provide additional information concerning SONGS in Note 9 of the Notes to Condensed Consolidated Financial Statements herein and in Notes 6, 14 and 15 of the Notes to Consolidated Financial Statements in the Annual Report.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Investment in Wind Farm</w:t>
      </w:r>
    </w:p>
    <w:p>
      <w:pPr>
        <w:spacing w:after="0" w:line="24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2011, the CPUC and FERC approved SDG&amp;E’s tax equity investment in a wind farm project. The investment may be made after the project has met all of the conditions precedent set forth in the definitive documents and upon the initiation of commercial operation of the project. The conditions precedent have not yet been met.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SEMPRA ENERGY MATTERS</w:t>
      </w:r>
    </w:p>
    <w:p>
      <w:pPr>
        <w:spacing w:after="0" w:line="24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discuss potential and expected impacts of the 2012 Tax Act and the 2010 Tax Act on our income tax expense, earnings and cash flows in “Management’s Discussion and Analysis of Financial Condition and Results of Operations – Changes in Revenues, Costs and Earnings – Income Taxes” in the Annual Report.</w:t>
      </w:r>
    </w:p>
    <w:p>
      <w:pPr>
        <w:spacing w:after="0" w:line="2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may be further impacted by depressed and rapidly changing economic conditions. Moreover, the dollar may fluctuate significantly compared to some foreign currencies, especially in Mexico and South America where we have significant operations. We discuss foreign currency rate risk further under “Market Risk – Foreign Currency Rate Risk” in “Management’s Discussion and Analysis of Financial Condition and Results of Operations” in the Annual Report. North American natural gas prices, which affect profitability at Sempra Renewables and Sempra Natural Gas, are currently significantly below Asian and European prices. These factors could, if they remain unchanged, adversely affect profitability. However, management expects that future export capability at Sempra Natural Gas’ Cameron LNG facility would benefit from lower gas prices in North America compared to other regions.</w:t>
      </w:r>
    </w:p>
    <w:p>
      <w:pPr>
        <w:sectPr>
          <w:pgSz w:w="11900" w:h="16838" w:orient="portrait"/>
          <w:cols w:equalWidth="0" w:num="1">
            <w:col w:w="11420"/>
          </w:cols>
          <w:pgMar w:left="240" w:top="125" w:right="239" w:bottom="0" w:gutter="0" w:footer="0" w:header="0"/>
        </w:sectPr>
      </w:pPr>
    </w:p>
    <w:bookmarkStart w:id="68" w:name="page69"/>
    <w:bookmarkEnd w:id="68"/>
    <w:p>
      <w:pPr>
        <w:ind w:right="20"/>
        <w:spacing w:after="0" w:line="277" w:lineRule="auto"/>
        <w:rPr>
          <w:sz w:val="20"/>
          <w:szCs w:val="20"/>
          <w:color w:val="auto"/>
        </w:rPr>
      </w:pPr>
      <w:r>
        <w:rPr>
          <w:rFonts w:ascii="Arial" w:cs="Arial" w:eastAsia="Arial" w:hAnsi="Arial"/>
          <w:sz w:val="18"/>
          <w:szCs w:val="18"/>
          <w:color w:val="auto"/>
        </w:rPr>
        <w:t>We discuss additional matters that could affect our future performance in Notes 9 and 10 of the Notes to Condensed Consolidated Financial Statements herein and in Notes 14 and 15 of the Notes to Consolidated Financial Statements in the Annual Report.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DERIVATIVES REFORMS</w:t>
      </w:r>
    </w:p>
    <w:p>
      <w:pPr>
        <w:spacing w:after="0" w:line="24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July 2010, federal legislation to reform financial markets was enacted that significantly alters how over-the-counter (OTC) derivatives are regulated, which may impact all of our businesses. The law increased regulatory oversight of OTC energy derivatives, including (1) requiring standardized OTC derivatives to be traded on registered exchanges regulated by the U.S. Commodity Futures Trading Commission (CFTC), (2) imposing new and potentially higher capital and margin requirements and (3) authorizing the establishment of overall volume and position limits. The law gives the CFTC authority to exempt end users of energy commodities which could reduce, but not eliminate, the applicability of these measures to us and other end users. These requirements could cause our OTC transactions to be more costly and have a material adverse effect on our liquidity due to additional capital requirements. In addition, as these reforms aim to standardize OTC products, they could limit the effectiveness of our hedging programs, because we would have less ability to tailor OTC derivatives to match the precise risk we are seeking to mitigate.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describe legal proceedings which could adversely affect our future performance in Note 10 of the Notes to Condensed Consolidated Financial Statements herein.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UTILITIES – INDUSTRY DEVELOPMENTS AND CAPITAL PROJECTS</w:t>
      </w:r>
    </w:p>
    <w:p>
      <w:pPr>
        <w:spacing w:after="0" w:line="2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describe capital projects, electric and natural gas regulation and rates, and other pending proceedings and investigations that affect the California Utilities in Note 9 of the Notes to Condensed Consolidated Financial Statements herein and in Note 14 of the Notes to Consolidated Financial Statements in the Annual Report.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INTERNATIONAL AND SEMPRA U.S. GAS &amp; POWER INVESTMENTS</w:t>
      </w:r>
    </w:p>
    <w:p>
      <w:pPr>
        <w:spacing w:after="0" w:line="24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As we discuss in “Cash Flows From Investing Activities,” our investments will significantly impact our future performance. In addition to the discussion below, we provide information about these investments in “Capital Resources and Liquidity” herein and in the “Capital Resources and Liquidity” and “Factors Influencing Future Performance” sections of “Management’s Discussion and Analysis of Financial Condition and Results of Operations” in the Annual Report.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South American Utilities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Santa Teresa</w:t>
      </w:r>
    </w:p>
    <w:p>
      <w:pPr>
        <w:spacing w:after="0" w:line="24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May 2011, groundbreaking took place for Santa Teresa, a project at Luz del Sur to build a 98-MW hydroelectric power plant in Peru’s Cusco region. It is planned to be completed in 2014.</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Transmission Projects</w:t>
      </w:r>
    </w:p>
    <w:p>
      <w:pPr>
        <w:spacing w:after="0" w:line="24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May 2012, Chilquinta Energía, in a joint venture with Sociedad Austral de Electricidad Sociedad Anonima (SAESA), was awarded two 220-kilovolt (kV) transmission lines in Chile. The transmission lines will extend 150 miles, and we estimate the project will cost the joint venture approximately $150 million and be completed in 2017.</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Energía Sierra Juárez</w:t>
      </w:r>
    </w:p>
    <w:p>
      <w:pPr>
        <w:spacing w:after="0" w:line="24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April 2011, SDG&amp;E entered into a 20-year contract for up to 156 MW of renewable power supplied from the first phase of Sempra Mexico’s Energía Sierra Juárez wind project in Baja California, Mexico. The contract was approved by the CPUC in March 2012 and by the FERC in July 2012.In June 2012, the Comisión Reguladora de Energía (CRE) of Mexico issued a permit for the project, conditioned on approval from the Comisión Federal de Electricidad (CFE). In March 2013, the CFE issued a positive opinion regarding the project, and the CRE issued a resolution that deemed the above mentioned condition as approved. We expect construction on the project to begin in 2013, and the project to be fully operational in 2015. Delays in construction or in obtaining necessary permits could potentially prevent Energía Sierra Juárez from being operational at the time required by the SDG&amp;E contract, which would permit SDG&amp;E to terminate the contract without penalty. In addition, the Energía Sierra Juárez project has the right to terminate the contract if it is unable to timely obtain the necessary permits.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Pipeline Projects</w:t>
      </w:r>
    </w:p>
    <w:p>
      <w:pPr>
        <w:spacing w:after="0" w:line="24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October 2012, Sempra Mexico was awarded two contracts by the CFE to build and operate an approximately 500-mile pipeline network to transport natural gas from the U.S.-Mexico border south of Tucson, Arizona through the Mexican state of Sonora to the northern part of the Mexican state of Sinaloa along the Gulf of California. The network will be comprised of two segments that will interconnect to the U.S. interstate pipeline system. We estimate it will cost approximately $1 billion. The first segment of the project, approximately 300 miles, is expected to be completed by the second half of 2014, and the remaining segment is expected to be completed by the second half of 2016. The capacity is fully contracted by CFE under two 25-year contracts denominated in U.S. dollars. Our ability to secure rights of way and construct the lines within budgeted amounts will impact future performance.</w:t>
      </w:r>
    </w:p>
    <w:p>
      <w:pPr>
        <w:sectPr>
          <w:pgSz w:w="11900" w:h="16838" w:orient="portrait"/>
          <w:cols w:equalWidth="0" w:num="1">
            <w:col w:w="11400"/>
          </w:cols>
          <w:pgMar w:left="240" w:top="125" w:right="259" w:bottom="0" w:gutter="0" w:footer="0" w:header="0"/>
        </w:sectPr>
      </w:pPr>
    </w:p>
    <w:bookmarkStart w:id="69" w:name="page70"/>
    <w:bookmarkEnd w:id="69"/>
    <w:p>
      <w:pPr>
        <w:jc w:val="both"/>
        <w:ind w:right="140"/>
        <w:spacing w:after="0" w:line="302" w:lineRule="auto"/>
        <w:rPr>
          <w:sz w:val="20"/>
          <w:szCs w:val="20"/>
          <w:color w:val="auto"/>
        </w:rPr>
      </w:pPr>
      <w:r>
        <w:rPr>
          <w:rFonts w:ascii="Arial" w:cs="Arial" w:eastAsia="Arial" w:hAnsi="Arial"/>
          <w:sz w:val="16"/>
          <w:szCs w:val="16"/>
          <w:color w:val="auto"/>
        </w:rPr>
        <w:t>In December 2012, through its joint venture with PEMEX, Sempra Mexico executed an ethane transportation services agreement with PEMEX to construct and operate an approximately 140-mile pipeline to transport ethane from Tabasco, Mexico to Veracruz, Mexico. We estimate it will cost approximately $330 million and be funded by the joint venture from its cash flow from operations without additional capital contributions from the partners. It is expected to be completed in the second half of 2014. The capacity is fully contracted by PEMEX under a 21-year contract denominated in U.S. dollars.</w:t>
      </w:r>
    </w:p>
    <w:p>
      <w:pPr>
        <w:spacing w:after="0" w:line="18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 January 2013, PEMEX announced that the first phase of the Los Ramones project was assigned to and will be developed by our joint venture with PEMEX. The project will consist of a 70-mile natural gas pipeline from the northern portion of the state of Tamaulipas bordering the United States to Los Ramones in the Mexican state of Nuevo León. The transportation services agreement is under negotiation with PEMEX.</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Renewables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Copper Mountain Solar</w:t>
      </w:r>
    </w:p>
    <w:p>
      <w:pPr>
        <w:spacing w:after="0" w:line="24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Copper Mountain Solar is a photovoltaic generation facility operated and under development by Sempra Renewables in Boulder City, Nevada. If fully developed, the project will be capable of producing up to approximately 450 MW of solar power; it is being developed in multiple phases as power sales become contracted. Copper Mountain Solar is comprised of three separate projects. Copper Mountain Solar 1 (CMS 1) is a 58-MW photovoltaic generation facility currently in operation, which includes the 10-MW facility previously referred to as El Dorado Solar. PG&amp;E has contracted for all of the solar power at CMS 1 for 20 years.</w:t>
      </w:r>
    </w:p>
    <w:p>
      <w:pPr>
        <w:spacing w:after="0" w:line="21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Copper Mountain Solar 2 (CMS 2) began construction in December 2011 and will total 150 MW when completed. CMS 2 is divided into two phases, with the first phase of 92 MW placed in service in November 2012 and the remaining 58 MW planned to be placed in service in 2015. PG&amp;E has contracted for all of the solar power at CMS 2 for 25 years.</w:t>
      </w:r>
    </w:p>
    <w:p>
      <w:pPr>
        <w:spacing w:after="0" w:line="20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Copper Mountain Solar 3 (CMS 3) started construction in March 2013 and will total 250 MW when completed. CMS 3 will be placed in service as each of the ten blocks of solar panels is installed and is planned to be entirely in service by late 2015. The cities of Los Angeles and Burbank have contracted for all of the solar power at CMS 3 for 20 years.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Mesquite Solar</w:t>
      </w:r>
    </w:p>
    <w:p>
      <w:pPr>
        <w:spacing w:after="0" w:line="24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Mesquite Solar is a photovoltaic generation facility under development by Sempra Renewables in Maricopa County, Arizona. If fully developed, the project will be capable of producing up to approximately 700 MW of solar power. Construction on the first phase (Mesquite Solar 1) of 150 MW was completed in December 2012. PG&amp;E has contracted for all of the solar power at Mesquite Solar 1 for 20 years.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Natural Gas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Storage</w:t>
      </w:r>
    </w:p>
    <w:p>
      <w:pPr>
        <w:spacing w:after="0" w:line="24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Currently, Sempra Natural Gas has 30 Bcf of operational working natural gas storage capacity. We are currently developing another 13 Bcf of capacity with planned in-service dates through the first half of 2014 and may, over the long term, develop as much as 76 Bcf of total storage capacity.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Sempra Natural Gas’ natural gas storage facilities and projects include</w:t>
      </w:r>
    </w:p>
    <w:p>
      <w:pPr>
        <w:spacing w:after="0" w:line="252" w:lineRule="exact"/>
        <w:rPr>
          <w:sz w:val="20"/>
          <w:szCs w:val="20"/>
          <w:color w:val="auto"/>
        </w:rPr>
      </w:pPr>
    </w:p>
    <w:p>
      <w:pPr>
        <w:jc w:val="both"/>
        <w:ind w:left="340" w:hanging="188"/>
        <w:spacing w:after="0" w:line="264"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Bay Gas, a facility located 40 miles north of Mobile, Alabama, that provides underground storage and delivery of natural gas. Sempra Natural Gas owns 91 percent of the project. It is the easternmost salt dome storage facility on the Gulf Coast, with direct service to the Florida market and markets across the Southeast, Mid-Atlantic and Northeast regions.</w:t>
      </w:r>
    </w:p>
    <w:p>
      <w:pPr>
        <w:spacing w:after="0" w:line="208" w:lineRule="exact"/>
        <w:rPr>
          <w:rFonts w:ascii="Arial" w:cs="Arial" w:eastAsia="Arial" w:hAnsi="Arial"/>
          <w:sz w:val="18"/>
          <w:szCs w:val="18"/>
          <w:color w:val="auto"/>
        </w:rPr>
      </w:pPr>
    </w:p>
    <w:p>
      <w:pPr>
        <w:ind w:left="340" w:right="20" w:hanging="188"/>
        <w:spacing w:after="0" w:line="342" w:lineRule="auto"/>
        <w:tabs>
          <w:tab w:leader="none" w:pos="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Mississippi Hub, located 45 miles southeast of Jackson, Mississippi, an underground salt dome natural gas storage project with access to shale basins of East Texas and Louisiana, traditional gulf supplies and LNG, with multiple interconnections to serve the Southeast and Northeast regions.</w:t>
      </w:r>
    </w:p>
    <w:p>
      <w:pPr>
        <w:spacing w:after="0" w:line="150" w:lineRule="exact"/>
        <w:rPr>
          <w:rFonts w:ascii="Arial" w:cs="Arial" w:eastAsia="Arial" w:hAnsi="Arial"/>
          <w:sz w:val="16"/>
          <w:szCs w:val="16"/>
          <w:color w:val="auto"/>
        </w:rPr>
      </w:pPr>
    </w:p>
    <w:p>
      <w:pPr>
        <w:jc w:val="both"/>
        <w:ind w:left="340" w:hanging="188"/>
        <w:spacing w:after="0" w:line="264"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LA Storage, previously referred to as Liberty natural gas storage expansion, a salt cavern development project in Cameron Parish, Louisiana. Sempra Natural Gas owns 75 percent of the project and ProLiance Transportation LLC owns the remaining 25 percent. The project’s location provides access to several LNG facilities in the area.</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Cameron LNG</w:t>
      </w:r>
    </w:p>
    <w:p>
      <w:pPr>
        <w:spacing w:after="0" w:line="24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 xml:space="preserve">In 2012, Sempra Natural Gas signed commercial development agreements with Mitsubishi Corporation, Mitsui &amp; Co., Ltd., and a subsidiary of GDF SUEZ S.A. to develop a natural gas liquefaction export facility at the site of its Cameron LNG terminal in Hackberry, Louisiana. We discuss these agreements above in “Factors Influencing Future Performance </w:t>
      </w:r>
      <w:r>
        <w:rPr>
          <w:rFonts w:ascii="Arial" w:cs="Arial" w:eastAsia="Arial" w:hAnsi="Arial"/>
          <w:sz w:val="19"/>
          <w:szCs w:val="19"/>
          <w:i w:val="1"/>
          <w:iCs w:val="1"/>
          <w:color w:val="auto"/>
        </w:rPr>
        <w:t>–</w:t>
      </w:r>
      <w:r>
        <w:rPr>
          <w:rFonts w:ascii="Arial" w:cs="Arial" w:eastAsia="Arial" w:hAnsi="Arial"/>
          <w:sz w:val="18"/>
          <w:szCs w:val="18"/>
          <w:color w:val="auto"/>
        </w:rPr>
        <w:t xml:space="preserve"> Sempra Energy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515620</wp:posOffset>
            </wp:positionV>
            <wp:extent cx="726376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CRITICAL ACCOUNTING POLICIES AND ESTIMATES</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view certain accounting policies as critical because their application is the most relevant, judgmental, and/or material to our financial position and results of operations, and/or because they require the use of material judgments and estimates. We discuss these accounting policies in “Management’s Discussion and Analysis of Financial Condition and Results of Operations” in the Annual Report.</w:t>
      </w:r>
    </w:p>
    <w:p>
      <w:pPr>
        <w:sectPr>
          <w:pgSz w:w="11900" w:h="16838" w:orient="portrait"/>
          <w:cols w:equalWidth="0" w:num="1">
            <w:col w:w="11420"/>
          </w:cols>
          <w:pgMar w:left="240" w:top="125" w:right="239" w:bottom="0" w:gutter="0" w:footer="0" w:header="0"/>
          <w:type w:val="continuous"/>
        </w:sectPr>
      </w:pPr>
    </w:p>
    <w:bookmarkStart w:id="70" w:name="page71"/>
    <w:bookmarkEnd w:id="70"/>
    <w:p>
      <w:pPr>
        <w:ind w:right="560"/>
        <w:spacing w:after="0" w:line="277" w:lineRule="auto"/>
        <w:rPr>
          <w:sz w:val="20"/>
          <w:szCs w:val="20"/>
          <w:color w:val="auto"/>
        </w:rPr>
      </w:pPr>
      <w:r>
        <w:rPr>
          <w:rFonts w:ascii="Arial" w:cs="Arial" w:eastAsia="Arial" w:hAnsi="Arial"/>
          <w:sz w:val="18"/>
          <w:szCs w:val="18"/>
          <w:color w:val="auto"/>
        </w:rPr>
        <w:t>We describe our significant accounting policies in Note 1 of the Notes to Consolidated Financial Statements in the Annual Report. We follow the same accounting policies for interim reporting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2637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NEW ACCOUNTING STANDARDS</w:t>
      </w:r>
    </w:p>
    <w:p>
      <w:pPr>
        <w:spacing w:after="0" w:line="200" w:lineRule="exact"/>
        <w:rPr>
          <w:sz w:val="20"/>
          <w:szCs w:val="20"/>
          <w:color w:val="auto"/>
        </w:rPr>
      </w:pPr>
    </w:p>
    <w:p>
      <w:pPr>
        <w:spacing w:after="0" w:line="26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discuss the relevant pronouncements that have recently become effective and have had or may have an impact on our financial statements and/or disclosures in Note 2 of the Notes to Condensed Consolidated Financial Statements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2637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ITEM 3. 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provide disclosure regarding derivative activity in Note 7 of the Notes to Condensed Consolidated Financial Statements herein. We discuss our market risk and risk policies in detail in "Management's Discussion and Analysis of Financial Condition and Results of Operations" in the Annual Report.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4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table below shows the nominal amount and the one-year VaR for long-term debt, excluding commercial paper classified as long-term debt, capital lease obligations and interest rate swaps, and before reductions/increases for unamortized discount/premium, at March 31, 2013 and December 31, 2012:</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3"/>
          </w:tcPr>
          <w:p>
            <w:pPr>
              <w:jc w:val="right"/>
              <w:ind w:right="661"/>
              <w:spacing w:after="0"/>
              <w:rPr>
                <w:sz w:val="20"/>
                <w:szCs w:val="20"/>
                <w:color w:val="auto"/>
              </w:rPr>
            </w:pPr>
            <w:r>
              <w:rPr>
                <w:rFonts w:ascii="Arial" w:cs="Arial" w:eastAsia="Arial" w:hAnsi="Arial"/>
                <w:sz w:val="14"/>
                <w:szCs w:val="14"/>
                <w:color w:val="auto"/>
              </w:rPr>
              <w:t>Sempra Energy</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741"/>
              <w:spacing w:after="0"/>
              <w:rPr>
                <w:sz w:val="20"/>
                <w:szCs w:val="20"/>
                <w:color w:val="auto"/>
              </w:rPr>
            </w:pPr>
            <w:r>
              <w:rPr>
                <w:rFonts w:ascii="Arial" w:cs="Arial" w:eastAsia="Arial" w:hAnsi="Arial"/>
                <w:sz w:val="14"/>
                <w:szCs w:val="14"/>
                <w:color w:val="auto"/>
              </w:rPr>
              <w:t>Consolidated</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SDG&amp;E</w:t>
            </w:r>
          </w:p>
        </w:tc>
        <w:tc>
          <w:tcPr>
            <w:tcW w:w="9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right"/>
              <w:ind w:right="821"/>
              <w:spacing w:after="0"/>
              <w:rPr>
                <w:sz w:val="20"/>
                <w:szCs w:val="20"/>
                <w:color w:val="auto"/>
              </w:rPr>
            </w:pPr>
            <w:r>
              <w:rPr>
                <w:rFonts w:ascii="Arial" w:cs="Arial" w:eastAsia="Arial" w:hAnsi="Arial"/>
                <w:sz w:val="14"/>
                <w:szCs w:val="14"/>
                <w:color w:val="auto"/>
              </w:rPr>
              <w:t>SoCalGas</w:t>
            </w:r>
          </w:p>
        </w:tc>
        <w:tc>
          <w:tcPr>
            <w:tcW w:w="0" w:type="dxa"/>
            <w:vAlign w:val="bottom"/>
          </w:tcPr>
          <w:p>
            <w:pPr>
              <w:spacing w:after="0"/>
              <w:rPr>
                <w:sz w:val="1"/>
                <w:szCs w:val="1"/>
                <w:color w:val="auto"/>
              </w:rPr>
            </w:pPr>
          </w:p>
        </w:tc>
      </w:tr>
      <w:tr>
        <w:trPr>
          <w:trHeight w:val="221"/>
        </w:trPr>
        <w:tc>
          <w:tcPr>
            <w:tcW w:w="410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20" w:type="dxa"/>
            <w:vAlign w:val="bottom"/>
          </w:tcPr>
          <w:p>
            <w:pPr>
              <w:spacing w:after="0"/>
              <w:rPr>
                <w:sz w:val="19"/>
                <w:szCs w:val="19"/>
                <w:color w:val="auto"/>
              </w:rPr>
            </w:pPr>
          </w:p>
        </w:tc>
        <w:tc>
          <w:tcPr>
            <w:tcW w:w="1000" w:type="dxa"/>
            <w:vAlign w:val="bottom"/>
          </w:tcPr>
          <w:p>
            <w:pPr>
              <w:jc w:val="right"/>
              <w:ind w:right="283"/>
              <w:spacing w:after="0"/>
              <w:rPr>
                <w:sz w:val="20"/>
                <w:szCs w:val="20"/>
                <w:color w:val="auto"/>
              </w:rPr>
            </w:pPr>
            <w:r>
              <w:rPr>
                <w:rFonts w:ascii="Arial" w:cs="Arial" w:eastAsia="Arial" w:hAnsi="Arial"/>
                <w:sz w:val="14"/>
                <w:szCs w:val="14"/>
                <w:color w:val="auto"/>
              </w:rPr>
              <w:t>Nominal</w:t>
            </w:r>
          </w:p>
        </w:tc>
        <w:tc>
          <w:tcPr>
            <w:tcW w:w="220" w:type="dxa"/>
            <w:vAlign w:val="bottom"/>
          </w:tcPr>
          <w:p>
            <w:pPr>
              <w:spacing w:after="0"/>
              <w:rPr>
                <w:sz w:val="19"/>
                <w:szCs w:val="19"/>
                <w:color w:val="auto"/>
              </w:rPr>
            </w:pPr>
          </w:p>
        </w:tc>
        <w:tc>
          <w:tcPr>
            <w:tcW w:w="1000" w:type="dxa"/>
            <w:vAlign w:val="bottom"/>
          </w:tcPr>
          <w:p>
            <w:pPr>
              <w:jc w:val="right"/>
              <w:ind w:right="241"/>
              <w:spacing w:after="0"/>
              <w:rPr>
                <w:sz w:val="20"/>
                <w:szCs w:val="20"/>
                <w:color w:val="auto"/>
              </w:rPr>
            </w:pPr>
            <w:r>
              <w:rPr>
                <w:rFonts w:ascii="Arial" w:cs="Arial" w:eastAsia="Arial" w:hAnsi="Arial"/>
                <w:sz w:val="14"/>
                <w:szCs w:val="14"/>
                <w:color w:val="auto"/>
              </w:rPr>
              <w:t>One-Year</w:t>
            </w:r>
          </w:p>
        </w:tc>
        <w:tc>
          <w:tcPr>
            <w:tcW w:w="240" w:type="dxa"/>
            <w:vAlign w:val="bottom"/>
          </w:tcPr>
          <w:p>
            <w:pPr>
              <w:spacing w:after="0"/>
              <w:rPr>
                <w:sz w:val="19"/>
                <w:szCs w:val="19"/>
                <w:color w:val="auto"/>
              </w:rPr>
            </w:pPr>
          </w:p>
        </w:tc>
        <w:tc>
          <w:tcPr>
            <w:tcW w:w="980" w:type="dxa"/>
            <w:vAlign w:val="bottom"/>
          </w:tcPr>
          <w:p>
            <w:pPr>
              <w:jc w:val="right"/>
              <w:ind w:right="302"/>
              <w:spacing w:after="0"/>
              <w:rPr>
                <w:sz w:val="20"/>
                <w:szCs w:val="20"/>
                <w:color w:val="auto"/>
              </w:rPr>
            </w:pPr>
            <w:r>
              <w:rPr>
                <w:rFonts w:ascii="Arial" w:cs="Arial" w:eastAsia="Arial" w:hAnsi="Arial"/>
                <w:sz w:val="14"/>
                <w:szCs w:val="14"/>
                <w:color w:val="auto"/>
              </w:rPr>
              <w:t>Nominal</w:t>
            </w:r>
          </w:p>
        </w:tc>
        <w:tc>
          <w:tcPr>
            <w:tcW w:w="260" w:type="dxa"/>
            <w:vAlign w:val="bottom"/>
          </w:tcPr>
          <w:p>
            <w:pPr>
              <w:spacing w:after="0"/>
              <w:rPr>
                <w:sz w:val="19"/>
                <w:szCs w:val="19"/>
                <w:color w:val="auto"/>
              </w:rPr>
            </w:pPr>
          </w:p>
        </w:tc>
        <w:tc>
          <w:tcPr>
            <w:tcW w:w="940" w:type="dxa"/>
            <w:vAlign w:val="bottom"/>
          </w:tcPr>
          <w:p>
            <w:pPr>
              <w:jc w:val="right"/>
              <w:ind w:right="241"/>
              <w:spacing w:after="0"/>
              <w:rPr>
                <w:sz w:val="20"/>
                <w:szCs w:val="20"/>
                <w:color w:val="auto"/>
              </w:rPr>
            </w:pPr>
            <w:r>
              <w:rPr>
                <w:rFonts w:ascii="Arial" w:cs="Arial" w:eastAsia="Arial" w:hAnsi="Arial"/>
                <w:sz w:val="14"/>
                <w:szCs w:val="14"/>
                <w:color w:val="auto"/>
                <w:w w:val="98"/>
              </w:rPr>
              <w:t>One-Year</w:t>
            </w:r>
          </w:p>
        </w:tc>
        <w:tc>
          <w:tcPr>
            <w:tcW w:w="260" w:type="dxa"/>
            <w:vAlign w:val="bottom"/>
          </w:tcPr>
          <w:p>
            <w:pPr>
              <w:spacing w:after="0"/>
              <w:rPr>
                <w:sz w:val="19"/>
                <w:szCs w:val="19"/>
                <w:color w:val="auto"/>
              </w:rPr>
            </w:pPr>
          </w:p>
        </w:tc>
        <w:tc>
          <w:tcPr>
            <w:tcW w:w="980" w:type="dxa"/>
            <w:vAlign w:val="bottom"/>
          </w:tcPr>
          <w:p>
            <w:pPr>
              <w:jc w:val="right"/>
              <w:ind w:right="302"/>
              <w:spacing w:after="0"/>
              <w:rPr>
                <w:sz w:val="20"/>
                <w:szCs w:val="20"/>
                <w:color w:val="auto"/>
              </w:rPr>
            </w:pPr>
            <w:r>
              <w:rPr>
                <w:rFonts w:ascii="Arial" w:cs="Arial" w:eastAsia="Arial" w:hAnsi="Arial"/>
                <w:sz w:val="14"/>
                <w:szCs w:val="14"/>
                <w:color w:val="auto"/>
              </w:rPr>
              <w:t>Nominal</w:t>
            </w:r>
          </w:p>
        </w:tc>
        <w:tc>
          <w:tcPr>
            <w:tcW w:w="220" w:type="dxa"/>
            <w:vAlign w:val="bottom"/>
          </w:tcPr>
          <w:p>
            <w:pPr>
              <w:spacing w:after="0"/>
              <w:rPr>
                <w:sz w:val="19"/>
                <w:szCs w:val="19"/>
                <w:color w:val="auto"/>
              </w:rPr>
            </w:pPr>
          </w:p>
        </w:tc>
        <w:tc>
          <w:tcPr>
            <w:tcW w:w="1000" w:type="dxa"/>
            <w:vAlign w:val="bottom"/>
          </w:tcPr>
          <w:p>
            <w:pPr>
              <w:jc w:val="right"/>
              <w:ind w:right="241"/>
              <w:spacing w:after="0"/>
              <w:rPr>
                <w:sz w:val="20"/>
                <w:szCs w:val="20"/>
                <w:color w:val="auto"/>
              </w:rPr>
            </w:pPr>
            <w:r>
              <w:rPr>
                <w:rFonts w:ascii="Arial" w:cs="Arial" w:eastAsia="Arial" w:hAnsi="Arial"/>
                <w:sz w:val="14"/>
                <w:szCs w:val="14"/>
                <w:color w:val="auto"/>
              </w:rPr>
              <w:t>One-Year</w:t>
            </w:r>
          </w:p>
        </w:tc>
        <w:tc>
          <w:tcPr>
            <w:tcW w:w="0" w:type="dxa"/>
            <w:vAlign w:val="bottom"/>
          </w:tcPr>
          <w:p>
            <w:pPr>
              <w:spacing w:after="0"/>
              <w:rPr>
                <w:sz w:val="1"/>
                <w:szCs w:val="1"/>
                <w:color w:val="auto"/>
              </w:rPr>
            </w:pPr>
          </w:p>
        </w:tc>
      </w:tr>
      <w:tr>
        <w:trPr>
          <w:trHeight w:val="164"/>
        </w:trPr>
        <w:tc>
          <w:tcPr>
            <w:tcW w:w="41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83"/>
              <w:spacing w:after="0" w:line="157" w:lineRule="exact"/>
              <w:rPr>
                <w:sz w:val="20"/>
                <w:szCs w:val="20"/>
                <w:color w:val="auto"/>
              </w:rPr>
            </w:pPr>
            <w:r>
              <w:rPr>
                <w:rFonts w:ascii="Arial" w:cs="Arial" w:eastAsia="Arial" w:hAnsi="Arial"/>
                <w:sz w:val="14"/>
                <w:szCs w:val="14"/>
                <w:color w:val="auto"/>
              </w:rPr>
              <w:t>Debt</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21"/>
              <w:spacing w:after="0" w:line="157" w:lineRule="exact"/>
              <w:rPr>
                <w:sz w:val="20"/>
                <w:szCs w:val="20"/>
                <w:color w:val="auto"/>
              </w:rPr>
            </w:pPr>
            <w:r>
              <w:rPr>
                <w:rFonts w:ascii="Arial" w:cs="Arial" w:eastAsia="Arial" w:hAnsi="Arial"/>
                <w:sz w:val="14"/>
                <w:szCs w:val="14"/>
                <w:color w:val="auto"/>
              </w:rPr>
              <w:t>VaR(1)</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2"/>
              <w:spacing w:after="0" w:line="157" w:lineRule="exact"/>
              <w:rPr>
                <w:sz w:val="20"/>
                <w:szCs w:val="20"/>
                <w:color w:val="auto"/>
              </w:rPr>
            </w:pPr>
            <w:r>
              <w:rPr>
                <w:rFonts w:ascii="Arial" w:cs="Arial" w:eastAsia="Arial" w:hAnsi="Arial"/>
                <w:sz w:val="14"/>
                <w:szCs w:val="14"/>
                <w:color w:val="auto"/>
              </w:rPr>
              <w:t>Debt</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21"/>
              <w:spacing w:after="0" w:line="157" w:lineRule="exact"/>
              <w:rPr>
                <w:sz w:val="20"/>
                <w:szCs w:val="20"/>
                <w:color w:val="auto"/>
              </w:rPr>
            </w:pPr>
            <w:r>
              <w:rPr>
                <w:rFonts w:ascii="Arial" w:cs="Arial" w:eastAsia="Arial" w:hAnsi="Arial"/>
                <w:sz w:val="14"/>
                <w:szCs w:val="14"/>
                <w:color w:val="auto"/>
              </w:rPr>
              <w:t>VaR(1)</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2"/>
              <w:spacing w:after="0" w:line="157" w:lineRule="exact"/>
              <w:rPr>
                <w:sz w:val="20"/>
                <w:szCs w:val="20"/>
                <w:color w:val="auto"/>
              </w:rPr>
            </w:pPr>
            <w:r>
              <w:rPr>
                <w:rFonts w:ascii="Arial" w:cs="Arial" w:eastAsia="Arial" w:hAnsi="Arial"/>
                <w:sz w:val="14"/>
                <w:szCs w:val="14"/>
                <w:color w:val="auto"/>
              </w:rPr>
              <w:t>Debt</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21"/>
              <w:spacing w:after="0" w:line="157" w:lineRule="exact"/>
              <w:rPr>
                <w:sz w:val="20"/>
                <w:szCs w:val="20"/>
                <w:color w:val="auto"/>
              </w:rPr>
            </w:pPr>
            <w:r>
              <w:rPr>
                <w:rFonts w:ascii="Arial" w:cs="Arial" w:eastAsia="Arial" w:hAnsi="Arial"/>
                <w:sz w:val="14"/>
                <w:szCs w:val="14"/>
                <w:color w:val="auto"/>
              </w:rPr>
              <w:t>VaR(1)</w:t>
            </w:r>
          </w:p>
        </w:tc>
        <w:tc>
          <w:tcPr>
            <w:tcW w:w="0" w:type="dxa"/>
            <w:vAlign w:val="bottom"/>
          </w:tcPr>
          <w:p>
            <w:pPr>
              <w:spacing w:after="0"/>
              <w:rPr>
                <w:sz w:val="1"/>
                <w:szCs w:val="1"/>
                <w:color w:val="auto"/>
              </w:rPr>
            </w:pPr>
          </w:p>
        </w:tc>
      </w:tr>
      <w:tr>
        <w:trPr>
          <w:trHeight w:val="218"/>
        </w:trPr>
        <w:tc>
          <w:tcPr>
            <w:tcW w:w="4100" w:type="dxa"/>
            <w:vAlign w:val="bottom"/>
          </w:tcPr>
          <w:p>
            <w:pPr>
              <w:spacing w:after="0"/>
              <w:rPr>
                <w:sz w:val="20"/>
                <w:szCs w:val="20"/>
                <w:color w:val="auto"/>
              </w:rPr>
            </w:pPr>
            <w:r>
              <w:rPr>
                <w:rFonts w:ascii="Arial" w:cs="Arial" w:eastAsia="Arial" w:hAnsi="Arial"/>
                <w:sz w:val="16"/>
                <w:szCs w:val="16"/>
                <w:color w:val="auto"/>
              </w:rPr>
              <w:t>At March 31, 2013:</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100" w:type="dxa"/>
            <w:vAlign w:val="bottom"/>
          </w:tcPr>
          <w:p>
            <w:pPr>
              <w:ind w:left="180"/>
              <w:spacing w:after="0"/>
              <w:rPr>
                <w:sz w:val="20"/>
                <w:szCs w:val="20"/>
                <w:color w:val="auto"/>
              </w:rPr>
            </w:pPr>
            <w:r>
              <w:rPr>
                <w:rFonts w:ascii="Arial" w:cs="Arial" w:eastAsia="Arial" w:hAnsi="Arial"/>
                <w:sz w:val="16"/>
                <w:szCs w:val="16"/>
                <w:color w:val="auto"/>
              </w:rPr>
              <w:t>California Utilities fixed-rate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5,204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556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3,791</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417</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1,413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6"/>
                <w:szCs w:val="16"/>
                <w:color w:val="auto"/>
              </w:rPr>
              <w:t>California Utilities variable-rate</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342</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6"/>
                <w:szCs w:val="16"/>
                <w:color w:val="auto"/>
              </w:rPr>
              <w:t>All other, fixed-rate and variable-rate</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6,324</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308</w:t>
            </w:r>
          </w:p>
        </w:tc>
        <w:tc>
          <w:tcPr>
            <w:tcW w:w="24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100" w:type="dxa"/>
            <w:vAlign w:val="bottom"/>
          </w:tcPr>
          <w:p>
            <w:pPr>
              <w:spacing w:after="0"/>
              <w:rPr>
                <w:sz w:val="20"/>
                <w:szCs w:val="20"/>
                <w:color w:val="auto"/>
              </w:rPr>
            </w:pPr>
            <w:r>
              <w:rPr>
                <w:rFonts w:ascii="Arial" w:cs="Arial" w:eastAsia="Arial" w:hAnsi="Arial"/>
                <w:sz w:val="16"/>
                <w:szCs w:val="16"/>
                <w:color w:val="auto"/>
              </w:rPr>
              <w:t>At December 31, 2012:</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100" w:type="dxa"/>
            <w:vAlign w:val="bottom"/>
          </w:tcPr>
          <w:p>
            <w:pPr>
              <w:ind w:left="180"/>
              <w:spacing w:after="0"/>
              <w:rPr>
                <w:sz w:val="20"/>
                <w:szCs w:val="20"/>
                <w:color w:val="auto"/>
              </w:rPr>
            </w:pPr>
            <w:r>
              <w:rPr>
                <w:rFonts w:ascii="Arial" w:cs="Arial" w:eastAsia="Arial" w:hAnsi="Arial"/>
                <w:sz w:val="16"/>
                <w:szCs w:val="16"/>
                <w:color w:val="auto"/>
              </w:rPr>
              <w:t>California Utilities fixed-rate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5,203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601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3,790</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451</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1,413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6"/>
                <w:szCs w:val="16"/>
                <w:color w:val="auto"/>
              </w:rPr>
              <w:t>California Utilities variable-rate</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345</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345</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1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All other, fixed-rate and variable-rate</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6,306</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4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(1) After the effects of interest rate swaps.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We provide additional information about interest rate swap transactions in Note 7 of the Notes to Condensed Consolidated Financial Statements herein.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RATE RISK</w:t>
      </w:r>
    </w:p>
    <w:p>
      <w:pPr>
        <w:spacing w:after="0" w:line="247"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We discuss our foreign currency rate risk in detail in “Management’s Discussion and Analysis of Financial Condition and Results of Operations” in the Annual Report. At March 31, 2013, there were no significant changes to our exposure to foreign currency rate risk since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464820</wp:posOffset>
            </wp:positionV>
            <wp:extent cx="726376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ITEM 4. CONTROLS AND PROCEDURES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Sempra Energy, SDG&amp;E and SoCalGas have designed and maintain disclosure controls and procedures to ensure that information required to be disclosed in their respective reports is recorded, processed, summarized and reported within the time periods specified in the rules and forms of the Securities and Exchange Commission and is accumulated and communicated to the management of each company, including each respective Chief Executive Officer and Chief Financial Officer, to allow timely decisions regarding required disclosure. In designing and evaluating these controls and procedures, the management of each company recognizes that any system of controls and procedures, no matter how well designed and operated, can provide only reasonable assurance of achieving the desired control objectives; therefore, the management of each company applies judgment in evaluating the cost-benefit relationship of other possible controls and procedures.</w:t>
      </w:r>
    </w:p>
    <w:p>
      <w:pPr>
        <w:sectPr>
          <w:pgSz w:w="11900" w:h="16838" w:orient="portrait"/>
          <w:cols w:equalWidth="0" w:num="1">
            <w:col w:w="11420"/>
          </w:cols>
          <w:pgMar w:left="240" w:top="368" w:right="239" w:bottom="0" w:gutter="0" w:footer="0" w:header="0"/>
        </w:sectPr>
      </w:pPr>
    </w:p>
    <w:bookmarkStart w:id="71" w:name="page72"/>
    <w:bookmarkEnd w:id="71"/>
    <w:p>
      <w:pPr>
        <w:ind w:right="20"/>
        <w:spacing w:after="0" w:line="302" w:lineRule="auto"/>
        <w:rPr>
          <w:sz w:val="20"/>
          <w:szCs w:val="20"/>
          <w:color w:val="auto"/>
        </w:rPr>
      </w:pPr>
      <w:r>
        <w:rPr>
          <w:rFonts w:ascii="Arial" w:cs="Arial" w:eastAsia="Arial" w:hAnsi="Arial"/>
          <w:sz w:val="16"/>
          <w:szCs w:val="16"/>
          <w:color w:val="auto"/>
        </w:rPr>
        <w:t>Under the supervision and with the participation of management, including the Chief Executive Officers and Chief Financial Officers of Sempra Energy, SDG&amp;E and SoCalGas, each company evaluated the effectiveness of the design and operation of its disclosure controls and procedures as of March 31, 2013, the end of the period covered by this report. Based on these evaluations, the Chief Executive Officers and Chief Financial Officers of Sempra Energy, SDG&amp;E and SoCalGas concluded that their respective company’s disclosure controls and procedures were effective at the reasonable assurance level.</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have been no changes in the companies’ internal control over financial reporting during the most recent fiscal quarter that have materially affected, or are reasonably likely to materially affect, the companies’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3"/>
          <w:szCs w:val="23"/>
          <w:color w:val="auto"/>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541020</wp:posOffset>
            </wp:positionV>
            <wp:extent cx="726376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color w:val="auto"/>
        </w:rPr>
        <w:t>ITEM 1. LEGAL PROCEEDINGS</w:t>
      </w:r>
    </w:p>
    <w:p>
      <w:pPr>
        <w:spacing w:after="0" w:line="200" w:lineRule="exact"/>
        <w:rPr>
          <w:sz w:val="20"/>
          <w:szCs w:val="20"/>
          <w:color w:val="auto"/>
        </w:rPr>
      </w:pPr>
    </w:p>
    <w:p>
      <w:pPr>
        <w:spacing w:after="0" w:line="2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not party to, and our property is not the subject of, any material pending legal proceedings (other than ordinary routine litigation incidental to our businesses) except for the matters 1) described in Notes 9 and 10 of the Notes to Condensed Consolidated Financial Statements herein and Notes 14 and 15 of the Notes to Consolidated Financial Statements in the Annual Report, or 2) referred to in “Management's Discussion and Analysis of Financial Condition and Results of Operations” herein and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522605</wp:posOffset>
            </wp:positionV>
            <wp:extent cx="72637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ITEM 1A. RISK FACTORS</w:t>
      </w:r>
    </w:p>
    <w:p>
      <w:pPr>
        <w:spacing w:after="0" w:line="200" w:lineRule="exact"/>
        <w:rPr>
          <w:sz w:val="20"/>
          <w:szCs w:val="20"/>
          <w:color w:val="auto"/>
        </w:rPr>
      </w:pPr>
    </w:p>
    <w:p>
      <w:pPr>
        <w:spacing w:after="0" w:line="2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have not been any material changes from the risk factors previously disclosed in our Annual Report on Form 10-K for the year ended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2637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ITEM 6. EXHIBITS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relate to each registrant as indicated.</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10 -- MATERIAL CONTRACTS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 San Diego Gas &amp; Electric Company</w:t>
      </w:r>
    </w:p>
    <w:p>
      <w:pPr>
        <w:spacing w:after="0" w:line="21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10.1 Severance Pay Agreement between Sempra Energy and Michael R. Niggli, dated February 18, 2013.</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10.2 Severance Pay Agreement between Sempra Energy and James P. Avery, dated February 18, 2013.</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10.3 Severance Pay Agreement between Sempra Energy and Lee Schavrien, dated February 18, 2013.</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10.4 Severance Pay Agreement between Sempra Energy and Woodrow D. Smith, dated February 18, 2013.</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 Southern California Gas Company</w:t>
      </w:r>
    </w:p>
    <w:p>
      <w:pPr>
        <w:spacing w:after="0" w:line="21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10.5 Severance Pay Agreement between Sempra Energy and Erbin Keith, dated February 18, 2013.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12 -- STATEMENTS RE: COMPUTATION OF RATIOS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1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12.1 Sempra Energy Computation of Ratio of Earnings to Combined Fixed Charges and Preferred Stock Dividends.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Diego Gas &amp; Electric Company</w:t>
      </w:r>
    </w:p>
    <w:p>
      <w:pPr>
        <w:sectPr>
          <w:pgSz w:w="11900" w:h="16838" w:orient="portrait"/>
          <w:cols w:equalWidth="0" w:num="1">
            <w:col w:w="11400"/>
          </w:cols>
          <w:pgMar w:left="240" w:top="125" w:right="259" w:bottom="0" w:gutter="0" w:footer="0" w:header="0"/>
        </w:sectPr>
      </w:pPr>
    </w:p>
    <w:bookmarkStart w:id="72" w:name="page73"/>
    <w:bookmarkEnd w:id="72"/>
    <w:p>
      <w:pPr>
        <w:ind w:left="740"/>
        <w:spacing w:after="0"/>
        <w:rPr>
          <w:sz w:val="20"/>
          <w:szCs w:val="20"/>
          <w:color w:val="auto"/>
        </w:rPr>
      </w:pPr>
      <w:r>
        <w:rPr>
          <w:rFonts w:ascii="Arial" w:cs="Arial" w:eastAsia="Arial" w:hAnsi="Arial"/>
          <w:sz w:val="17"/>
          <w:szCs w:val="17"/>
          <w:color w:val="auto"/>
        </w:rPr>
        <w:t>12.2 San Diego Gas &amp; Electric Company Computation of Ratio of Earnings to Combined Fixed Charges and Preferred Stock Dividends.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12.3 Southern California Gas Company Computation of Ratio of Earnings to Combined Fixed Charges and Preferred Stock Dividends.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31 -- SECTION 302 CERTIFICATIONS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18" w:lineRule="exact"/>
        <w:rPr>
          <w:sz w:val="20"/>
          <w:szCs w:val="20"/>
          <w:color w:val="auto"/>
        </w:rPr>
      </w:pPr>
    </w:p>
    <w:p>
      <w:pPr>
        <w:ind w:left="740"/>
        <w:spacing w:after="0"/>
        <w:rPr>
          <w:sz w:val="20"/>
          <w:szCs w:val="20"/>
          <w:color w:val="auto"/>
        </w:rPr>
      </w:pPr>
      <w:r>
        <w:rPr>
          <w:rFonts w:ascii="Arial" w:cs="Arial" w:eastAsia="Arial" w:hAnsi="Arial"/>
          <w:sz w:val="17"/>
          <w:szCs w:val="17"/>
          <w:color w:val="auto"/>
        </w:rPr>
        <w:t>31.1 Statement of Sempra Energy’s Chief Executive Officer pursuant to Rules 13a-14 and 15d-14 of the Securities Exchange Act of 1934.</w:t>
      </w:r>
    </w:p>
    <w:p>
      <w:pPr>
        <w:spacing w:after="0" w:line="237" w:lineRule="exact"/>
        <w:rPr>
          <w:sz w:val="20"/>
          <w:szCs w:val="20"/>
          <w:color w:val="auto"/>
        </w:rPr>
      </w:pPr>
    </w:p>
    <w:p>
      <w:pPr>
        <w:ind w:left="740"/>
        <w:spacing w:after="0"/>
        <w:rPr>
          <w:sz w:val="20"/>
          <w:szCs w:val="20"/>
          <w:color w:val="auto"/>
        </w:rPr>
      </w:pPr>
      <w:r>
        <w:rPr>
          <w:rFonts w:ascii="Arial" w:cs="Arial" w:eastAsia="Arial" w:hAnsi="Arial"/>
          <w:sz w:val="17"/>
          <w:szCs w:val="17"/>
          <w:color w:val="auto"/>
        </w:rPr>
        <w:t>31.2 Statement of Sempra Energy’s Chief Financial Officer pursuant to Rules 13a-14 and 15d-14 of the Securities Exchange Act of 1934.</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218" w:lineRule="exact"/>
        <w:rPr>
          <w:sz w:val="20"/>
          <w:szCs w:val="20"/>
          <w:color w:val="auto"/>
        </w:rPr>
      </w:pPr>
    </w:p>
    <w:p>
      <w:pPr>
        <w:ind w:left="1140" w:hanging="404"/>
        <w:spacing w:after="0" w:line="277" w:lineRule="auto"/>
        <w:rPr>
          <w:sz w:val="20"/>
          <w:szCs w:val="20"/>
          <w:color w:val="auto"/>
        </w:rPr>
      </w:pPr>
      <w:r>
        <w:rPr>
          <w:rFonts w:ascii="Arial" w:cs="Arial" w:eastAsia="Arial" w:hAnsi="Arial"/>
          <w:sz w:val="18"/>
          <w:szCs w:val="18"/>
          <w:color w:val="auto"/>
        </w:rPr>
        <w:t>31.3 Statement of San Diego Gas &amp; Electric Company’s Chief Executive Officer pursuant to Rules 13a-14 and 15d-14 of the Securities Exchange Act of 1934.</w:t>
      </w:r>
    </w:p>
    <w:p>
      <w:pPr>
        <w:spacing w:after="0" w:line="170" w:lineRule="exact"/>
        <w:rPr>
          <w:sz w:val="20"/>
          <w:szCs w:val="20"/>
          <w:color w:val="auto"/>
        </w:rPr>
      </w:pPr>
    </w:p>
    <w:p>
      <w:pPr>
        <w:ind w:left="1140" w:right="40" w:hanging="404"/>
        <w:spacing w:after="0" w:line="277" w:lineRule="auto"/>
        <w:rPr>
          <w:sz w:val="20"/>
          <w:szCs w:val="20"/>
          <w:color w:val="auto"/>
        </w:rPr>
      </w:pPr>
      <w:r>
        <w:rPr>
          <w:rFonts w:ascii="Arial" w:cs="Arial" w:eastAsia="Arial" w:hAnsi="Arial"/>
          <w:sz w:val="18"/>
          <w:szCs w:val="18"/>
          <w:color w:val="auto"/>
        </w:rPr>
        <w:t>31.4 Statement of San Diego Gas &amp; Electric Company’s Chief Financial Officer pursuant to Rules 13a-14 and 15d-14 of the Securities Exchange Act of 1934.</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218" w:lineRule="exact"/>
        <w:rPr>
          <w:sz w:val="20"/>
          <w:szCs w:val="20"/>
          <w:color w:val="auto"/>
        </w:rPr>
      </w:pPr>
    </w:p>
    <w:p>
      <w:pPr>
        <w:ind w:left="1140" w:right="120" w:hanging="404"/>
        <w:spacing w:after="0" w:line="277" w:lineRule="auto"/>
        <w:rPr>
          <w:sz w:val="20"/>
          <w:szCs w:val="20"/>
          <w:color w:val="auto"/>
        </w:rPr>
      </w:pPr>
      <w:r>
        <w:rPr>
          <w:rFonts w:ascii="Arial" w:cs="Arial" w:eastAsia="Arial" w:hAnsi="Arial"/>
          <w:sz w:val="18"/>
          <w:szCs w:val="18"/>
          <w:color w:val="auto"/>
        </w:rPr>
        <w:t>31.5 Statement of Southern California Gas Company’s Chief Executive Officer pursuant to Rules 13a-14 and 15d-14 of the Securities Exchange Act of 1934.</w:t>
      </w:r>
    </w:p>
    <w:p>
      <w:pPr>
        <w:spacing w:after="0" w:line="170" w:lineRule="exact"/>
        <w:rPr>
          <w:sz w:val="20"/>
          <w:szCs w:val="20"/>
          <w:color w:val="auto"/>
        </w:rPr>
      </w:pPr>
    </w:p>
    <w:p>
      <w:pPr>
        <w:ind w:left="1140" w:right="160" w:hanging="404"/>
        <w:spacing w:after="0" w:line="277" w:lineRule="auto"/>
        <w:rPr>
          <w:sz w:val="20"/>
          <w:szCs w:val="20"/>
          <w:color w:val="auto"/>
        </w:rPr>
      </w:pPr>
      <w:r>
        <w:rPr>
          <w:rFonts w:ascii="Arial" w:cs="Arial" w:eastAsia="Arial" w:hAnsi="Arial"/>
          <w:sz w:val="18"/>
          <w:szCs w:val="18"/>
          <w:color w:val="auto"/>
        </w:rPr>
        <w:t>31.6 Statement of Southern California Gas Company’s Chief Financial Officer pursuant to Rules 13a-14 and 15d-14 of the Securities Exchange Act of 1934.</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32 -- SECTION 906 CERTIFICATIONS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1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32.1 Statement of Sempra Energy’s Chief Executive Officer pursuant to 18 U.S.C. Sec. 1350.</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32.2 Statement of Sempra Energy’s Chief Financial Officer pursuant to 18 U.S.C. Sec. 1350.</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21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32.3 Statement of San Diego Gas &amp; Electric Company’s Chief Executive Officer pursuant to 18 U.S.C. Sec. 1350.</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32.4 Statement of San Diego Gas &amp; Electric Company’s Chief Financial Officer pursuant to 18 U.S.C. Sec. 1350.</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21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32.5 Statement of Southern California Gas Company’s Chief Executive Officer pursuant to 18 U.S.C. Sec. 1350.</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32.6 Statement of Southern California Gas Company’s Chief Financial Officer pursuant to 18 U.S.C. Sec. 1350.</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101 -- INTERACTIVE DATA FILE</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 San Diego Gas &amp; Electric / Southern California Gas Company</w:t>
      </w:r>
    </w:p>
    <w:p>
      <w:pPr>
        <w:spacing w:after="0" w:line="21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101.INS XBRL Instance Document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101.SCH XBRL Taxonomy Extension Schema Document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101.LAB XBRL Taxonomy Extension Label Linkbase Document</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101.PRE XBRL Taxonomy Extension Presentation Linkbase Document</w:t>
      </w:r>
    </w:p>
    <w:p>
      <w:pPr>
        <w:sectPr>
          <w:pgSz w:w="11900" w:h="16838" w:orient="portrait"/>
          <w:cols w:equalWidth="0" w:num="1">
            <w:col w:w="11280"/>
          </w:cols>
          <w:pgMar w:left="240" w:top="125" w:right="379" w:bottom="1440" w:gutter="0" w:footer="0" w:header="0"/>
        </w:sectPr>
      </w:pPr>
    </w:p>
    <w:bookmarkStart w:id="73" w:name="page74"/>
    <w:bookmarkEnd w:id="73"/>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SEMPRA ENERGY,</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1960"/>
        <w:spacing w:after="0"/>
        <w:tabs>
          <w:tab w:leader="none" w:pos="5880" w:val="left"/>
        </w:tabs>
        <w:rPr>
          <w:sz w:val="20"/>
          <w:szCs w:val="20"/>
          <w:color w:val="auto"/>
        </w:rPr>
      </w:pPr>
      <w:r>
        <w:rPr>
          <w:rFonts w:ascii="Arial" w:cs="Arial" w:eastAsia="Arial" w:hAnsi="Arial"/>
          <w:sz w:val="18"/>
          <w:szCs w:val="18"/>
          <w:color w:val="auto"/>
        </w:rPr>
        <w:t>Date: May 2, 2013</w:t>
      </w:r>
      <w:r>
        <w:rPr>
          <w:sz w:val="20"/>
          <w:szCs w:val="20"/>
          <w:color w:val="auto"/>
        </w:rPr>
        <w:tab/>
      </w:r>
      <w:r>
        <w:rPr>
          <w:rFonts w:ascii="Arial" w:cs="Arial" w:eastAsia="Arial" w:hAnsi="Arial"/>
          <w:sz w:val="17"/>
          <w:szCs w:val="17"/>
          <w:color w:val="auto"/>
        </w:rPr>
        <w:t>By: /s/ Trevor I. Mihalik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14605</wp:posOffset>
            </wp:positionV>
            <wp:extent cx="349885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98850" cy="17145"/>
                    </a:xfrm>
                    <a:prstGeom prst="rect">
                      <a:avLst/>
                    </a:prstGeom>
                    <a:noFill/>
                  </pic:spPr>
                </pic:pic>
              </a:graphicData>
            </a:graphic>
          </wp:anchor>
        </w:drawing>
      </w:r>
    </w:p>
    <w:p>
      <w:pPr>
        <w:spacing w:after="0" w:line="3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Trevor I. Mihalik</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Controller and Chief Accounting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 Diego Gas &amp; Electric Company:</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SAN DIEGO GAS &amp; ELECTRIC COMPANY,</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1960"/>
        <w:spacing w:after="0"/>
        <w:tabs>
          <w:tab w:leader="none" w:pos="5880" w:val="left"/>
        </w:tabs>
        <w:rPr>
          <w:sz w:val="20"/>
          <w:szCs w:val="20"/>
          <w:color w:val="auto"/>
        </w:rPr>
      </w:pPr>
      <w:r>
        <w:rPr>
          <w:rFonts w:ascii="Arial" w:cs="Arial" w:eastAsia="Arial" w:hAnsi="Arial"/>
          <w:sz w:val="18"/>
          <w:szCs w:val="18"/>
          <w:color w:val="auto"/>
        </w:rPr>
        <w:t>Date: May 2, 2013</w:t>
      </w:r>
      <w:r>
        <w:rPr>
          <w:sz w:val="20"/>
          <w:szCs w:val="20"/>
          <w:color w:val="auto"/>
        </w:rPr>
        <w:tab/>
      </w:r>
      <w:r>
        <w:rPr>
          <w:rFonts w:ascii="Arial" w:cs="Arial" w:eastAsia="Arial" w:hAnsi="Arial"/>
          <w:sz w:val="17"/>
          <w:szCs w:val="17"/>
          <w:color w:val="auto"/>
        </w:rPr>
        <w:t>By: /s/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14605</wp:posOffset>
            </wp:positionV>
            <wp:extent cx="349885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98850" cy="17145"/>
                    </a:xfrm>
                    <a:prstGeom prst="rect">
                      <a:avLst/>
                    </a:prstGeom>
                    <a:noFill/>
                  </pic:spPr>
                </pic:pic>
              </a:graphicData>
            </a:graphic>
          </wp:anchor>
        </w:drawing>
      </w:r>
    </w:p>
    <w:p>
      <w:pPr>
        <w:spacing w:after="0" w:line="3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Robert M. Schlax</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Vice President, Controller, Chief Financial Officer and Chief</w:t>
      </w:r>
    </w:p>
    <w:p>
      <w:pPr>
        <w:spacing w:after="0" w:line="3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Accounting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Southern California Gas Company:</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SOUTHERN CALIFORNIA GAS COMPANY,</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1960"/>
        <w:spacing w:after="0"/>
        <w:tabs>
          <w:tab w:leader="none" w:pos="5880" w:val="left"/>
        </w:tabs>
        <w:rPr>
          <w:sz w:val="20"/>
          <w:szCs w:val="20"/>
          <w:color w:val="auto"/>
        </w:rPr>
      </w:pPr>
      <w:r>
        <w:rPr>
          <w:rFonts w:ascii="Arial" w:cs="Arial" w:eastAsia="Arial" w:hAnsi="Arial"/>
          <w:sz w:val="18"/>
          <w:szCs w:val="18"/>
          <w:color w:val="auto"/>
        </w:rPr>
        <w:t>Date: May 2, 2013</w:t>
      </w:r>
      <w:r>
        <w:rPr>
          <w:sz w:val="20"/>
          <w:szCs w:val="20"/>
          <w:color w:val="auto"/>
        </w:rPr>
        <w:tab/>
      </w:r>
      <w:r>
        <w:rPr>
          <w:rFonts w:ascii="Arial" w:cs="Arial" w:eastAsia="Arial" w:hAnsi="Arial"/>
          <w:sz w:val="17"/>
          <w:szCs w:val="17"/>
          <w:color w:val="auto"/>
        </w:rPr>
        <w:t>By: /s/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14605</wp:posOffset>
            </wp:positionV>
            <wp:extent cx="349885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98850" cy="17145"/>
                    </a:xfrm>
                    <a:prstGeom prst="rect">
                      <a:avLst/>
                    </a:prstGeom>
                    <a:noFill/>
                  </pic:spPr>
                </pic:pic>
              </a:graphicData>
            </a:graphic>
          </wp:anchor>
        </w:drawing>
      </w:r>
    </w:p>
    <w:p>
      <w:pPr>
        <w:spacing w:after="0" w:line="3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Robert M. Schlax</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Vice President, Controller, Chief Financial Officer and Chief</w:t>
      </w:r>
    </w:p>
    <w:p>
      <w:pPr>
        <w:spacing w:after="0" w:line="3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Accounting Officer</w:t>
      </w:r>
    </w:p>
    <w:p>
      <w:pPr>
        <w:sectPr>
          <w:pgSz w:w="11900" w:h="16838" w:orient="portrait"/>
          <w:cols w:equalWidth="0" w:num="1">
            <w:col w:w="10300"/>
          </w:cols>
          <w:pgMar w:left="240" w:top="769" w:right="1359" w:bottom="1440" w:gutter="0" w:footer="0" w:header="0"/>
        </w:sectPr>
      </w:pPr>
    </w:p>
    <w:bookmarkStart w:id="74" w:name="page75"/>
    <w:bookmarkEnd w:id="74"/>
    <w:p>
      <w:pPr>
        <w:jc w:val="right"/>
        <w:spacing w:after="0"/>
        <w:rPr>
          <w:sz w:val="20"/>
          <w:szCs w:val="20"/>
          <w:color w:val="auto"/>
        </w:rPr>
      </w:pPr>
      <w:r>
        <w:rPr>
          <w:rFonts w:ascii="Arial" w:cs="Arial" w:eastAsia="Arial" w:hAnsi="Arial"/>
          <w:sz w:val="25"/>
          <w:szCs w:val="25"/>
          <w:b w:val="1"/>
          <w:bCs w:val="1"/>
          <w:color w:val="auto"/>
        </w:rPr>
        <w:t>Exhibit 10.1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SEMPRA ENERGY</w:t>
      </w:r>
    </w:p>
    <w:p>
      <w:pPr>
        <w:jc w:val="center"/>
        <w:spacing w:after="0"/>
        <w:rPr>
          <w:sz w:val="20"/>
          <w:szCs w:val="20"/>
          <w:color w:val="auto"/>
        </w:rPr>
      </w:pPr>
      <w:r>
        <w:rPr>
          <w:rFonts w:ascii="Arial" w:cs="Arial" w:eastAsia="Arial" w:hAnsi="Arial"/>
          <w:sz w:val="22"/>
          <w:szCs w:val="22"/>
          <w:b w:val="1"/>
          <w:bCs w:val="1"/>
          <w:color w:val="auto"/>
        </w:rPr>
        <w:t>SEVERANCE PAY AGREEMENT</w:t>
      </w:r>
    </w:p>
    <w:p>
      <w:pPr>
        <w:spacing w:after="0" w:line="182" w:lineRule="exact"/>
        <w:rPr>
          <w:sz w:val="20"/>
          <w:szCs w:val="20"/>
          <w:color w:val="auto"/>
        </w:rPr>
      </w:pPr>
    </w:p>
    <w:p>
      <w:pPr>
        <w:ind w:right="360" w:firstLine="1297"/>
        <w:spacing w:after="0" w:line="280" w:lineRule="auto"/>
        <w:rPr>
          <w:sz w:val="20"/>
          <w:szCs w:val="20"/>
          <w:color w:val="auto"/>
        </w:rPr>
      </w:pPr>
      <w:r>
        <w:rPr>
          <w:rFonts w:ascii="Arial" w:cs="Arial" w:eastAsia="Arial" w:hAnsi="Arial"/>
          <w:sz w:val="21"/>
          <w:szCs w:val="21"/>
          <w:b w:val="1"/>
          <w:bCs w:val="1"/>
          <w:color w:val="auto"/>
        </w:rPr>
        <w:t xml:space="preserve">THIS AGREEMENT </w:t>
      </w:r>
      <w:r>
        <w:rPr>
          <w:rFonts w:ascii="Arial" w:cs="Arial" w:eastAsia="Arial" w:hAnsi="Arial"/>
          <w:sz w:val="21"/>
          <w:szCs w:val="21"/>
          <w:color w:val="auto"/>
        </w:rPr>
        <w:t>(this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 February 18, 2013 (the “</w:t>
      </w:r>
      <w:r>
        <w:rPr>
          <w:rFonts w:ascii="Arial" w:cs="Arial" w:eastAsia="Arial" w:hAnsi="Arial"/>
          <w:sz w:val="21"/>
          <w:szCs w:val="21"/>
          <w:u w:val="single" w:color="auto"/>
          <w:color w:val="auto"/>
        </w:rPr>
        <w:t>Effective Date</w:t>
      </w:r>
      <w:r>
        <w:rPr>
          <w:rFonts w:ascii="Arial" w:cs="Arial" w:eastAsia="Arial" w:hAnsi="Arial"/>
          <w:sz w:val="21"/>
          <w:szCs w:val="21"/>
          <w:color w:val="auto"/>
        </w:rPr>
        <w:t>”), is made by and</w:t>
      </w:r>
      <w:r>
        <w:rPr>
          <w:rFonts w:ascii="Arial" w:cs="Arial" w:eastAsia="Arial" w:hAnsi="Arial"/>
          <w:sz w:val="21"/>
          <w:szCs w:val="21"/>
          <w:b w:val="1"/>
          <w:bCs w:val="1"/>
          <w:color w:val="auto"/>
        </w:rPr>
        <w:t xml:space="preserve"> </w:t>
      </w:r>
      <w:r>
        <w:rPr>
          <w:rFonts w:ascii="Arial" w:cs="Arial" w:eastAsia="Arial" w:hAnsi="Arial"/>
          <w:sz w:val="21"/>
          <w:szCs w:val="21"/>
          <w:color w:val="auto"/>
        </w:rPr>
        <w:t>between SEMPRA ENERGY, a California corporation (“</w:t>
      </w:r>
      <w:r>
        <w:rPr>
          <w:rFonts w:ascii="Arial" w:cs="Arial" w:eastAsia="Arial" w:hAnsi="Arial"/>
          <w:sz w:val="21"/>
          <w:szCs w:val="21"/>
          <w:u w:val="single" w:color="auto"/>
          <w:color w:val="auto"/>
        </w:rPr>
        <w:t>Sempra Energy</w:t>
      </w:r>
      <w:r>
        <w:rPr>
          <w:rFonts w:ascii="Arial" w:cs="Arial" w:eastAsia="Arial" w:hAnsi="Arial"/>
          <w:sz w:val="21"/>
          <w:szCs w:val="21"/>
          <w:color w:val="auto"/>
        </w:rPr>
        <w:t>”), and Michael R. Niggli (the “</w:t>
      </w:r>
      <w:r>
        <w:rPr>
          <w:rFonts w:ascii="Arial" w:cs="Arial" w:eastAsia="Arial" w:hAnsi="Arial"/>
          <w:sz w:val="21"/>
          <w:szCs w:val="21"/>
          <w:u w:val="single" w:color="auto"/>
          <w:color w:val="auto"/>
        </w:rPr>
        <w:t>Executive</w:t>
      </w:r>
      <w:r>
        <w:rPr>
          <w:rFonts w:ascii="Arial" w:cs="Arial" w:eastAsia="Arial" w:hAnsi="Arial"/>
          <w:sz w:val="21"/>
          <w:szCs w:val="21"/>
          <w:color w:val="auto"/>
        </w:rPr>
        <w:t>”).</w:t>
      </w:r>
    </w:p>
    <w:p>
      <w:pPr>
        <w:spacing w:after="0" w:line="139" w:lineRule="exact"/>
        <w:rPr>
          <w:sz w:val="20"/>
          <w:szCs w:val="20"/>
          <w:color w:val="auto"/>
        </w:rPr>
      </w:pPr>
    </w:p>
    <w:p>
      <w:pPr>
        <w:ind w:right="300" w:firstLine="1297"/>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Executive is currently employed by Sempra Energy or a direct or indirect subsidiary of Sempra</w:t>
      </w:r>
      <w:r>
        <w:rPr>
          <w:rFonts w:ascii="Arial" w:cs="Arial" w:eastAsia="Arial" w:hAnsi="Arial"/>
          <w:sz w:val="22"/>
          <w:szCs w:val="22"/>
          <w:b w:val="1"/>
          <w:bCs w:val="1"/>
          <w:color w:val="auto"/>
        </w:rPr>
        <w:t xml:space="preserve"> </w:t>
      </w:r>
      <w:r>
        <w:rPr>
          <w:rFonts w:ascii="Arial" w:cs="Arial" w:eastAsia="Arial" w:hAnsi="Arial"/>
          <w:sz w:val="22"/>
          <w:szCs w:val="22"/>
          <w:color w:val="auto"/>
        </w:rPr>
        <w:t>Energy (Sempra Energy and its subsidiaries are hereinafter collectively referred to as the “</w:t>
      </w:r>
      <w:r>
        <w:rPr>
          <w:rFonts w:ascii="Arial" w:cs="Arial" w:eastAsia="Arial" w:hAnsi="Arial"/>
          <w:sz w:val="22"/>
          <w:szCs w:val="22"/>
          <w:u w:val="single" w:color="auto"/>
          <w:color w:val="auto"/>
        </w:rPr>
        <w:t>Company</w:t>
      </w:r>
      <w:r>
        <w:rPr>
          <w:rFonts w:ascii="Arial" w:cs="Arial" w:eastAsia="Arial" w:hAnsi="Arial"/>
          <w:sz w:val="22"/>
          <w:szCs w:val="22"/>
          <w:color w:val="auto"/>
        </w:rPr>
        <w:t>”) as President and Chief Operating Officer, San Diego Gas &amp; Electric; and</w:t>
      </w:r>
    </w:p>
    <w:p>
      <w:pPr>
        <w:spacing w:after="0" w:line="177" w:lineRule="exact"/>
        <w:rPr>
          <w:sz w:val="20"/>
          <w:szCs w:val="20"/>
          <w:color w:val="auto"/>
        </w:rPr>
      </w:pPr>
    </w:p>
    <w:p>
      <w:pPr>
        <w:ind w:left="1300" w:right="1360"/>
        <w:spacing w:after="0" w:line="504"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Sempra Energy and the Executive desire to enter into this Agreement; and</w:t>
      </w:r>
      <w:r>
        <w:rPr>
          <w:rFonts w:ascii="Arial" w:cs="Arial" w:eastAsia="Arial" w:hAnsi="Arial"/>
          <w:sz w:val="19"/>
          <w:szCs w:val="19"/>
          <w:b w:val="1"/>
          <w:bCs w:val="1"/>
          <w:color w:val="auto"/>
        </w:rPr>
        <w:t xml:space="preserve"> WHEREAS</w:t>
      </w:r>
      <w:r>
        <w:rPr>
          <w:rFonts w:ascii="Arial" w:cs="Arial" w:eastAsia="Arial" w:hAnsi="Arial"/>
          <w:sz w:val="19"/>
          <w:szCs w:val="19"/>
          <w:color w:val="auto"/>
        </w:rPr>
        <w:t>, the Board of Directors of Sempra Energy (the “</w:t>
      </w:r>
      <w:r>
        <w:rPr>
          <w:rFonts w:ascii="Arial" w:cs="Arial" w:eastAsia="Arial" w:hAnsi="Arial"/>
          <w:sz w:val="19"/>
          <w:szCs w:val="19"/>
          <w:u w:val="single" w:color="auto"/>
          <w:color w:val="auto"/>
        </w:rPr>
        <w:t>Board</w:t>
      </w:r>
      <w:r>
        <w:rPr>
          <w:rFonts w:ascii="Arial" w:cs="Arial" w:eastAsia="Arial" w:hAnsi="Arial"/>
          <w:sz w:val="19"/>
          <w:szCs w:val="19"/>
          <w:color w:val="auto"/>
        </w:rPr>
        <w:t>”) has authorized this Agreement.</w:t>
      </w:r>
    </w:p>
    <w:p>
      <w:pPr>
        <w:spacing w:after="0" w:line="1" w:lineRule="exact"/>
        <w:rPr>
          <w:sz w:val="20"/>
          <w:szCs w:val="20"/>
          <w:color w:val="auto"/>
        </w:rPr>
      </w:pPr>
    </w:p>
    <w:p>
      <w:pPr>
        <w:ind w:right="200" w:firstLine="1297"/>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mutual covenants herein contained, the Company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Executive hereby agree as follows:</w:t>
      </w:r>
    </w:p>
    <w:p>
      <w:pPr>
        <w:spacing w:after="0" w:line="15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this Agreement, the following capitalized terms have the meanings set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forth below:</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Accounting Firm</w:t>
      </w:r>
      <w:r>
        <w:rPr>
          <w:rFonts w:ascii="Arial" w:cs="Arial" w:eastAsia="Arial" w:hAnsi="Arial"/>
          <w:sz w:val="22"/>
          <w:szCs w:val="22"/>
          <w:color w:val="auto"/>
        </w:rPr>
        <w:t>” has the meaning assigned thereto in Section 8(d) hereof.</w:t>
      </w:r>
    </w:p>
    <w:p>
      <w:pPr>
        <w:spacing w:after="0" w:line="206" w:lineRule="exact"/>
        <w:rPr>
          <w:sz w:val="20"/>
          <w:szCs w:val="20"/>
          <w:color w:val="auto"/>
        </w:rPr>
      </w:pPr>
    </w:p>
    <w:p>
      <w:pPr>
        <w:ind w:right="140" w:firstLine="12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Accrued Obligations</w:t>
      </w:r>
      <w:r>
        <w:rPr>
          <w:rFonts w:ascii="Arial" w:cs="Arial" w:eastAsia="Arial" w:hAnsi="Arial"/>
          <w:sz w:val="22"/>
          <w:szCs w:val="22"/>
          <w:color w:val="auto"/>
        </w:rPr>
        <w:t>” means the sum of (A) the Executive’s Annual Base Salary through the Date of Termination to the extent not theretofore paid, (B) an amount equal to any annual Incentive Compensation Awards earned with respect to fiscal years ended prior to the year that includes the Date of Termination to the extent not theretofore paid, (C) any accrued and unpaid vacation, if any, and (D) reimbursement for unreimbursed business expenses, if any, properly incurred by the Executive in the performance of his duties in accordance with policies established from time to time by the Board, in each case to the extent not theretofore paid.</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has the meaning set forth in Rule 12b-2 promulgated under the Exchange Act.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Base Salary</w:t>
      </w:r>
      <w:r>
        <w:rPr>
          <w:rFonts w:ascii="Arial" w:cs="Arial" w:eastAsia="Arial" w:hAnsi="Arial"/>
          <w:sz w:val="22"/>
          <w:szCs w:val="22"/>
          <w:color w:val="auto"/>
        </w:rPr>
        <w:t>” means the Executive’s annual base salary from the Company.</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Purchaser</w:t>
      </w:r>
      <w:r>
        <w:rPr>
          <w:rFonts w:ascii="Arial" w:cs="Arial" w:eastAsia="Arial" w:hAnsi="Arial"/>
          <w:sz w:val="22"/>
          <w:szCs w:val="22"/>
          <w:color w:val="auto"/>
        </w:rPr>
        <w:t>” has the meaning assigned thereto in Section 16(e).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Sale</w:t>
      </w:r>
      <w:r>
        <w:rPr>
          <w:rFonts w:ascii="Arial" w:cs="Arial" w:eastAsia="Arial" w:hAnsi="Arial"/>
          <w:sz w:val="22"/>
          <w:szCs w:val="22"/>
          <w:color w:val="auto"/>
        </w:rPr>
        <w:t>” has the meaning assigned thereto in Section 16(e).</w:t>
      </w:r>
    </w:p>
    <w:p>
      <w:pPr>
        <w:spacing w:after="0" w:line="206" w:lineRule="exact"/>
        <w:rPr>
          <w:sz w:val="20"/>
          <w:szCs w:val="20"/>
          <w:color w:val="auto"/>
        </w:rPr>
      </w:pPr>
    </w:p>
    <w:p>
      <w:pPr>
        <w:ind w:right="60" w:firstLine="129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Average Annual Bonus</w:t>
      </w:r>
      <w:r>
        <w:rPr>
          <w:rFonts w:ascii="Arial" w:cs="Arial" w:eastAsia="Arial" w:hAnsi="Arial"/>
          <w:sz w:val="19"/>
          <w:szCs w:val="19"/>
          <w:color w:val="auto"/>
        </w:rPr>
        <w:t>” means the average of the annual bonuses from the Company earned by the Executive with respect to the three (3) fiscal years of the Company immediately preceding the Date of Termination (the “</w:t>
      </w:r>
      <w:r>
        <w:rPr>
          <w:rFonts w:ascii="Arial" w:cs="Arial" w:eastAsia="Arial" w:hAnsi="Arial"/>
          <w:sz w:val="19"/>
          <w:szCs w:val="19"/>
          <w:u w:val="single" w:color="auto"/>
          <w:color w:val="auto"/>
        </w:rPr>
        <w:t>Bonus Fiscal Years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if the Executive was employed by the Company for less than three (3) Bonus Fiscal Years, “</w:t>
      </w:r>
      <w:r>
        <w:rPr>
          <w:rFonts w:ascii="Arial" w:cs="Arial" w:eastAsia="Arial" w:hAnsi="Arial"/>
          <w:sz w:val="19"/>
          <w:szCs w:val="19"/>
          <w:u w:val="single" w:color="auto"/>
          <w:color w:val="auto"/>
        </w:rPr>
        <w:t>Average</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Annual Bonus</w:t>
      </w:r>
      <w:r>
        <w:rPr>
          <w:rFonts w:ascii="Arial" w:cs="Arial" w:eastAsia="Arial" w:hAnsi="Arial"/>
          <w:sz w:val="19"/>
          <w:szCs w:val="19"/>
          <w:color w:val="auto"/>
        </w:rPr>
        <w:t xml:space="preserve">” means the average of the annual bonuses (if any) from the Company earned by the Executive with respect to the Bonus Fiscal Years during which the Executive was employed by the Company;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if the Executive was not employed by the Company during any of the Bonus Fiscal Years, “</w:t>
      </w:r>
      <w:r>
        <w:rPr>
          <w:rFonts w:ascii="Arial" w:cs="Arial" w:eastAsia="Arial" w:hAnsi="Arial"/>
          <w:sz w:val="19"/>
          <w:szCs w:val="19"/>
          <w:u w:val="single" w:color="auto"/>
          <w:color w:val="auto"/>
        </w:rPr>
        <w:t>Average Annual Bonus</w:t>
      </w:r>
      <w:r>
        <w:rPr>
          <w:rFonts w:ascii="Arial" w:cs="Arial" w:eastAsia="Arial" w:hAnsi="Arial"/>
          <w:sz w:val="19"/>
          <w:szCs w:val="19"/>
          <w:color w:val="auto"/>
        </w:rPr>
        <w:t>” means zero.</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means:</w:t>
      </w:r>
    </w:p>
    <w:p>
      <w:pPr>
        <w:spacing w:after="0" w:line="206" w:lineRule="exact"/>
        <w:rPr>
          <w:sz w:val="20"/>
          <w:szCs w:val="20"/>
          <w:color w:val="auto"/>
        </w:rPr>
      </w:pPr>
    </w:p>
    <w:p>
      <w:pPr>
        <w:ind w:right="20" w:firstLine="1305"/>
        <w:spacing w:after="0" w:line="276" w:lineRule="auto"/>
        <w:tabs>
          <w:tab w:leader="none" w:pos="1945" w:val="left"/>
        </w:tabs>
        <w:numPr>
          <w:ilvl w:val="1"/>
          <w:numId w:val="102"/>
        </w:numPr>
        <w:rPr>
          <w:rFonts w:ascii="Arial" w:cs="Arial" w:eastAsia="Arial" w:hAnsi="Arial"/>
          <w:sz w:val="19"/>
          <w:szCs w:val="19"/>
          <w:color w:val="auto"/>
        </w:rPr>
      </w:pPr>
      <w:r>
        <w:rPr>
          <w:rFonts w:ascii="Arial" w:cs="Arial" w:eastAsia="Arial" w:hAnsi="Arial"/>
          <w:sz w:val="19"/>
          <w:szCs w:val="19"/>
          <w:color w:val="auto"/>
        </w:rPr>
        <w:t>Prior to a Change in Control, (i) the willful failure by the Executive to substantially perform the Executive’s duties with the Company (other than any such failure resulting from the Executive’s incapacity due to physical or mental illness,</w:t>
      </w:r>
    </w:p>
    <w:p>
      <w:pPr>
        <w:spacing w:after="0" w:line="1" w:lineRule="exact"/>
        <w:rPr>
          <w:rFonts w:ascii="Arial" w:cs="Arial" w:eastAsia="Arial" w:hAnsi="Arial"/>
          <w:sz w:val="19"/>
          <w:szCs w:val="19"/>
          <w:color w:val="auto"/>
        </w:rPr>
      </w:pPr>
    </w:p>
    <w:p>
      <w:pPr>
        <w:ind w:right="20" w:firstLine="8"/>
        <w:spacing w:after="0" w:line="275" w:lineRule="auto"/>
        <w:tabs>
          <w:tab w:leader="none" w:pos="318"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grossly negligent performance of such obligations referenced in clause (i) of this definition, (iii) the Executive’s gross insubordination; and/or (iv) the Executive’s commission of one or more acts of moral turpitude that constitute a violation of applicable law (including but not limited to a felony) which have or result in an adverse effect on the Company, monetarily or otherwise, or one or more significant acts of dishonesty. For purposes of clause (i) of this subsection (a), no act, or failure to act, on the Executive’s part shall be deemed “</w:t>
      </w:r>
      <w:r>
        <w:rPr>
          <w:rFonts w:ascii="Arial" w:cs="Arial" w:eastAsia="Arial" w:hAnsi="Arial"/>
          <w:sz w:val="19"/>
          <w:szCs w:val="19"/>
          <w:u w:val="single" w:color="auto"/>
          <w:color w:val="auto"/>
        </w:rPr>
        <w:t>willful</w:t>
      </w:r>
      <w:r>
        <w:rPr>
          <w:rFonts w:ascii="Arial" w:cs="Arial" w:eastAsia="Arial" w:hAnsi="Arial"/>
          <w:sz w:val="19"/>
          <w:szCs w:val="19"/>
          <w:color w:val="auto"/>
        </w:rPr>
        <w:t>” unless done, or omitted to be done, by the Executive not in good faith and without reasonable belief that the Executive’s act, or failure to act, was in the best interests of the Company.</w:t>
      </w:r>
    </w:p>
    <w:p>
      <w:pPr>
        <w:spacing w:after="0" w:line="141" w:lineRule="exact"/>
        <w:rPr>
          <w:rFonts w:ascii="Arial" w:cs="Arial" w:eastAsia="Arial" w:hAnsi="Arial"/>
          <w:sz w:val="19"/>
          <w:szCs w:val="19"/>
          <w:color w:val="auto"/>
        </w:rPr>
      </w:pPr>
    </w:p>
    <w:p>
      <w:pPr>
        <w:ind w:right="20" w:firstLine="1305"/>
        <w:spacing w:after="0" w:line="269" w:lineRule="auto"/>
        <w:tabs>
          <w:tab w:leader="none" w:pos="1945" w:val="left"/>
        </w:tabs>
        <w:numPr>
          <w:ilvl w:val="1"/>
          <w:numId w:val="103"/>
        </w:numPr>
        <w:rPr>
          <w:rFonts w:ascii="Arial" w:cs="Arial" w:eastAsia="Arial" w:hAnsi="Arial"/>
          <w:sz w:val="19"/>
          <w:szCs w:val="19"/>
          <w:color w:val="auto"/>
        </w:rPr>
      </w:pPr>
      <w:r>
        <w:rPr>
          <w:rFonts w:ascii="Arial" w:cs="Arial" w:eastAsia="Arial" w:hAnsi="Arial"/>
          <w:sz w:val="19"/>
          <w:szCs w:val="19"/>
          <w:color w:val="auto"/>
        </w:rPr>
        <w:t>From and after a Change in Control, (i) the willful and continued failure by the Executive to substantially perform the Executive’s duties with the Company (other than any such failure resulting from the Executive’s incapacity due to physical or mental illness or any such actual or anticipated failure after the issuance of a Notice of Termination for Good Reason by the Executive pursuant to Section 2 hereof) and/or (ii) the Executive’s commission of one or more acts of moral turpitude that constitute a violation of applicable law (including but not limited to a felony) which have or result in an adverse effect on the Company, monetarily or otherwise, or one or more significant acts of dishonesty. For purposes of clause (i) of this subsection (b), no act, or failure to act, on the Executive’s part shall be deemed “</w:t>
      </w:r>
      <w:r>
        <w:rPr>
          <w:rFonts w:ascii="Arial" w:cs="Arial" w:eastAsia="Arial" w:hAnsi="Arial"/>
          <w:sz w:val="19"/>
          <w:szCs w:val="19"/>
          <w:u w:val="single" w:color="auto"/>
          <w:color w:val="auto"/>
        </w:rPr>
        <w:t>willful</w:t>
      </w:r>
      <w:r>
        <w:rPr>
          <w:rFonts w:ascii="Arial" w:cs="Arial" w:eastAsia="Arial" w:hAnsi="Arial"/>
          <w:sz w:val="19"/>
          <w:szCs w:val="19"/>
          <w:color w:val="auto"/>
        </w:rPr>
        <w:t>” unless done, or omitted to be done, by the Executive not in good faith and without reasonable belief that the Executive’s act, or failure to act, was in the best interests of the Company. Notwithstanding the foregoing, the Executive shall not be deemed terminated for Cause pursuant to clause (i) of this subsection</w:t>
      </w:r>
    </w:p>
    <w:p>
      <w:pPr>
        <w:spacing w:after="0" w:line="1" w:lineRule="exact"/>
        <w:rPr>
          <w:rFonts w:ascii="Arial" w:cs="Arial" w:eastAsia="Arial" w:hAnsi="Arial"/>
          <w:sz w:val="19"/>
          <w:szCs w:val="19"/>
          <w:color w:val="auto"/>
        </w:rPr>
      </w:pPr>
    </w:p>
    <w:p>
      <w:pPr>
        <w:ind w:right="180" w:firstLine="8"/>
        <w:spacing w:after="0" w:line="308" w:lineRule="auto"/>
        <w:tabs>
          <w:tab w:leader="none" w:pos="306" w:val="left"/>
        </w:tabs>
        <w:numPr>
          <w:ilvl w:val="0"/>
          <w:numId w:val="104"/>
        </w:numPr>
        <w:rPr>
          <w:rFonts w:ascii="Arial" w:cs="Arial" w:eastAsia="Arial" w:hAnsi="Arial"/>
          <w:sz w:val="19"/>
          <w:szCs w:val="19"/>
          <w:color w:val="auto"/>
        </w:rPr>
      </w:pPr>
      <w:r>
        <w:rPr>
          <w:rFonts w:ascii="Arial" w:cs="Arial" w:eastAsia="Arial" w:hAnsi="Arial"/>
          <w:sz w:val="19"/>
          <w:szCs w:val="19"/>
          <w:color w:val="auto"/>
        </w:rPr>
        <w:t>unless and until the Executive shall have been provided with reasonable notice of and, if possible, a reasonable opportunity to cure the facts and circumstances claimed to provide a basis for termination of the Executive’s employment for Cause.</w:t>
      </w:r>
    </w:p>
    <w:p>
      <w:pPr>
        <w:sectPr>
          <w:pgSz w:w="11900" w:h="16838" w:orient="portrait"/>
          <w:cols w:equalWidth="0" w:num="1">
            <w:col w:w="11420"/>
          </w:cols>
          <w:pgMar w:left="240" w:top="117" w:right="239" w:bottom="194" w:gutter="0" w:footer="0" w:header="0"/>
        </w:sectPr>
      </w:pPr>
    </w:p>
    <w:bookmarkStart w:id="75" w:name="page76"/>
    <w:bookmarkEnd w:id="75"/>
    <w:p>
      <w:pPr>
        <w:ind w:firstLine="1297"/>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shall be deemed to have occurred on the date that a change in the ownership of Sempra Energy, a change in the effective control of Sempra Energy, or a change in the ownership of a substantial portion of assets of Sempra Energy occurs (each, as defined in subsection (a) below), except as otherwise provided in subsections (b), (c) and (d) below:</w:t>
      </w:r>
    </w:p>
    <w:p>
      <w:pPr>
        <w:spacing w:after="0" w:line="119" w:lineRule="exact"/>
        <w:rPr>
          <w:sz w:val="20"/>
          <w:szCs w:val="20"/>
          <w:color w:val="auto"/>
        </w:rPr>
      </w:pPr>
    </w:p>
    <w:p>
      <w:pPr>
        <w:ind w:firstLine="1305"/>
        <w:spacing w:after="0" w:line="297" w:lineRule="auto"/>
        <w:tabs>
          <w:tab w:leader="none" w:pos="1945" w:val="left"/>
        </w:tabs>
        <w:numPr>
          <w:ilvl w:val="0"/>
          <w:numId w:val="105"/>
        </w:numPr>
        <w:rPr>
          <w:rFonts w:ascii="Arial" w:cs="Arial" w:eastAsia="Arial" w:hAnsi="Arial"/>
          <w:sz w:val="19"/>
          <w:szCs w:val="19"/>
          <w:color w:val="auto"/>
        </w:rPr>
      </w:pPr>
      <w:r>
        <w:rPr>
          <w:rFonts w:ascii="Arial" w:cs="Arial" w:eastAsia="Arial" w:hAnsi="Arial"/>
          <w:sz w:val="19"/>
          <w:szCs w:val="19"/>
          <w:color w:val="auto"/>
        </w:rPr>
        <w:t>(i) a “</w:t>
      </w:r>
      <w:r>
        <w:rPr>
          <w:rFonts w:ascii="Arial" w:cs="Arial" w:eastAsia="Arial" w:hAnsi="Arial"/>
          <w:sz w:val="19"/>
          <w:szCs w:val="19"/>
          <w:u w:val="single" w:color="auto"/>
          <w:color w:val="auto"/>
        </w:rPr>
        <w:t>change in the ownership of Sempra Energy</w:t>
      </w:r>
      <w:r>
        <w:rPr>
          <w:rFonts w:ascii="Arial" w:cs="Arial" w:eastAsia="Arial" w:hAnsi="Arial"/>
          <w:sz w:val="19"/>
          <w:szCs w:val="19"/>
          <w:color w:val="auto"/>
        </w:rPr>
        <w:t>” occurs on the date that any one person, or more than one person acting as a group, acquires ownership of stock of Sempra Energy that, together with stock held by such person or group, constitutes more than fifty percent (50%) of the total fair market value or total voting power of the stock of Sempra Energy,</w:t>
      </w:r>
    </w:p>
    <w:p>
      <w:pPr>
        <w:spacing w:after="0" w:line="120" w:lineRule="exact"/>
        <w:rPr>
          <w:rFonts w:ascii="Arial" w:cs="Arial" w:eastAsia="Arial" w:hAnsi="Arial"/>
          <w:sz w:val="19"/>
          <w:szCs w:val="19"/>
          <w:color w:val="auto"/>
        </w:rPr>
      </w:pPr>
    </w:p>
    <w:p>
      <w:pPr>
        <w:ind w:left="2600" w:hanging="647"/>
        <w:spacing w:after="0"/>
        <w:tabs>
          <w:tab w:leader="none" w:pos="2600" w:val="left"/>
        </w:tabs>
        <w:numPr>
          <w:ilvl w:val="1"/>
          <w:numId w:val="105"/>
        </w:numPr>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u w:val="single" w:color="auto"/>
          <w:color w:val="auto"/>
        </w:rPr>
        <w:t>change in the effective control of Sempra Energy</w:t>
      </w:r>
      <w:r>
        <w:rPr>
          <w:rFonts w:ascii="Arial" w:cs="Arial" w:eastAsia="Arial" w:hAnsi="Arial"/>
          <w:sz w:val="19"/>
          <w:szCs w:val="19"/>
          <w:color w:val="auto"/>
        </w:rPr>
        <w:t>” occurs only on either of the following dates:</w:t>
      </w:r>
    </w:p>
    <w:p>
      <w:pPr>
        <w:spacing w:after="0" w:line="227" w:lineRule="exact"/>
        <w:rPr>
          <w:rFonts w:ascii="Arial" w:cs="Arial" w:eastAsia="Arial" w:hAnsi="Arial"/>
          <w:sz w:val="19"/>
          <w:szCs w:val="19"/>
          <w:color w:val="auto"/>
        </w:rPr>
      </w:pPr>
    </w:p>
    <w:p>
      <w:pPr>
        <w:ind w:right="80" w:firstLine="2601"/>
        <w:spacing w:after="0" w:line="297" w:lineRule="auto"/>
        <w:tabs>
          <w:tab w:leader="none" w:pos="3241" w:val="left"/>
        </w:tabs>
        <w:numPr>
          <w:ilvl w:val="2"/>
          <w:numId w:val="105"/>
        </w:numPr>
        <w:rPr>
          <w:rFonts w:ascii="Arial" w:cs="Arial" w:eastAsia="Arial" w:hAnsi="Arial"/>
          <w:sz w:val="19"/>
          <w:szCs w:val="19"/>
          <w:color w:val="auto"/>
        </w:rPr>
      </w:pPr>
      <w:r>
        <w:rPr>
          <w:rFonts w:ascii="Arial" w:cs="Arial" w:eastAsia="Arial" w:hAnsi="Arial"/>
          <w:sz w:val="19"/>
          <w:szCs w:val="19"/>
          <w:color w:val="auto"/>
        </w:rPr>
        <w:t>the date any one person, or more than one person acting as a group, acquires (or has acquired during the twelve (12) month period ending on the date of the most recent acquisition by such person or persons) ownership of stock of Sempra Energy possessing thirty percent (30%) or more of the total voting power of the stock of Sempra Energy, or</w:t>
      </w:r>
    </w:p>
    <w:p>
      <w:pPr>
        <w:spacing w:after="0" w:line="134" w:lineRule="exact"/>
        <w:rPr>
          <w:rFonts w:ascii="Arial" w:cs="Arial" w:eastAsia="Arial" w:hAnsi="Arial"/>
          <w:sz w:val="19"/>
          <w:szCs w:val="19"/>
          <w:color w:val="auto"/>
        </w:rPr>
      </w:pPr>
    </w:p>
    <w:p>
      <w:pPr>
        <w:jc w:val="both"/>
        <w:ind w:right="360" w:firstLine="2601"/>
        <w:spacing w:after="0"/>
        <w:tabs>
          <w:tab w:leader="none" w:pos="3241" w:val="left"/>
        </w:tabs>
        <w:numPr>
          <w:ilvl w:val="2"/>
          <w:numId w:val="105"/>
        </w:numPr>
        <w:rPr>
          <w:rFonts w:ascii="Arial" w:cs="Arial" w:eastAsia="Arial" w:hAnsi="Arial"/>
          <w:sz w:val="22"/>
          <w:szCs w:val="22"/>
          <w:color w:val="auto"/>
        </w:rPr>
      </w:pPr>
      <w:r>
        <w:rPr>
          <w:rFonts w:ascii="Arial" w:cs="Arial" w:eastAsia="Arial" w:hAnsi="Arial"/>
          <w:sz w:val="22"/>
          <w:szCs w:val="22"/>
          <w:color w:val="auto"/>
        </w:rPr>
        <w:t>the date a majority of the members of the Board is replaced during any twelve (12) month period by directors whose appointment or election is not endorsed by a majority of the members of the Board before the date of appointment or election, and</w:t>
      </w:r>
    </w:p>
    <w:p>
      <w:pPr>
        <w:spacing w:after="0" w:line="172" w:lineRule="exact"/>
        <w:rPr>
          <w:rFonts w:ascii="Arial" w:cs="Arial" w:eastAsia="Arial" w:hAnsi="Arial"/>
          <w:sz w:val="22"/>
          <w:szCs w:val="22"/>
          <w:color w:val="auto"/>
        </w:rPr>
      </w:pPr>
    </w:p>
    <w:p>
      <w:pPr>
        <w:ind w:right="80" w:firstLine="1953"/>
        <w:spacing w:after="0" w:line="236" w:lineRule="auto"/>
        <w:tabs>
          <w:tab w:leader="none" w:pos="2593" w:val="left"/>
        </w:tabs>
        <w:numPr>
          <w:ilvl w:val="1"/>
          <w:numId w:val="105"/>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change in the ownership of a substantial portion of assets of Sempra Energy</w:t>
      </w:r>
      <w:r>
        <w:rPr>
          <w:rFonts w:ascii="Arial" w:cs="Arial" w:eastAsia="Arial" w:hAnsi="Arial"/>
          <w:sz w:val="22"/>
          <w:szCs w:val="22"/>
          <w:color w:val="auto"/>
        </w:rPr>
        <w:t>” occurs on the date any one person, or more than one person acting as a group, acquires (or has acquired during the twelve (12) month period ending on the date of the most recent acquisition by such person or persons) assets from Sempra Energy that have a total gross fair market value equal to or more than eighty-five percent (85%) of the total gross fair market value of all of the assets of Sempra Energy immediately before such acquisition or acquisitions.</w:t>
      </w:r>
    </w:p>
    <w:p>
      <w:pPr>
        <w:spacing w:after="0" w:line="174" w:lineRule="exact"/>
        <w:rPr>
          <w:rFonts w:ascii="Arial" w:cs="Arial" w:eastAsia="Arial" w:hAnsi="Arial"/>
          <w:sz w:val="22"/>
          <w:szCs w:val="22"/>
          <w:color w:val="auto"/>
        </w:rPr>
      </w:pPr>
    </w:p>
    <w:p>
      <w:pPr>
        <w:ind w:right="420" w:firstLine="1305"/>
        <w:spacing w:after="0" w:line="251" w:lineRule="auto"/>
        <w:tabs>
          <w:tab w:leader="none" w:pos="1945"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change in the ownership of Sempra Energy</w:t>
      </w:r>
      <w:r>
        <w:rPr>
          <w:rFonts w:ascii="Arial" w:cs="Arial" w:eastAsia="Arial" w:hAnsi="Arial"/>
          <w:sz w:val="22"/>
          <w:szCs w:val="22"/>
          <w:color w:val="auto"/>
        </w:rPr>
        <w:t>” or “</w:t>
      </w:r>
      <w:r>
        <w:rPr>
          <w:rFonts w:ascii="Arial" w:cs="Arial" w:eastAsia="Arial" w:hAnsi="Arial"/>
          <w:sz w:val="22"/>
          <w:szCs w:val="22"/>
          <w:u w:val="single" w:color="auto"/>
          <w:color w:val="auto"/>
        </w:rPr>
        <w:t>a change in the effective control of Sempra Energy</w:t>
      </w:r>
      <w:r>
        <w:rPr>
          <w:rFonts w:ascii="Arial" w:cs="Arial" w:eastAsia="Arial" w:hAnsi="Arial"/>
          <w:sz w:val="22"/>
          <w:szCs w:val="22"/>
          <w:color w:val="auto"/>
        </w:rPr>
        <w:t>” shall not occur under clause (a)(i) or (a)(ii) by reason of any of the following:</w:t>
      </w:r>
    </w:p>
    <w:p>
      <w:pPr>
        <w:spacing w:after="0" w:line="173" w:lineRule="exact"/>
        <w:rPr>
          <w:rFonts w:ascii="Arial" w:cs="Arial" w:eastAsia="Arial" w:hAnsi="Arial"/>
          <w:sz w:val="22"/>
          <w:szCs w:val="22"/>
          <w:color w:val="auto"/>
        </w:rPr>
      </w:pPr>
    </w:p>
    <w:p>
      <w:pPr>
        <w:ind w:right="80" w:firstLine="1953"/>
        <w:spacing w:after="0" w:line="251" w:lineRule="auto"/>
        <w:tabs>
          <w:tab w:leader="none" w:pos="2593" w:val="left"/>
        </w:tabs>
        <w:numPr>
          <w:ilvl w:val="1"/>
          <w:numId w:val="106"/>
        </w:numPr>
        <w:rPr>
          <w:rFonts w:ascii="Arial" w:cs="Arial" w:eastAsia="Arial" w:hAnsi="Arial"/>
          <w:sz w:val="22"/>
          <w:szCs w:val="22"/>
          <w:color w:val="auto"/>
        </w:rPr>
      </w:pPr>
      <w:r>
        <w:rPr>
          <w:rFonts w:ascii="Arial" w:cs="Arial" w:eastAsia="Arial" w:hAnsi="Arial"/>
          <w:sz w:val="22"/>
          <w:szCs w:val="22"/>
          <w:color w:val="auto"/>
        </w:rPr>
        <w:t>an acquisition of ownership of stock of Sempra Energy directly from Sempra Energy or its Affiliates other than in connection with the acquisition by Sempra Energy or its Affiliates of a business,</w:t>
      </w:r>
    </w:p>
    <w:p>
      <w:pPr>
        <w:spacing w:after="0" w:line="159" w:lineRule="exact"/>
        <w:rPr>
          <w:rFonts w:ascii="Arial" w:cs="Arial" w:eastAsia="Arial" w:hAnsi="Arial"/>
          <w:sz w:val="22"/>
          <w:szCs w:val="22"/>
          <w:color w:val="auto"/>
        </w:rPr>
      </w:pPr>
    </w:p>
    <w:p>
      <w:pPr>
        <w:ind w:right="60" w:firstLine="1953"/>
        <w:spacing w:after="0" w:line="235" w:lineRule="auto"/>
        <w:tabs>
          <w:tab w:leader="none" w:pos="2593" w:val="left"/>
        </w:tabs>
        <w:numPr>
          <w:ilvl w:val="1"/>
          <w:numId w:val="106"/>
        </w:numPr>
        <w:rPr>
          <w:rFonts w:ascii="Arial" w:cs="Arial" w:eastAsia="Arial" w:hAnsi="Arial"/>
          <w:sz w:val="22"/>
          <w:szCs w:val="22"/>
          <w:color w:val="auto"/>
        </w:rPr>
      </w:pPr>
      <w:r>
        <w:rPr>
          <w:rFonts w:ascii="Arial" w:cs="Arial" w:eastAsia="Arial" w:hAnsi="Arial"/>
          <w:sz w:val="22"/>
          <w:szCs w:val="22"/>
          <w:color w:val="auto"/>
        </w:rPr>
        <w:t>a merger or consolidation which would result in the voting securities of Sempra Energy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at least sixty percent (60%) of the combined voting power of the securities of Sempra Energy or such surviving entity or any parent thereof outstanding immediately after such merger or consolidation, or</w:t>
      </w:r>
    </w:p>
    <w:p>
      <w:pPr>
        <w:spacing w:after="0" w:line="174" w:lineRule="exact"/>
        <w:rPr>
          <w:rFonts w:ascii="Arial" w:cs="Arial" w:eastAsia="Arial" w:hAnsi="Arial"/>
          <w:sz w:val="22"/>
          <w:szCs w:val="22"/>
          <w:color w:val="auto"/>
        </w:rPr>
      </w:pPr>
    </w:p>
    <w:p>
      <w:pPr>
        <w:ind w:right="40" w:firstLine="1953"/>
        <w:spacing w:after="0" w:line="235" w:lineRule="auto"/>
        <w:tabs>
          <w:tab w:leader="none" w:pos="2593" w:val="left"/>
        </w:tabs>
        <w:numPr>
          <w:ilvl w:val="1"/>
          <w:numId w:val="106"/>
        </w:numPr>
        <w:rPr>
          <w:rFonts w:ascii="Arial" w:cs="Arial" w:eastAsia="Arial" w:hAnsi="Arial"/>
          <w:sz w:val="22"/>
          <w:szCs w:val="22"/>
          <w:color w:val="auto"/>
        </w:rPr>
      </w:pPr>
      <w:r>
        <w:rPr>
          <w:rFonts w:ascii="Arial" w:cs="Arial" w:eastAsia="Arial" w:hAnsi="Arial"/>
          <w:sz w:val="22"/>
          <w:szCs w:val="22"/>
          <w:color w:val="auto"/>
        </w:rPr>
        <w:t>a merger or consolidation effected to implement a recapitalization of Sempra Energy (or similar transaction) in which no Person is or becomes the Beneficial Owner (within the meaning of Rule 13d-3 promulgated under the Exchange Act), directly or indirectly, of securities of Sempra Energy (not including the securities beneficially owned by such Person any securities acquired directly from Sempra Energy or its Affiliates other than in connection with the acquisition by Sempra Energy or its Affiliates of a business) representing twenty percent (20%) or more of the combined voting power of Sempra Energy’s then outstanding securities.</w:t>
      </w:r>
    </w:p>
    <w:p>
      <w:pPr>
        <w:spacing w:after="0" w:line="188" w:lineRule="exact"/>
        <w:rPr>
          <w:rFonts w:ascii="Arial" w:cs="Arial" w:eastAsia="Arial" w:hAnsi="Arial"/>
          <w:sz w:val="22"/>
          <w:szCs w:val="22"/>
          <w:color w:val="auto"/>
        </w:rPr>
      </w:pPr>
    </w:p>
    <w:p>
      <w:pPr>
        <w:jc w:val="both"/>
        <w:ind w:firstLine="1305"/>
        <w:spacing w:after="0" w:line="252" w:lineRule="auto"/>
        <w:tabs>
          <w:tab w:leader="none" w:pos="1945" w:val="left"/>
        </w:tabs>
        <w:numPr>
          <w:ilvl w:val="0"/>
          <w:numId w:val="107"/>
        </w:numPr>
        <w:rPr>
          <w:rFonts w:ascii="Arial" w:cs="Arial" w:eastAsia="Arial" w:hAnsi="Arial"/>
          <w:sz w:val="21"/>
          <w:szCs w:val="21"/>
          <w:color w:val="auto"/>
        </w:rPr>
      </w:pPr>
      <w:r>
        <w:rPr>
          <w:rFonts w:ascii="Arial" w:cs="Arial" w:eastAsia="Arial" w:hAnsi="Arial"/>
          <w:sz w:val="21"/>
          <w:szCs w:val="21"/>
          <w:color w:val="auto"/>
        </w:rPr>
        <w:t>A “</w:t>
      </w:r>
      <w:r>
        <w:rPr>
          <w:rFonts w:ascii="Arial" w:cs="Arial" w:eastAsia="Arial" w:hAnsi="Arial"/>
          <w:sz w:val="21"/>
          <w:szCs w:val="21"/>
          <w:u w:val="single" w:color="auto"/>
          <w:color w:val="auto"/>
        </w:rPr>
        <w:t>change in the ownership of a substantial portion of assets of Sempra Energy</w:t>
      </w:r>
      <w:r>
        <w:rPr>
          <w:rFonts w:ascii="Arial" w:cs="Arial" w:eastAsia="Arial" w:hAnsi="Arial"/>
          <w:sz w:val="21"/>
          <w:szCs w:val="21"/>
          <w:color w:val="auto"/>
        </w:rPr>
        <w:t>” shall not occur under clause (a)(iii) by reason of a sale or disposition by Sempra Energy of the assets of Sempra Energy to an entity, at least sixty percent (60%) of the combined voting power of the voting securities of which are owned by shareholders of Sempra Energy in substantially the same proportions as their ownership of Sempra Energy immediately prior to such sale.</w:t>
      </w:r>
    </w:p>
    <w:p>
      <w:pPr>
        <w:spacing w:after="0" w:line="160" w:lineRule="exact"/>
        <w:rPr>
          <w:rFonts w:ascii="Arial" w:cs="Arial" w:eastAsia="Arial" w:hAnsi="Arial"/>
          <w:sz w:val="21"/>
          <w:szCs w:val="21"/>
          <w:color w:val="auto"/>
        </w:rPr>
      </w:pPr>
    </w:p>
    <w:p>
      <w:pPr>
        <w:ind w:right="100" w:firstLine="1305"/>
        <w:spacing w:after="0" w:line="238" w:lineRule="auto"/>
        <w:tabs>
          <w:tab w:leader="none" w:pos="1945"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This definition of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be limited to the definition of a “change in control event” relating to Sempra Energy under Treasury Regulation Section 1.409A-3(i)(5). A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only occur if there is a “change in control event” relating to Sempra Energy under Treasury Regulation Section 1.409A-3(i)(5) with respect to the Executive.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 Date</w:t>
      </w:r>
      <w:r>
        <w:rPr>
          <w:rFonts w:ascii="Arial" w:cs="Arial" w:eastAsia="Arial" w:hAnsi="Arial"/>
          <w:sz w:val="22"/>
          <w:szCs w:val="22"/>
          <w:color w:val="auto"/>
        </w:rPr>
        <w:t>” means the date on which a Change in Control occurs.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Compensation Committee</w:t>
      </w:r>
      <w:r>
        <w:rPr>
          <w:rFonts w:ascii="Arial" w:cs="Arial" w:eastAsia="Arial" w:hAnsi="Arial"/>
          <w:sz w:val="22"/>
          <w:szCs w:val="22"/>
          <w:color w:val="auto"/>
        </w:rPr>
        <w:t>” means the compensation committee of the Board.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Consulting Payment</w:t>
      </w:r>
      <w:r>
        <w:rPr>
          <w:rFonts w:ascii="Arial" w:cs="Arial" w:eastAsia="Arial" w:hAnsi="Arial"/>
          <w:sz w:val="22"/>
          <w:szCs w:val="22"/>
          <w:color w:val="auto"/>
        </w:rPr>
        <w:t>” has the meaning assigned thereto in Section 14(d)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Consulting Period</w:t>
      </w:r>
      <w:r>
        <w:rPr>
          <w:rFonts w:ascii="Arial" w:cs="Arial" w:eastAsia="Arial" w:hAnsi="Arial"/>
          <w:sz w:val="22"/>
          <w:szCs w:val="22"/>
          <w:color w:val="auto"/>
        </w:rPr>
        <w:t>” has the meaning assigned thereto in Section 14(e)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Date of Termination</w:t>
      </w:r>
      <w:r>
        <w:rPr>
          <w:rFonts w:ascii="Arial" w:cs="Arial" w:eastAsia="Arial" w:hAnsi="Arial"/>
          <w:sz w:val="22"/>
          <w:szCs w:val="22"/>
          <w:color w:val="auto"/>
        </w:rPr>
        <w:t>” has the meaning assigned thereto in Section 2(b)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Compensation Plan</w:t>
      </w:r>
      <w:r>
        <w:rPr>
          <w:rFonts w:ascii="Arial" w:cs="Arial" w:eastAsia="Arial" w:hAnsi="Arial"/>
          <w:sz w:val="22"/>
          <w:szCs w:val="22"/>
          <w:color w:val="auto"/>
        </w:rPr>
        <w:t>” has the meaning assigned thereto in Section 4(f) hereof.</w:t>
      </w:r>
    </w:p>
    <w:p>
      <w:pPr>
        <w:spacing w:after="0" w:line="206" w:lineRule="exact"/>
        <w:rPr>
          <w:sz w:val="20"/>
          <w:szCs w:val="20"/>
          <w:color w:val="auto"/>
        </w:rPr>
      </w:pPr>
    </w:p>
    <w:p>
      <w:pPr>
        <w:ind w:right="12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xml:space="preserve">” has the meaning set forth in the Company’s long-term disability plan or its successor;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Board may not terminate the Executive’s employment hereunder by reason of Disability unless (i) at the time of</w:t>
      </w:r>
    </w:p>
    <w:p>
      <w:pPr>
        <w:sectPr>
          <w:pgSz w:w="11900" w:h="16838" w:orient="portrait"/>
          <w:cols w:equalWidth="0" w:num="1">
            <w:col w:w="11380"/>
          </w:cols>
          <w:pgMar w:left="240" w:top="118" w:right="279" w:bottom="0" w:gutter="0" w:footer="0" w:header="0"/>
        </w:sectPr>
      </w:pPr>
    </w:p>
    <w:bookmarkStart w:id="76" w:name="page77"/>
    <w:bookmarkEnd w:id="76"/>
    <w:p>
      <w:pPr>
        <w:ind w:right="280"/>
        <w:spacing w:after="0" w:line="251" w:lineRule="auto"/>
        <w:rPr>
          <w:sz w:val="20"/>
          <w:szCs w:val="20"/>
          <w:color w:val="auto"/>
        </w:rPr>
      </w:pPr>
      <w:r>
        <w:rPr>
          <w:rFonts w:ascii="Arial" w:cs="Arial" w:eastAsia="Arial" w:hAnsi="Arial"/>
          <w:sz w:val="22"/>
          <w:szCs w:val="22"/>
          <w:color w:val="auto"/>
        </w:rPr>
        <w:t>such termination there is no reasonable expectation that the Executive will return to work within the next ninety (90) day period and (ii) such termination is permitted by all applicable disability laws.</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means the Securities Exchange Act of 1934, as amended, and the applicable rulings and regulations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thereunder.</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Excise Tax</w:t>
      </w:r>
      <w:r>
        <w:rPr>
          <w:rFonts w:ascii="Arial" w:cs="Arial" w:eastAsia="Arial" w:hAnsi="Arial"/>
          <w:sz w:val="22"/>
          <w:szCs w:val="22"/>
          <w:color w:val="auto"/>
        </w:rPr>
        <w:t>” has the meaning assigned thereto in Section 8(a)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 Reason</w:t>
      </w:r>
      <w:r>
        <w:rPr>
          <w:rFonts w:ascii="Arial" w:cs="Arial" w:eastAsia="Arial" w:hAnsi="Arial"/>
          <w:sz w:val="22"/>
          <w:szCs w:val="22"/>
          <w:color w:val="auto"/>
        </w:rPr>
        <w:t>” means:</w:t>
      </w:r>
    </w:p>
    <w:p>
      <w:pPr>
        <w:spacing w:after="0" w:line="193" w:lineRule="exact"/>
        <w:rPr>
          <w:sz w:val="20"/>
          <w:szCs w:val="20"/>
          <w:color w:val="auto"/>
        </w:rPr>
      </w:pPr>
    </w:p>
    <w:p>
      <w:pPr>
        <w:jc w:val="both"/>
        <w:ind w:right="100" w:firstLine="1305"/>
        <w:spacing w:after="0"/>
        <w:tabs>
          <w:tab w:leader="none" w:pos="1945" w:val="left"/>
        </w:tabs>
        <w:numPr>
          <w:ilvl w:val="0"/>
          <w:numId w:val="108"/>
        </w:numPr>
        <w:rPr>
          <w:rFonts w:ascii="Arial" w:cs="Arial" w:eastAsia="Arial" w:hAnsi="Arial"/>
          <w:sz w:val="22"/>
          <w:szCs w:val="22"/>
          <w:color w:val="auto"/>
        </w:rPr>
      </w:pPr>
      <w:r>
        <w:rPr>
          <w:rFonts w:ascii="Arial" w:cs="Arial" w:eastAsia="Arial" w:hAnsi="Arial"/>
          <w:sz w:val="22"/>
          <w:szCs w:val="22"/>
          <w:color w:val="auto"/>
        </w:rPr>
        <w:t>Prior to a Change in Control, the occurrence of any of the following without the prior written consent of the Executive, unless such act or failure to act is corrected by the Company prior to the Date of Termination specified in the Notice of Termination (as required under Section 2 hereof):</w:t>
      </w:r>
    </w:p>
    <w:p>
      <w:pPr>
        <w:spacing w:after="0" w:line="186" w:lineRule="exact"/>
        <w:rPr>
          <w:rFonts w:ascii="Arial" w:cs="Arial" w:eastAsia="Arial" w:hAnsi="Arial"/>
          <w:sz w:val="22"/>
          <w:szCs w:val="22"/>
          <w:color w:val="auto"/>
        </w:rPr>
      </w:pPr>
    </w:p>
    <w:p>
      <w:pPr>
        <w:ind w:right="340" w:firstLine="1953"/>
        <w:spacing w:after="0"/>
        <w:tabs>
          <w:tab w:leader="none" w:pos="2593" w:val="left"/>
        </w:tabs>
        <w:numPr>
          <w:ilvl w:val="1"/>
          <w:numId w:val="108"/>
        </w:numPr>
        <w:rPr>
          <w:rFonts w:ascii="Arial" w:cs="Arial" w:eastAsia="Arial" w:hAnsi="Arial"/>
          <w:sz w:val="22"/>
          <w:szCs w:val="22"/>
          <w:color w:val="auto"/>
        </w:rPr>
      </w:pPr>
      <w:r>
        <w:rPr>
          <w:rFonts w:ascii="Arial" w:cs="Arial" w:eastAsia="Arial" w:hAnsi="Arial"/>
          <w:sz w:val="22"/>
          <w:szCs w:val="22"/>
          <w:color w:val="auto"/>
        </w:rPr>
        <w:t>the assignment to the Executive of any duties materially inconsistent with the range of duties and responsibilities appropriate to a senior Executive within the Company (such range determined by reference to past, current and reasonable practices within the Company);</w:t>
      </w:r>
    </w:p>
    <w:p>
      <w:pPr>
        <w:spacing w:after="0" w:line="172" w:lineRule="exact"/>
        <w:rPr>
          <w:rFonts w:ascii="Arial" w:cs="Arial" w:eastAsia="Arial" w:hAnsi="Arial"/>
          <w:sz w:val="22"/>
          <w:szCs w:val="22"/>
          <w:color w:val="auto"/>
        </w:rPr>
      </w:pPr>
    </w:p>
    <w:p>
      <w:pPr>
        <w:ind w:right="60" w:firstLine="1953"/>
        <w:spacing w:after="0"/>
        <w:tabs>
          <w:tab w:leader="none" w:pos="2593" w:val="left"/>
        </w:tabs>
        <w:numPr>
          <w:ilvl w:val="1"/>
          <w:numId w:val="108"/>
        </w:numPr>
        <w:rPr>
          <w:rFonts w:ascii="Arial" w:cs="Arial" w:eastAsia="Arial" w:hAnsi="Arial"/>
          <w:sz w:val="22"/>
          <w:szCs w:val="22"/>
          <w:color w:val="auto"/>
        </w:rPr>
      </w:pPr>
      <w:r>
        <w:rPr>
          <w:rFonts w:ascii="Arial" w:cs="Arial" w:eastAsia="Arial" w:hAnsi="Arial"/>
          <w:sz w:val="22"/>
          <w:szCs w:val="22"/>
          <w:color w:val="auto"/>
        </w:rPr>
        <w:t>a material reduction in the Executive’s overall standing and responsibilities within the Company, but not including (A) a mere change in title or (B) a transfer within the Company, which, in the case of both (A) and (B), does not adversely affect the Executive’s overall status within the Company;</w:t>
      </w:r>
    </w:p>
    <w:p>
      <w:pPr>
        <w:spacing w:after="0" w:line="172" w:lineRule="exact"/>
        <w:rPr>
          <w:rFonts w:ascii="Arial" w:cs="Arial" w:eastAsia="Arial" w:hAnsi="Arial"/>
          <w:sz w:val="22"/>
          <w:szCs w:val="22"/>
          <w:color w:val="auto"/>
        </w:rPr>
      </w:pPr>
    </w:p>
    <w:p>
      <w:pPr>
        <w:ind w:right="340" w:firstLine="1953"/>
        <w:spacing w:after="0" w:line="238" w:lineRule="auto"/>
        <w:tabs>
          <w:tab w:leader="none" w:pos="2593" w:val="left"/>
        </w:tabs>
        <w:numPr>
          <w:ilvl w:val="1"/>
          <w:numId w:val="108"/>
        </w:numPr>
        <w:rPr>
          <w:rFonts w:ascii="Arial" w:cs="Arial" w:eastAsia="Arial" w:hAnsi="Arial"/>
          <w:sz w:val="22"/>
          <w:szCs w:val="22"/>
          <w:color w:val="auto"/>
        </w:rPr>
      </w:pPr>
      <w:r>
        <w:rPr>
          <w:rFonts w:ascii="Arial" w:cs="Arial" w:eastAsia="Arial" w:hAnsi="Arial"/>
          <w:sz w:val="22"/>
          <w:szCs w:val="22"/>
          <w:color w:val="auto"/>
        </w:rPr>
        <w:t>a material reduction by the Company in the Executive’s aggregate annualized compensation and benefits opportunities, except for across-the-board reductions (or modifications of benefit plans) similarly affecting all similarly situated executives (both of the Company and of any Person then in control of the Company) of comparable rank with the Executive;</w:t>
      </w:r>
    </w:p>
    <w:p>
      <w:pPr>
        <w:spacing w:after="0" w:line="185" w:lineRule="exact"/>
        <w:rPr>
          <w:rFonts w:ascii="Arial" w:cs="Arial" w:eastAsia="Arial" w:hAnsi="Arial"/>
          <w:sz w:val="22"/>
          <w:szCs w:val="22"/>
          <w:color w:val="auto"/>
        </w:rPr>
      </w:pPr>
    </w:p>
    <w:p>
      <w:pPr>
        <w:ind w:right="80" w:firstLine="1953"/>
        <w:spacing w:after="0"/>
        <w:tabs>
          <w:tab w:leader="none" w:pos="2593" w:val="left"/>
        </w:tabs>
        <w:numPr>
          <w:ilvl w:val="1"/>
          <w:numId w:val="108"/>
        </w:numPr>
        <w:rPr>
          <w:rFonts w:ascii="Arial" w:cs="Arial" w:eastAsia="Arial" w:hAnsi="Arial"/>
          <w:sz w:val="22"/>
          <w:szCs w:val="22"/>
          <w:color w:val="auto"/>
        </w:rPr>
      </w:pPr>
      <w:r>
        <w:rPr>
          <w:rFonts w:ascii="Arial" w:cs="Arial" w:eastAsia="Arial" w:hAnsi="Arial"/>
          <w:sz w:val="22"/>
          <w:szCs w:val="22"/>
          <w:color w:val="auto"/>
        </w:rPr>
        <w:t>the failure by the Company to pay to the Executive any portion of the Executive’s current compensation and benefits or any portion of an installment of deferred compensation under any deferred compensation program of the Company within thirty (30) days of the date such compensation is due;</w:t>
      </w:r>
    </w:p>
    <w:p>
      <w:pPr>
        <w:spacing w:after="0" w:line="172" w:lineRule="exact"/>
        <w:rPr>
          <w:rFonts w:ascii="Arial" w:cs="Arial" w:eastAsia="Arial" w:hAnsi="Arial"/>
          <w:sz w:val="22"/>
          <w:szCs w:val="22"/>
          <w:color w:val="auto"/>
        </w:rPr>
      </w:pPr>
    </w:p>
    <w:p>
      <w:pPr>
        <w:jc w:val="both"/>
        <w:ind w:firstLine="1953"/>
        <w:spacing w:after="0"/>
        <w:tabs>
          <w:tab w:leader="none" w:pos="2593" w:val="left"/>
        </w:tabs>
        <w:numPr>
          <w:ilvl w:val="1"/>
          <w:numId w:val="108"/>
        </w:numPr>
        <w:rPr>
          <w:rFonts w:ascii="Arial" w:cs="Arial" w:eastAsia="Arial" w:hAnsi="Arial"/>
          <w:sz w:val="22"/>
          <w:szCs w:val="22"/>
          <w:color w:val="auto"/>
        </w:rPr>
      </w:pPr>
      <w:r>
        <w:rPr>
          <w:rFonts w:ascii="Arial" w:cs="Arial" w:eastAsia="Arial" w:hAnsi="Arial"/>
          <w:sz w:val="22"/>
          <w:szCs w:val="22"/>
          <w:color w:val="auto"/>
        </w:rPr>
        <w:t>any purported termination of the Executive’s employment that is not effected pursuant to a Notice of Termination satisfying the requirements of Section 2 hereof; for purposes of this Agreement, no such purported termination shall be effective;</w:t>
      </w:r>
    </w:p>
    <w:p>
      <w:pPr>
        <w:spacing w:after="0" w:line="172" w:lineRule="exact"/>
        <w:rPr>
          <w:rFonts w:ascii="Arial" w:cs="Arial" w:eastAsia="Arial" w:hAnsi="Arial"/>
          <w:sz w:val="22"/>
          <w:szCs w:val="22"/>
          <w:color w:val="auto"/>
        </w:rPr>
      </w:pPr>
    </w:p>
    <w:p>
      <w:pPr>
        <w:ind w:left="2600" w:hanging="647"/>
        <w:spacing w:after="0"/>
        <w:tabs>
          <w:tab w:leader="none" w:pos="2600" w:val="left"/>
        </w:tabs>
        <w:numPr>
          <w:ilvl w:val="1"/>
          <w:numId w:val="108"/>
        </w:numPr>
        <w:rPr>
          <w:rFonts w:ascii="Arial" w:cs="Arial" w:eastAsia="Arial" w:hAnsi="Arial"/>
          <w:sz w:val="21"/>
          <w:szCs w:val="21"/>
          <w:color w:val="auto"/>
        </w:rPr>
      </w:pPr>
      <w:r>
        <w:rPr>
          <w:rFonts w:ascii="Arial" w:cs="Arial" w:eastAsia="Arial" w:hAnsi="Arial"/>
          <w:sz w:val="21"/>
          <w:szCs w:val="21"/>
          <w:color w:val="auto"/>
        </w:rPr>
        <w:t>the failure by Sempra Energy to perform its obligations under Section 16(c), (d) or (e) hereof;</w:t>
      </w:r>
    </w:p>
    <w:p>
      <w:pPr>
        <w:spacing w:after="0" w:line="217" w:lineRule="exact"/>
        <w:rPr>
          <w:rFonts w:ascii="Arial" w:cs="Arial" w:eastAsia="Arial" w:hAnsi="Arial"/>
          <w:sz w:val="21"/>
          <w:szCs w:val="21"/>
          <w:color w:val="auto"/>
        </w:rPr>
      </w:pPr>
    </w:p>
    <w:p>
      <w:pPr>
        <w:ind w:right="80" w:firstLine="1953"/>
        <w:spacing w:after="0" w:line="251" w:lineRule="auto"/>
        <w:tabs>
          <w:tab w:leader="none" w:pos="2593" w:val="left"/>
        </w:tabs>
        <w:numPr>
          <w:ilvl w:val="1"/>
          <w:numId w:val="108"/>
        </w:numPr>
        <w:rPr>
          <w:rFonts w:ascii="Arial" w:cs="Arial" w:eastAsia="Arial" w:hAnsi="Arial"/>
          <w:sz w:val="22"/>
          <w:szCs w:val="22"/>
          <w:color w:val="auto"/>
        </w:rPr>
      </w:pPr>
      <w:r>
        <w:rPr>
          <w:rFonts w:ascii="Arial" w:cs="Arial" w:eastAsia="Arial" w:hAnsi="Arial"/>
          <w:sz w:val="22"/>
          <w:szCs w:val="22"/>
          <w:color w:val="auto"/>
        </w:rPr>
        <w:t>the failure by the Company to provide the indemnification and D&amp;O insurance protection Section 10 of this Agreement requires it to provide; or</w:t>
      </w:r>
    </w:p>
    <w:p>
      <w:pPr>
        <w:spacing w:after="0" w:line="159" w:lineRule="exact"/>
        <w:rPr>
          <w:rFonts w:ascii="Arial" w:cs="Arial" w:eastAsia="Arial" w:hAnsi="Arial"/>
          <w:sz w:val="22"/>
          <w:szCs w:val="22"/>
          <w:color w:val="auto"/>
        </w:rPr>
      </w:pPr>
    </w:p>
    <w:p>
      <w:pPr>
        <w:ind w:left="2600" w:hanging="647"/>
        <w:spacing w:after="0"/>
        <w:tabs>
          <w:tab w:leader="none" w:pos="2600" w:val="left"/>
        </w:tabs>
        <w:numPr>
          <w:ilvl w:val="1"/>
          <w:numId w:val="108"/>
        </w:numPr>
        <w:rPr>
          <w:rFonts w:ascii="Arial" w:cs="Arial" w:eastAsia="Arial" w:hAnsi="Arial"/>
          <w:sz w:val="22"/>
          <w:szCs w:val="22"/>
          <w:color w:val="auto"/>
        </w:rPr>
      </w:pPr>
      <w:r>
        <w:rPr>
          <w:rFonts w:ascii="Arial" w:cs="Arial" w:eastAsia="Arial" w:hAnsi="Arial"/>
          <w:sz w:val="22"/>
          <w:szCs w:val="22"/>
          <w:color w:val="auto"/>
        </w:rPr>
        <w:t>the failure by Sempra Energy to comply with any material provision of this Agreement.</w:t>
      </w:r>
    </w:p>
    <w:p>
      <w:pPr>
        <w:spacing w:after="0" w:line="192" w:lineRule="exact"/>
        <w:rPr>
          <w:rFonts w:ascii="Arial" w:cs="Arial" w:eastAsia="Arial" w:hAnsi="Arial"/>
          <w:sz w:val="22"/>
          <w:szCs w:val="22"/>
          <w:color w:val="auto"/>
        </w:rPr>
      </w:pPr>
    </w:p>
    <w:p>
      <w:pPr>
        <w:ind w:right="60" w:firstLine="1305"/>
        <w:spacing w:after="0"/>
        <w:tabs>
          <w:tab w:leader="none" w:pos="1945" w:val="left"/>
        </w:tabs>
        <w:numPr>
          <w:ilvl w:val="0"/>
          <w:numId w:val="108"/>
        </w:numPr>
        <w:rPr>
          <w:rFonts w:ascii="Arial" w:cs="Arial" w:eastAsia="Arial" w:hAnsi="Arial"/>
          <w:sz w:val="22"/>
          <w:szCs w:val="22"/>
          <w:color w:val="auto"/>
        </w:rPr>
      </w:pPr>
      <w:r>
        <w:rPr>
          <w:rFonts w:ascii="Arial" w:cs="Arial" w:eastAsia="Arial" w:hAnsi="Arial"/>
          <w:sz w:val="22"/>
          <w:szCs w:val="22"/>
          <w:color w:val="auto"/>
        </w:rPr>
        <w:t>From and after a Change in Control, the occurrence of any of the following without the prior written consent of the Executive, unless such act or failure to act is corrected by the Company prior to the Date of Termination specified in the Notice of Termination (as required under Section 2 hereof):</w:t>
      </w:r>
    </w:p>
    <w:p>
      <w:pPr>
        <w:spacing w:after="0" w:line="186" w:lineRule="exact"/>
        <w:rPr>
          <w:rFonts w:ascii="Arial" w:cs="Arial" w:eastAsia="Arial" w:hAnsi="Arial"/>
          <w:sz w:val="22"/>
          <w:szCs w:val="22"/>
          <w:color w:val="auto"/>
        </w:rPr>
      </w:pPr>
    </w:p>
    <w:p>
      <w:pPr>
        <w:ind w:right="260" w:firstLine="1953"/>
        <w:spacing w:after="0" w:line="251" w:lineRule="auto"/>
        <w:tabs>
          <w:tab w:leader="none" w:pos="2593" w:val="left"/>
        </w:tabs>
        <w:numPr>
          <w:ilvl w:val="1"/>
          <w:numId w:val="108"/>
        </w:numPr>
        <w:rPr>
          <w:rFonts w:ascii="Arial" w:cs="Arial" w:eastAsia="Arial" w:hAnsi="Arial"/>
          <w:sz w:val="22"/>
          <w:szCs w:val="22"/>
          <w:color w:val="auto"/>
        </w:rPr>
      </w:pPr>
      <w:r>
        <w:rPr>
          <w:rFonts w:ascii="Arial" w:cs="Arial" w:eastAsia="Arial" w:hAnsi="Arial"/>
          <w:sz w:val="22"/>
          <w:szCs w:val="22"/>
          <w:color w:val="auto"/>
        </w:rPr>
        <w:t>an adverse change in the Executive’s title, authority, duties, responsibilities or reporting lines as in effect immediately prior to the Change in Control;</w:t>
      </w:r>
    </w:p>
    <w:p>
      <w:pPr>
        <w:spacing w:after="0" w:line="159" w:lineRule="exact"/>
        <w:rPr>
          <w:rFonts w:ascii="Arial" w:cs="Arial" w:eastAsia="Arial" w:hAnsi="Arial"/>
          <w:sz w:val="22"/>
          <w:szCs w:val="22"/>
          <w:color w:val="auto"/>
        </w:rPr>
      </w:pPr>
    </w:p>
    <w:p>
      <w:pPr>
        <w:ind w:right="20" w:firstLine="1953"/>
        <w:spacing w:after="0" w:line="245" w:lineRule="auto"/>
        <w:tabs>
          <w:tab w:leader="none" w:pos="2593" w:val="left"/>
        </w:tabs>
        <w:numPr>
          <w:ilvl w:val="1"/>
          <w:numId w:val="108"/>
        </w:numPr>
        <w:rPr>
          <w:rFonts w:ascii="Arial" w:cs="Arial" w:eastAsia="Arial" w:hAnsi="Arial"/>
          <w:sz w:val="21"/>
          <w:szCs w:val="21"/>
          <w:color w:val="auto"/>
        </w:rPr>
      </w:pPr>
      <w:r>
        <w:rPr>
          <w:rFonts w:ascii="Arial" w:cs="Arial" w:eastAsia="Arial" w:hAnsi="Arial"/>
          <w:sz w:val="21"/>
          <w:szCs w:val="21"/>
          <w:color w:val="auto"/>
        </w:rPr>
        <w:t>a reduction by the Company in the Executive’s aggregate annualized compensation opportunities, except for across-the-board reductions in base salaries, annual bonus opportunities or long-term incentive compensation opportunities of less than ten percent (10%) similarly affecting all similarly situated executives (both of the Company and of any Person then in control of the Company) of comparable rank with the Executive; or the failure by the Company to continue in effect any material benefit plan in which the Executive participates immediately prior to the Change in Control, unless an equitable arrangement (embodied in an ongoing substitute or alternative plan) has been made with respect to such plan, or the failure by the Company to continue the Executive's participation therein (or in such substitute or alternative plan) on a basis not materially less favorable, both in terms of the amount of benefits provided and the level of the Executive's participation relative to other participants, as existed at the time of the Change in Control;</w:t>
      </w:r>
    </w:p>
    <w:p>
      <w:pPr>
        <w:spacing w:after="0" w:line="171" w:lineRule="exact"/>
        <w:rPr>
          <w:rFonts w:ascii="Arial" w:cs="Arial" w:eastAsia="Arial" w:hAnsi="Arial"/>
          <w:sz w:val="21"/>
          <w:szCs w:val="21"/>
          <w:color w:val="auto"/>
        </w:rPr>
      </w:pPr>
    </w:p>
    <w:p>
      <w:pPr>
        <w:ind w:right="40" w:firstLine="1953"/>
        <w:spacing w:after="0" w:line="234" w:lineRule="auto"/>
        <w:tabs>
          <w:tab w:leader="none" w:pos="2593" w:val="left"/>
        </w:tabs>
        <w:numPr>
          <w:ilvl w:val="1"/>
          <w:numId w:val="108"/>
        </w:numPr>
        <w:rPr>
          <w:rFonts w:ascii="Arial" w:cs="Arial" w:eastAsia="Arial" w:hAnsi="Arial"/>
          <w:sz w:val="22"/>
          <w:szCs w:val="22"/>
          <w:color w:val="auto"/>
        </w:rPr>
      </w:pPr>
      <w:r>
        <w:rPr>
          <w:rFonts w:ascii="Arial" w:cs="Arial" w:eastAsia="Arial" w:hAnsi="Arial"/>
          <w:sz w:val="22"/>
          <w:szCs w:val="22"/>
          <w:color w:val="auto"/>
        </w:rPr>
        <w:t>the relocation of the Executive’s principal place of employment immediately prior to the Change in Control Date (the “</w:t>
      </w:r>
      <w:r>
        <w:rPr>
          <w:rFonts w:ascii="Arial" w:cs="Arial" w:eastAsia="Arial" w:hAnsi="Arial"/>
          <w:sz w:val="22"/>
          <w:szCs w:val="22"/>
          <w:u w:val="single" w:color="auto"/>
          <w:color w:val="auto"/>
        </w:rPr>
        <w:t>Principal Location</w:t>
      </w:r>
      <w:r>
        <w:rPr>
          <w:rFonts w:ascii="Arial" w:cs="Arial" w:eastAsia="Arial" w:hAnsi="Arial"/>
          <w:sz w:val="22"/>
          <w:szCs w:val="22"/>
          <w:color w:val="auto"/>
        </w:rPr>
        <w:t>”) to a location which is both further away from the Executive’s residence and more than thirty (30) miles from such Principal Location, or the Company’s requiring the Executive to be based anywhere other than such Principal Location (or permitted relocation thereof), or a substantial increase in the Executive’s business travel obligations outside of the Southern California area as of the Effective Date other than any such increase that (A) arises in connection with extraordinary business activities of the Company of limited duration and (B) is understood not to be part of the Executive’s regular duties with the Company;</w:t>
      </w:r>
    </w:p>
    <w:p>
      <w:pPr>
        <w:spacing w:after="0" w:line="191" w:lineRule="exact"/>
        <w:rPr>
          <w:rFonts w:ascii="Arial" w:cs="Arial" w:eastAsia="Arial" w:hAnsi="Arial"/>
          <w:sz w:val="22"/>
          <w:szCs w:val="22"/>
          <w:color w:val="auto"/>
        </w:rPr>
      </w:pPr>
    </w:p>
    <w:p>
      <w:pPr>
        <w:ind w:right="80" w:firstLine="1953"/>
        <w:spacing w:after="0"/>
        <w:tabs>
          <w:tab w:leader="none" w:pos="2593" w:val="left"/>
        </w:tabs>
        <w:numPr>
          <w:ilvl w:val="1"/>
          <w:numId w:val="108"/>
        </w:numPr>
        <w:rPr>
          <w:rFonts w:ascii="Arial" w:cs="Arial" w:eastAsia="Arial" w:hAnsi="Arial"/>
          <w:sz w:val="22"/>
          <w:szCs w:val="22"/>
          <w:color w:val="auto"/>
        </w:rPr>
      </w:pPr>
      <w:r>
        <w:rPr>
          <w:rFonts w:ascii="Arial" w:cs="Arial" w:eastAsia="Arial" w:hAnsi="Arial"/>
          <w:sz w:val="22"/>
          <w:szCs w:val="22"/>
          <w:color w:val="auto"/>
        </w:rPr>
        <w:t>the failure by the Company to pay to the Executive any portion of the Executive’s current compensation and benefits or any portion of an installment of deferred compensation under any deferred compensation program of the Company within thirty (30) days of the date such compensation is due;</w:t>
      </w:r>
    </w:p>
    <w:p>
      <w:pPr>
        <w:sectPr>
          <w:pgSz w:w="11900" w:h="16838" w:orient="portrait"/>
          <w:cols w:equalWidth="0" w:num="1">
            <w:col w:w="11400"/>
          </w:cols>
          <w:pgMar w:left="240" w:top="118" w:right="259" w:bottom="0" w:gutter="0" w:footer="0" w:header="0"/>
        </w:sectPr>
      </w:pPr>
    </w:p>
    <w:bookmarkStart w:id="77" w:name="page78"/>
    <w:bookmarkEnd w:id="77"/>
    <w:p>
      <w:pPr>
        <w:jc w:val="both"/>
        <w:ind w:right="20" w:firstLine="1953"/>
        <w:spacing w:after="0" w:line="241" w:lineRule="auto"/>
        <w:tabs>
          <w:tab w:leader="none" w:pos="2593" w:val="left"/>
        </w:tabs>
        <w:numPr>
          <w:ilvl w:val="0"/>
          <w:numId w:val="109"/>
        </w:numPr>
        <w:rPr>
          <w:rFonts w:ascii="Arial" w:cs="Arial" w:eastAsia="Arial" w:hAnsi="Arial"/>
          <w:sz w:val="22"/>
          <w:szCs w:val="22"/>
          <w:color w:val="auto"/>
        </w:rPr>
      </w:pPr>
      <w:r>
        <w:rPr>
          <w:rFonts w:ascii="Arial" w:cs="Arial" w:eastAsia="Arial" w:hAnsi="Arial"/>
          <w:sz w:val="22"/>
          <w:szCs w:val="22"/>
          <w:color w:val="auto"/>
        </w:rPr>
        <w:t>any purported termination of the Executive’s employment that is not effected pursuant to a Notice of Termination satisfying the requirements of Section 2 hereof; for purposes of this Agreement, no such purported termination shall be effective;</w:t>
      </w:r>
    </w:p>
    <w:p>
      <w:pPr>
        <w:spacing w:after="0" w:line="170" w:lineRule="exact"/>
        <w:rPr>
          <w:rFonts w:ascii="Arial" w:cs="Arial" w:eastAsia="Arial" w:hAnsi="Arial"/>
          <w:sz w:val="22"/>
          <w:szCs w:val="22"/>
          <w:color w:val="auto"/>
        </w:rPr>
      </w:pPr>
    </w:p>
    <w:p>
      <w:pPr>
        <w:ind w:left="2600" w:hanging="647"/>
        <w:spacing w:after="0"/>
        <w:tabs>
          <w:tab w:leader="none" w:pos="2600" w:val="left"/>
        </w:tabs>
        <w:numPr>
          <w:ilvl w:val="0"/>
          <w:numId w:val="109"/>
        </w:numPr>
        <w:rPr>
          <w:rFonts w:ascii="Arial" w:cs="Arial" w:eastAsia="Arial" w:hAnsi="Arial"/>
          <w:sz w:val="21"/>
          <w:szCs w:val="21"/>
          <w:color w:val="auto"/>
        </w:rPr>
      </w:pPr>
      <w:r>
        <w:rPr>
          <w:rFonts w:ascii="Arial" w:cs="Arial" w:eastAsia="Arial" w:hAnsi="Arial"/>
          <w:sz w:val="21"/>
          <w:szCs w:val="21"/>
          <w:color w:val="auto"/>
        </w:rPr>
        <w:t>the failure by Sempra Energy to perform its obligations under Section 16(c), (d) or (e) hereof;</w:t>
      </w:r>
    </w:p>
    <w:p>
      <w:pPr>
        <w:spacing w:after="0" w:line="217" w:lineRule="exact"/>
        <w:rPr>
          <w:rFonts w:ascii="Arial" w:cs="Arial" w:eastAsia="Arial" w:hAnsi="Arial"/>
          <w:sz w:val="21"/>
          <w:szCs w:val="21"/>
          <w:color w:val="auto"/>
        </w:rPr>
      </w:pPr>
    </w:p>
    <w:p>
      <w:pPr>
        <w:ind w:right="100" w:firstLine="1953"/>
        <w:spacing w:after="0" w:line="251" w:lineRule="auto"/>
        <w:tabs>
          <w:tab w:leader="none" w:pos="2593"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failure by the Company to provide the indemnification and D&amp;O insurance protection Section 10 of this Agreement requires it to provide; or</w:t>
      </w:r>
    </w:p>
    <w:p>
      <w:pPr>
        <w:spacing w:after="0" w:line="159" w:lineRule="exact"/>
        <w:rPr>
          <w:rFonts w:ascii="Arial" w:cs="Arial" w:eastAsia="Arial" w:hAnsi="Arial"/>
          <w:sz w:val="22"/>
          <w:szCs w:val="22"/>
          <w:color w:val="auto"/>
        </w:rPr>
      </w:pPr>
    </w:p>
    <w:p>
      <w:pPr>
        <w:ind w:left="2600" w:hanging="647"/>
        <w:spacing w:after="0"/>
        <w:tabs>
          <w:tab w:leader="none" w:pos="260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failure by Sempra Energy to comply with any material provision of this Agreement.</w:t>
      </w:r>
    </w:p>
    <w:p>
      <w:pPr>
        <w:spacing w:after="0" w:line="206" w:lineRule="exact"/>
        <w:rPr>
          <w:sz w:val="20"/>
          <w:szCs w:val="20"/>
          <w:color w:val="auto"/>
        </w:rPr>
      </w:pPr>
    </w:p>
    <w:p>
      <w:pPr>
        <w:ind w:right="160" w:firstLine="1297"/>
        <w:spacing w:after="0" w:line="282" w:lineRule="auto"/>
        <w:rPr>
          <w:sz w:val="20"/>
          <w:szCs w:val="20"/>
          <w:color w:val="auto"/>
        </w:rPr>
      </w:pPr>
      <w:r>
        <w:rPr>
          <w:rFonts w:ascii="Arial" w:cs="Arial" w:eastAsia="Arial" w:hAnsi="Arial"/>
          <w:sz w:val="19"/>
          <w:szCs w:val="19"/>
          <w:color w:val="auto"/>
        </w:rPr>
        <w:t>Following a Change in Control, the Executive’s determination that an act or failure to act constitutes Good Reason shall be presumed to be valid unless such determination is deemed to be unreasonable by an arbitrator pursuant to the procedure described in Section 13 hereof. The Executive’s right to terminate the Executive’s employment for Good Reason shall not be affected by the Executive’s incapacity due to physical or mental illness. The Executive’s continued employment shall not constitute consent to, or a waiver of rights with respect to, any act or failure to act constituting Good Reason hereunder.</w:t>
      </w:r>
    </w:p>
    <w:p>
      <w:pPr>
        <w:spacing w:after="0" w:line="148" w:lineRule="exact"/>
        <w:rPr>
          <w:sz w:val="20"/>
          <w:szCs w:val="20"/>
          <w:color w:val="auto"/>
        </w:rPr>
      </w:pPr>
    </w:p>
    <w:p>
      <w:pPr>
        <w:ind w:left="60" w:right="700" w:firstLine="1243"/>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Incentive Compensation Awards</w:t>
      </w:r>
      <w:r>
        <w:rPr>
          <w:rFonts w:ascii="Arial" w:cs="Arial" w:eastAsia="Arial" w:hAnsi="Arial"/>
          <w:sz w:val="19"/>
          <w:szCs w:val="19"/>
          <w:color w:val="auto"/>
        </w:rPr>
        <w:t>” means awards granted under Incentive Compensation Plans providing the Executive with the opportunity to earn, on a year-by-year basis, annual and long-term incentive compensation.</w:t>
      </w:r>
    </w:p>
    <w:p>
      <w:pPr>
        <w:spacing w:after="0" w:line="105"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Incentive Compensation Plans</w:t>
      </w:r>
      <w:r>
        <w:rPr>
          <w:rFonts w:ascii="Arial" w:cs="Arial" w:eastAsia="Arial" w:hAnsi="Arial"/>
          <w:sz w:val="22"/>
          <w:szCs w:val="22"/>
          <w:color w:val="auto"/>
        </w:rPr>
        <w:t>” means annual incentive compensation plans and long-term incentive compensation plans of the Company, which long-term incentive compensation plans may include plans offering stock options, restricted stock and other long-term incentive compensation.</w:t>
      </w:r>
    </w:p>
    <w:p>
      <w:pPr>
        <w:spacing w:after="0" w:line="186" w:lineRule="exact"/>
        <w:rPr>
          <w:sz w:val="20"/>
          <w:szCs w:val="20"/>
          <w:color w:val="auto"/>
        </w:rPr>
      </w:pPr>
    </w:p>
    <w:p>
      <w:pPr>
        <w:ind w:right="56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Involuntary Termination</w:t>
      </w:r>
      <w:r>
        <w:rPr>
          <w:rFonts w:ascii="Arial" w:cs="Arial" w:eastAsia="Arial" w:hAnsi="Arial"/>
          <w:sz w:val="22"/>
          <w:szCs w:val="22"/>
          <w:color w:val="auto"/>
        </w:rPr>
        <w:t>” means (a) the Executive’s Separation from Service by reason other than for Cause, death, or Disability, or Mandatory Retirement, or (b) the Executive’s Separation from Service by reason of resignation of employment for Good Reason.</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JAMS Rules</w:t>
      </w:r>
      <w:r>
        <w:rPr>
          <w:rFonts w:ascii="Arial" w:cs="Arial" w:eastAsia="Arial" w:hAnsi="Arial"/>
          <w:sz w:val="22"/>
          <w:szCs w:val="22"/>
          <w:color w:val="auto"/>
        </w:rPr>
        <w:t>” has the meaning assigned thereto in Section 13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Mandatory Retirement</w:t>
      </w:r>
      <w:r>
        <w:rPr>
          <w:rFonts w:ascii="Arial" w:cs="Arial" w:eastAsia="Arial" w:hAnsi="Arial"/>
          <w:sz w:val="19"/>
          <w:szCs w:val="19"/>
          <w:color w:val="auto"/>
        </w:rPr>
        <w:t>” means termination of employment pursuant to the Company’s mandatory retirement policy.</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Termination</w:t>
      </w:r>
      <w:r>
        <w:rPr>
          <w:rFonts w:ascii="Arial" w:cs="Arial" w:eastAsia="Arial" w:hAnsi="Arial"/>
          <w:sz w:val="22"/>
          <w:szCs w:val="22"/>
          <w:color w:val="auto"/>
        </w:rPr>
        <w:t>” has the meaning assigned thereto in Section 2(a)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w:t>
      </w:r>
      <w:r>
        <w:rPr>
          <w:rFonts w:ascii="Arial" w:cs="Arial" w:eastAsia="Arial" w:hAnsi="Arial"/>
          <w:sz w:val="22"/>
          <w:szCs w:val="22"/>
          <w:color w:val="auto"/>
        </w:rPr>
        <w:t>” has the meaning assigned thereto in Section 8(a)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in Lieu of Notice</w:t>
      </w:r>
      <w:r>
        <w:rPr>
          <w:rFonts w:ascii="Arial" w:cs="Arial" w:eastAsia="Arial" w:hAnsi="Arial"/>
          <w:sz w:val="22"/>
          <w:szCs w:val="22"/>
          <w:color w:val="auto"/>
        </w:rPr>
        <w:t>” has the meaning assigned thereto in Section 2(b) hereof.</w:t>
      </w:r>
    </w:p>
    <w:p>
      <w:pPr>
        <w:spacing w:after="0" w:line="206" w:lineRule="exact"/>
        <w:rPr>
          <w:sz w:val="20"/>
          <w:szCs w:val="20"/>
          <w:color w:val="auto"/>
        </w:rPr>
      </w:pPr>
    </w:p>
    <w:p>
      <w:pPr>
        <w:ind w:right="160" w:firstLine="12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has the meaning set forth in section 3(a)(9) of the Exchange Act, as modified and used in sections 13(d) and 14(d) thereof, except that such term shall not include (i) the Company or any of its Affiliates, (ii) a trustee or other fiduciary holding securities under an employee benefit plan of the Company or any of its Affiliates, (iii) an underwriter temporarily holding securities pursuant to an offering of such securities, (iv) a corporation owned, directly or indirectly, by the shareholders of the Company in substantially the same proportions as their ownership of stock of the Company, or (v) a person or group as used in Rule 13d-1(b) promulgated under the Exchange Act.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Post-Change in Control Severance Payment</w:t>
      </w:r>
      <w:r>
        <w:rPr>
          <w:rFonts w:ascii="Arial" w:cs="Arial" w:eastAsia="Arial" w:hAnsi="Arial"/>
          <w:sz w:val="22"/>
          <w:szCs w:val="22"/>
          <w:color w:val="auto"/>
        </w:rPr>
        <w:t>” has the meaning assigned thereto in Section 5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Pre-Change in Control Severance Payment</w:t>
      </w:r>
      <w:r>
        <w:rPr>
          <w:rFonts w:ascii="Arial" w:cs="Arial" w:eastAsia="Arial" w:hAnsi="Arial"/>
          <w:sz w:val="22"/>
          <w:szCs w:val="22"/>
          <w:color w:val="auto"/>
        </w:rPr>
        <w:t>” has the meaning assigned thereto in Section 4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Principal Location</w:t>
      </w:r>
      <w:r>
        <w:rPr>
          <w:rFonts w:ascii="Arial" w:cs="Arial" w:eastAsia="Arial" w:hAnsi="Arial"/>
          <w:sz w:val="19"/>
          <w:szCs w:val="19"/>
          <w:color w:val="auto"/>
        </w:rPr>
        <w:t>” has the meaning assigned thereto in clause (b)(iii) of the definition of Good Reason, above.</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Proprietary Information</w:t>
      </w:r>
      <w:r>
        <w:rPr>
          <w:rFonts w:ascii="Arial" w:cs="Arial" w:eastAsia="Arial" w:hAnsi="Arial"/>
          <w:sz w:val="22"/>
          <w:szCs w:val="22"/>
          <w:color w:val="auto"/>
        </w:rPr>
        <w:t>” has the meaning assigned thereto in Section 14(a)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 Rata Bonus</w:t>
      </w:r>
      <w:r>
        <w:rPr>
          <w:rFonts w:ascii="Arial" w:cs="Arial" w:eastAsia="Arial" w:hAnsi="Arial"/>
          <w:sz w:val="22"/>
          <w:szCs w:val="22"/>
          <w:color w:val="auto"/>
        </w:rPr>
        <w:t>” has the meaning assigned thereto in Section 5(b)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has the meaning assigned thereto in Section 4 hereof.</w:t>
      </w:r>
    </w:p>
    <w:p>
      <w:pPr>
        <w:spacing w:after="0" w:line="206" w:lineRule="exact"/>
        <w:rPr>
          <w:sz w:val="20"/>
          <w:szCs w:val="20"/>
          <w:color w:val="auto"/>
        </w:rPr>
      </w:pPr>
    </w:p>
    <w:p>
      <w:pPr>
        <w:ind w:right="40" w:firstLine="12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Section 409A Payments</w:t>
      </w:r>
      <w:r>
        <w:rPr>
          <w:rFonts w:ascii="Arial" w:cs="Arial" w:eastAsia="Arial" w:hAnsi="Arial"/>
          <w:sz w:val="19"/>
          <w:szCs w:val="19"/>
          <w:color w:val="auto"/>
        </w:rPr>
        <w:t>” means any of the following: (a) the Payment in Lieu of Notice; (b) the Pre-Change in Control Severance Payment; (c) the Post-Change in Control Severance Payment; (d) the Pro Rata Bonus; (e) the Consulting Payment; (f) the payment under Section 5(c); (g) the financial planning services and the related payments provided under Sections 4(e) and 5(g); (h) the legal fees and expenses reimbursed under Section 15; and (i) any other payment that the Company determines in its sole discretion is subject to Section 409A of the Code as non-qualified deferred compensation.</w:t>
      </w:r>
    </w:p>
    <w:p>
      <w:pPr>
        <w:spacing w:after="0" w:line="148" w:lineRule="exact"/>
        <w:rPr>
          <w:sz w:val="20"/>
          <w:szCs w:val="20"/>
          <w:color w:val="auto"/>
        </w:rPr>
      </w:pPr>
    </w:p>
    <w:p>
      <w:pPr>
        <w:ind w:right="66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Sempra Energy Control Group</w:t>
      </w:r>
      <w:r>
        <w:rPr>
          <w:rFonts w:ascii="Arial" w:cs="Arial" w:eastAsia="Arial" w:hAnsi="Arial"/>
          <w:sz w:val="19"/>
          <w:szCs w:val="19"/>
          <w:color w:val="auto"/>
        </w:rPr>
        <w:t>” means Sempra Energy and all persons with whom Sempra Energy would be considered a single employer under Section 414(b) or 414(c) of the Code, as determined from time to time.</w:t>
      </w:r>
    </w:p>
    <w:p>
      <w:pPr>
        <w:spacing w:after="0" w:line="105" w:lineRule="exact"/>
        <w:rPr>
          <w:sz w:val="20"/>
          <w:szCs w:val="20"/>
          <w:color w:val="auto"/>
        </w:rPr>
      </w:pPr>
    </w:p>
    <w:p>
      <w:pPr>
        <w:ind w:right="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Separation from Service</w:t>
      </w:r>
      <w:r>
        <w:rPr>
          <w:rFonts w:ascii="Arial" w:cs="Arial" w:eastAsia="Arial" w:hAnsi="Arial"/>
          <w:sz w:val="22"/>
          <w:szCs w:val="22"/>
          <w:color w:val="auto"/>
        </w:rPr>
        <w:t>” has the meaning set forth in Treasury Regulation Section 1.409A-1(h), with respect to the Service Recipient.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SERP</w:t>
      </w:r>
      <w:r>
        <w:rPr>
          <w:rFonts w:ascii="Arial" w:cs="Arial" w:eastAsia="Arial" w:hAnsi="Arial"/>
          <w:sz w:val="22"/>
          <w:szCs w:val="22"/>
          <w:color w:val="auto"/>
        </w:rPr>
        <w:t>” has the meaning assigned thereto in Section 5(c) hereof.</w:t>
      </w:r>
    </w:p>
    <w:p>
      <w:pPr>
        <w:sectPr>
          <w:pgSz w:w="11900" w:h="16838" w:orient="portrait"/>
          <w:cols w:equalWidth="0" w:num="1">
            <w:col w:w="11420"/>
          </w:cols>
          <w:pgMar w:left="240" w:top="118" w:right="239" w:bottom="0" w:gutter="0" w:footer="0" w:header="0"/>
        </w:sectPr>
      </w:pPr>
    </w:p>
    <w:bookmarkStart w:id="78" w:name="page79"/>
    <w:bookmarkEnd w:id="78"/>
    <w:p>
      <w:pPr>
        <w:ind w:right="2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Employee</w:t>
      </w:r>
      <w:r>
        <w:rPr>
          <w:rFonts w:ascii="Arial" w:cs="Arial" w:eastAsia="Arial" w:hAnsi="Arial"/>
          <w:sz w:val="22"/>
          <w:szCs w:val="22"/>
          <w:color w:val="auto"/>
        </w:rPr>
        <w:t>” shall be determined in accordance with Section 409A(a)(2)(B)(i) of the Code and Treasury Regulation 1.409A-1(i).</w:t>
      </w:r>
    </w:p>
    <w:p>
      <w:pPr>
        <w:spacing w:after="0" w:line="174" w:lineRule="exact"/>
        <w:rPr>
          <w:sz w:val="20"/>
          <w:szCs w:val="20"/>
          <w:color w:val="auto"/>
        </w:rPr>
      </w:pPr>
    </w:p>
    <w:p>
      <w:pPr>
        <w:ind w:right="60" w:firstLine="1297"/>
        <w:spacing w:after="0" w:line="251" w:lineRule="auto"/>
        <w:rPr>
          <w:sz w:val="20"/>
          <w:szCs w:val="20"/>
          <w:color w:val="auto"/>
        </w:rPr>
      </w:pPr>
      <w:r>
        <w:rPr>
          <w:rFonts w:ascii="Arial" w:cs="Arial" w:eastAsia="Arial" w:hAnsi="Arial"/>
          <w:sz w:val="22"/>
          <w:szCs w:val="22"/>
          <w:color w:val="auto"/>
        </w:rPr>
        <w:t>For purposes of this Agreement, references to any “</w:t>
      </w:r>
      <w:r>
        <w:rPr>
          <w:rFonts w:ascii="Arial" w:cs="Arial" w:eastAsia="Arial" w:hAnsi="Arial"/>
          <w:sz w:val="22"/>
          <w:szCs w:val="22"/>
          <w:u w:val="single" w:color="auto"/>
          <w:color w:val="auto"/>
        </w:rPr>
        <w:t>Treasury Regulation</w:t>
      </w:r>
      <w:r>
        <w:rPr>
          <w:rFonts w:ascii="Arial" w:cs="Arial" w:eastAsia="Arial" w:hAnsi="Arial"/>
          <w:sz w:val="22"/>
          <w:szCs w:val="22"/>
          <w:color w:val="auto"/>
        </w:rPr>
        <w:t>” shall mean such Treasury Regulation as in effect on the date hereof.</w:t>
      </w:r>
    </w:p>
    <w:p>
      <w:pPr>
        <w:spacing w:after="0" w:line="16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19"/>
          <w:szCs w:val="19"/>
          <w:u w:val="single" w:color="auto"/>
          <w:color w:val="auto"/>
        </w:rPr>
        <w:t>Notice and Date of Termination</w:t>
      </w:r>
      <w:r>
        <w:rPr>
          <w:rFonts w:ascii="Arial" w:cs="Arial" w:eastAsia="Arial" w:hAnsi="Arial"/>
          <w:sz w:val="19"/>
          <w:szCs w:val="19"/>
          <w:color w:val="auto"/>
        </w:rPr>
        <w:t>.</w:t>
      </w:r>
    </w:p>
    <w:p>
      <w:pPr>
        <w:spacing w:after="0" w:line="206" w:lineRule="exact"/>
        <w:rPr>
          <w:sz w:val="20"/>
          <w:szCs w:val="20"/>
          <w:color w:val="auto"/>
        </w:rPr>
      </w:pPr>
    </w:p>
    <w:p>
      <w:pPr>
        <w:ind w:right="100" w:firstLine="1305"/>
        <w:spacing w:after="0" w:line="279" w:lineRule="auto"/>
        <w:tabs>
          <w:tab w:leader="none" w:pos="1945" w:val="left"/>
        </w:tabs>
        <w:numPr>
          <w:ilvl w:val="0"/>
          <w:numId w:val="110"/>
        </w:numPr>
        <w:rPr>
          <w:rFonts w:ascii="Arial" w:cs="Arial" w:eastAsia="Arial" w:hAnsi="Arial"/>
          <w:sz w:val="19"/>
          <w:szCs w:val="19"/>
          <w:color w:val="auto"/>
        </w:rPr>
      </w:pPr>
      <w:r>
        <w:rPr>
          <w:rFonts w:ascii="Arial" w:cs="Arial" w:eastAsia="Arial" w:hAnsi="Arial"/>
          <w:sz w:val="19"/>
          <w:szCs w:val="19"/>
          <w:color w:val="auto"/>
        </w:rPr>
        <w:t>Any termination of the Executive’s employment by the Company or by the Executive shall be communicated by a written notice of termination to the other party (the “</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Where applicable, the Notice of Termination shall indicate the specific termination provision in this Agreement relied upon and shall set forth in reasonable detail the facts and circumstances claimed to provide a basis for termination of the Executive’s employment under the provision so indicated. Unless the Board determines otherwise, a Notice of Termination by the Executive alleging a termination for Good Reason must be made within 180 days of the act or failure to act that the Executive alleges to constitute Good Reason.</w:t>
      </w:r>
    </w:p>
    <w:p>
      <w:pPr>
        <w:spacing w:after="0" w:line="137" w:lineRule="exact"/>
        <w:rPr>
          <w:rFonts w:ascii="Arial" w:cs="Arial" w:eastAsia="Arial" w:hAnsi="Arial"/>
          <w:sz w:val="19"/>
          <w:szCs w:val="19"/>
          <w:color w:val="auto"/>
        </w:rPr>
      </w:pPr>
    </w:p>
    <w:p>
      <w:pPr>
        <w:ind w:right="40" w:firstLine="1305"/>
        <w:spacing w:after="0" w:line="244" w:lineRule="auto"/>
        <w:tabs>
          <w:tab w:leader="none" w:pos="1945" w:val="left"/>
        </w:tabs>
        <w:numPr>
          <w:ilvl w:val="0"/>
          <w:numId w:val="110"/>
        </w:numPr>
        <w:rPr>
          <w:rFonts w:ascii="Arial" w:cs="Arial" w:eastAsia="Arial" w:hAnsi="Arial"/>
          <w:sz w:val="21"/>
          <w:szCs w:val="21"/>
          <w:color w:val="auto"/>
        </w:rPr>
      </w:pPr>
      <w:r>
        <w:rPr>
          <w:rFonts w:ascii="Arial" w:cs="Arial" w:eastAsia="Arial" w:hAnsi="Arial"/>
          <w:sz w:val="21"/>
          <w:szCs w:val="21"/>
          <w:color w:val="auto"/>
        </w:rPr>
        <w:t>The date of the Executive’s termination of employment with the Company (the “</w:t>
      </w:r>
      <w:r>
        <w:rPr>
          <w:rFonts w:ascii="Arial" w:cs="Arial" w:eastAsia="Arial" w:hAnsi="Arial"/>
          <w:sz w:val="21"/>
          <w:szCs w:val="21"/>
          <w:u w:val="single" w:color="auto"/>
          <w:color w:val="auto"/>
        </w:rPr>
        <w:t>Date of Termination</w:t>
      </w:r>
      <w:r>
        <w:rPr>
          <w:rFonts w:ascii="Arial" w:cs="Arial" w:eastAsia="Arial" w:hAnsi="Arial"/>
          <w:sz w:val="21"/>
          <w:szCs w:val="21"/>
          <w:color w:val="auto"/>
        </w:rPr>
        <w:t>”) shall be determined as follows: (i) if the Executive’s Separation from Service is at the volition of the Company, the Date of Termination shall be the date specified in the Notice of Termination (which, in the case of a termination by the Company other than for Cause, shall not be less than two (2) weeks from the date such Notice of Termination is given unless the Company elects to pay the Executive, in addition to any other amounts payable hereunder, an amount (the “</w:t>
      </w:r>
      <w:r>
        <w:rPr>
          <w:rFonts w:ascii="Arial" w:cs="Arial" w:eastAsia="Arial" w:hAnsi="Arial"/>
          <w:sz w:val="21"/>
          <w:szCs w:val="21"/>
          <w:u w:val="single" w:color="auto"/>
          <w:color w:val="auto"/>
        </w:rPr>
        <w:t>Payment in Lieu of Notice</w:t>
      </w:r>
      <w:r>
        <w:rPr>
          <w:rFonts w:ascii="Arial" w:cs="Arial" w:eastAsia="Arial" w:hAnsi="Arial"/>
          <w:sz w:val="21"/>
          <w:szCs w:val="21"/>
          <w:color w:val="auto"/>
        </w:rPr>
        <w:t xml:space="preserve">”) equal to two (2) weeks of the Executive’s Annual Base Salary in effect on the Date of Termination), and (ii) if the Executive’s Separation from Service is by the Executive for Good Reason, the Date of Termination shall be determined by the Executive and specified in the Notice of Termination, but shall not in any event be less than fifteen (15) days nor more than sixty (60) days after the date such Notice of Termination is given. The Payment in Lieu of Notice shall be paid on such date as is required by law, but no later than thirty (30) days after the date of the Executive’s Separation from Service; </w:t>
      </w:r>
      <w:r>
        <w:rPr>
          <w:rFonts w:ascii="Arial" w:cs="Arial" w:eastAsia="Arial" w:hAnsi="Arial"/>
          <w:sz w:val="21"/>
          <w:szCs w:val="21"/>
          <w:i w:val="1"/>
          <w:iCs w:val="1"/>
          <w:color w:val="auto"/>
        </w:rPr>
        <w:t>provided, however</w:t>
      </w:r>
      <w:r>
        <w:rPr>
          <w:rFonts w:ascii="Arial" w:cs="Arial" w:eastAsia="Arial" w:hAnsi="Arial"/>
          <w:sz w:val="21"/>
          <w:szCs w:val="21"/>
          <w:color w:val="auto"/>
        </w:rPr>
        <w:t>, that if the Executive is a Specified Employee on the date of his or her Separation from Service, such Payment in Lieu of Notice shall be paid as provided in Section 9 hereof.</w:t>
      </w:r>
    </w:p>
    <w:p>
      <w:pPr>
        <w:spacing w:after="0" w:line="174" w:lineRule="exact"/>
        <w:rPr>
          <w:sz w:val="20"/>
          <w:szCs w:val="20"/>
          <w:color w:val="auto"/>
        </w:rPr>
      </w:pPr>
    </w:p>
    <w:p>
      <w:pPr>
        <w:ind w:right="100" w:firstLine="1297"/>
        <w:spacing w:after="0" w:line="297" w:lineRule="auto"/>
        <w:rPr>
          <w:sz w:val="20"/>
          <w:szCs w:val="20"/>
          <w:color w:val="auto"/>
        </w:rPr>
      </w:pPr>
      <w:r>
        <w:rPr>
          <w:rFonts w:ascii="Arial" w:cs="Arial" w:eastAsia="Arial" w:hAnsi="Arial"/>
          <w:sz w:val="19"/>
          <w:szCs w:val="19"/>
          <w:b w:val="1"/>
          <w:bCs w:val="1"/>
          <w:color w:val="auto"/>
        </w:rPr>
        <w:t xml:space="preserve">Section 3. </w:t>
      </w:r>
      <w:r>
        <w:rPr>
          <w:rFonts w:ascii="Arial" w:cs="Arial" w:eastAsia="Arial" w:hAnsi="Arial"/>
          <w:sz w:val="19"/>
          <w:szCs w:val="19"/>
          <w:u w:val="single" w:color="auto"/>
          <w:color w:val="auto"/>
        </w:rPr>
        <w:t>Termination from the Board</w:t>
      </w:r>
      <w:r>
        <w:rPr>
          <w:rFonts w:ascii="Arial" w:cs="Arial" w:eastAsia="Arial" w:hAnsi="Arial"/>
          <w:sz w:val="19"/>
          <w:szCs w:val="19"/>
          <w:color w:val="auto"/>
        </w:rPr>
        <w:t>. Upon the termination of the Executive’s employment for any reason,</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Executive’s membership on the Board, the board of directors of any of the Company’s Affiliates, any committees of the Board and any committees of the board of directors of any of the Company’s Affiliates, if applicable, shall be automatically terminated.</w:t>
      </w:r>
    </w:p>
    <w:p>
      <w:pPr>
        <w:spacing w:after="0" w:line="128" w:lineRule="exact"/>
        <w:rPr>
          <w:sz w:val="20"/>
          <w:szCs w:val="20"/>
          <w:color w:val="auto"/>
        </w:rPr>
      </w:pPr>
    </w:p>
    <w:p>
      <w:pPr>
        <w:ind w:firstLine="1297"/>
        <w:spacing w:after="0" w:line="271" w:lineRule="auto"/>
        <w:rPr>
          <w:sz w:val="20"/>
          <w:szCs w:val="20"/>
          <w:color w:val="auto"/>
        </w:rPr>
      </w:pPr>
      <w:r>
        <w:rPr>
          <w:rFonts w:ascii="Arial" w:cs="Arial" w:eastAsia="Arial" w:hAnsi="Arial"/>
          <w:sz w:val="19"/>
          <w:szCs w:val="19"/>
          <w:b w:val="1"/>
          <w:bCs w:val="1"/>
          <w:color w:val="auto"/>
        </w:rPr>
        <w:t xml:space="preserve">Section 4. </w:t>
      </w:r>
      <w:r>
        <w:rPr>
          <w:rFonts w:ascii="Arial" w:cs="Arial" w:eastAsia="Arial" w:hAnsi="Arial"/>
          <w:sz w:val="19"/>
          <w:szCs w:val="19"/>
          <w:u w:val="single" w:color="auto"/>
          <w:color w:val="auto"/>
        </w:rPr>
        <w:t>Severance Benefits upon Involuntary Termination Prior to Change in Control</w:t>
      </w:r>
      <w:r>
        <w:rPr>
          <w:rFonts w:ascii="Arial" w:cs="Arial" w:eastAsia="Arial" w:hAnsi="Arial"/>
          <w:sz w:val="19"/>
          <w:szCs w:val="19"/>
          <w:color w:val="auto"/>
        </w:rPr>
        <w:t>. Except as provided in</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5(h) and Section 19(i) hereof, in the event of the Involuntary Termination of the Executive prior to a Change in Control, the Company shall pay the Executive, in one lump sum cash payment, an amount (the “</w:t>
      </w:r>
      <w:r>
        <w:rPr>
          <w:rFonts w:ascii="Arial" w:cs="Arial" w:eastAsia="Arial" w:hAnsi="Arial"/>
          <w:sz w:val="19"/>
          <w:szCs w:val="19"/>
          <w:u w:val="single" w:color="auto"/>
          <w:color w:val="auto"/>
        </w:rPr>
        <w:t>Pre-Change in Control Severance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Payment</w:t>
      </w:r>
      <w:r>
        <w:rPr>
          <w:rFonts w:ascii="Arial" w:cs="Arial" w:eastAsia="Arial" w:hAnsi="Arial"/>
          <w:sz w:val="19"/>
          <w:szCs w:val="19"/>
          <w:color w:val="auto"/>
        </w:rPr>
        <w:t>”) equal to one-half (0.5) times the greater of: (X) 160% of the Executive’s Annual Base Salary as in effect on the Date of Termination, and (Y) the Executive’s Annual Base Salary as in effect on the Date of Termination, plus the Executive’s Average Annual Bonus. In addition to the Pre-Change in Control Severance Payment, the Executive shall be entitled to the following additional benefits specified in subsections (a) through (e). The Company's obligation to pay the Pre-Change in Control Severance Payment or provide the benefits set forth in subsections (c), (d) and (e) are subject to and conditioned upon the Executive executing a release (the “</w:t>
      </w: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of all claims substantially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within fifty (50) days after the date of Involuntary Termination and Executive not revoking such Release in accordance with the terms thereof. Except as provided in Section 4(f), the Pre-Change in Control Severance Payment shall be paid on such date as is determined by the Company within sixty (60) days after the date of the Involuntary Termination; but not before the Release becomes effective and irrevocable. If the fifty (50) day period in which the Release could become effective spans more than one taxable year, then the Pre-Change in Control Severance Payment shall not be made until the later taxable year. Notwithstanding the foregoing, if the Executive is a Specified Employee on the date of the Executive’s Involuntary Termination, the Pre-Change in Control Severance Payment and the financial planning services and the related payments provided under Section 4(e) shall be paid as provided in Section 9 hereof.</w:t>
      </w:r>
    </w:p>
    <w:p>
      <w:pPr>
        <w:spacing w:after="0" w:line="151" w:lineRule="exact"/>
        <w:rPr>
          <w:sz w:val="20"/>
          <w:szCs w:val="20"/>
          <w:color w:val="auto"/>
        </w:rPr>
      </w:pPr>
    </w:p>
    <w:p>
      <w:pPr>
        <w:ind w:right="660" w:firstLine="1305"/>
        <w:spacing w:after="0" w:line="251" w:lineRule="auto"/>
        <w:tabs>
          <w:tab w:leader="none" w:pos="1945"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Accrued Obligations</w:t>
      </w:r>
      <w:r>
        <w:rPr>
          <w:rFonts w:ascii="Arial" w:cs="Arial" w:eastAsia="Arial" w:hAnsi="Arial"/>
          <w:sz w:val="22"/>
          <w:szCs w:val="22"/>
          <w:color w:val="auto"/>
        </w:rPr>
        <w:t>. The Company shall pay the Executive a lump sum amount in cash equal to the Accrued Obligations within the time required by law.</w:t>
      </w:r>
    </w:p>
    <w:p>
      <w:pPr>
        <w:spacing w:after="0" w:line="159" w:lineRule="exact"/>
        <w:rPr>
          <w:rFonts w:ascii="Arial" w:cs="Arial" w:eastAsia="Arial" w:hAnsi="Arial"/>
          <w:sz w:val="22"/>
          <w:szCs w:val="22"/>
          <w:color w:val="auto"/>
        </w:rPr>
      </w:pPr>
    </w:p>
    <w:p>
      <w:pPr>
        <w:ind w:right="20" w:firstLine="1305"/>
        <w:spacing w:after="0" w:line="251" w:lineRule="auto"/>
        <w:tabs>
          <w:tab w:leader="none" w:pos="1945"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Equity Based Compensation</w:t>
      </w:r>
      <w:r>
        <w:rPr>
          <w:rFonts w:ascii="Arial" w:cs="Arial" w:eastAsia="Arial" w:hAnsi="Arial"/>
          <w:sz w:val="22"/>
          <w:szCs w:val="22"/>
          <w:color w:val="auto"/>
        </w:rPr>
        <w:t>. The Executive shall retain all rights to any equity-based compensation awards to the extent set forth in the applicable plan and/or award agreement.</w:t>
      </w:r>
    </w:p>
    <w:p>
      <w:pPr>
        <w:spacing w:after="0" w:line="173" w:lineRule="exact"/>
        <w:rPr>
          <w:rFonts w:ascii="Arial" w:cs="Arial" w:eastAsia="Arial" w:hAnsi="Arial"/>
          <w:sz w:val="22"/>
          <w:szCs w:val="22"/>
          <w:color w:val="auto"/>
        </w:rPr>
      </w:pPr>
    </w:p>
    <w:p>
      <w:pPr>
        <w:ind w:right="60" w:firstLine="1305"/>
        <w:spacing w:after="0" w:line="271" w:lineRule="auto"/>
        <w:tabs>
          <w:tab w:leader="none" w:pos="1945"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Welfare Benefits</w:t>
      </w:r>
      <w:r>
        <w:rPr>
          <w:rFonts w:ascii="Arial" w:cs="Arial" w:eastAsia="Arial" w:hAnsi="Arial"/>
          <w:sz w:val="19"/>
          <w:szCs w:val="19"/>
          <w:color w:val="auto"/>
        </w:rPr>
        <w:t xml:space="preserve">. Subject to Section 12 below, for a period of six (6) months following the date of the Involuntary Termination (and an additional twelve (12) months if the Executive provides consulting services under Section 14(e) hereof), the Executive and his dependents shall be provided with health insurance benefits substantially similar to those provided to the Executive and his dependents immediately prior to the date of the Involuntary Termination;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such benefits shall be provided on substantially the same terms and conditions and at the same cost to the Executive as in effect immediately prior to the date of the Involuntary Termination. Such benefits shall be provided through insurance maintained by the Company under the Company’s benefit plans. Such benefits shall be provided in a manner that complies with Treasury Regulation Section 1.409A-1(a)(5). Notwithstanding the foregoing, if the Company determines in its sole discretion that it cannot provide the foregoing benefit without potentially violating applicable law (including, without limitation, Section 2716 of the Public Health Service Act), the Company shall in lieu thereof provide to the Executive a taxable monthly payment in an amount equal to the monthly premium that the Executive would be required to pay to continue the Executive’s and his covered dependents’ group insurance coverages under COBRA as in effect on the Date of Termination (which amount shall be based on the premiums for the first month of COBRA coverage);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the Executive is a Specified Employee on the Date of Termination, then such payments shall be paid as provided in Section 9 hereof.</w:t>
      </w:r>
    </w:p>
    <w:p>
      <w:pPr>
        <w:sectPr>
          <w:pgSz w:w="11900" w:h="16838" w:orient="portrait"/>
          <w:cols w:equalWidth="0" w:num="1">
            <w:col w:w="11400"/>
          </w:cols>
          <w:pgMar w:left="240" w:top="118" w:right="259" w:bottom="0" w:gutter="0" w:footer="0" w:header="0"/>
        </w:sectPr>
      </w:pPr>
    </w:p>
    <w:bookmarkStart w:id="79" w:name="page80"/>
    <w:bookmarkEnd w:id="79"/>
    <w:p>
      <w:pPr>
        <w:spacing w:after="0" w:line="91" w:lineRule="exact"/>
        <w:rPr>
          <w:sz w:val="20"/>
          <w:szCs w:val="20"/>
          <w:color w:val="auto"/>
        </w:rPr>
      </w:pPr>
    </w:p>
    <w:p>
      <w:pPr>
        <w:ind w:right="120" w:firstLine="1305"/>
        <w:spacing w:after="0" w:line="235" w:lineRule="auto"/>
        <w:tabs>
          <w:tab w:leader="none" w:pos="1945"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Outplacement Services</w:t>
      </w:r>
      <w:r>
        <w:rPr>
          <w:rFonts w:ascii="Arial" w:cs="Arial" w:eastAsia="Arial" w:hAnsi="Arial"/>
          <w:sz w:val="22"/>
          <w:szCs w:val="22"/>
          <w:color w:val="auto"/>
        </w:rPr>
        <w:t>. The Executive shall receive reasonable outplacement services, on an in-kind basis, suitable to his position and directly related to the Executive’s Involuntary Termination, for a period of eighteen (18) months following the date of the Involuntary Termination, in an aggregate amount of cost to the Company not to exceed $50,000. Notwithstanding the foregoing, the Executive shall cease to receive outplacement services on the date the Executive accepts employment with a subsequent employer. Such outplacement services shall be provided in a manner that complies with Treasury Regulation Section 1.409A-1(b)(9)(v)(A).</w:t>
      </w:r>
    </w:p>
    <w:p>
      <w:pPr>
        <w:spacing w:after="0" w:line="175" w:lineRule="exact"/>
        <w:rPr>
          <w:rFonts w:ascii="Arial" w:cs="Arial" w:eastAsia="Arial" w:hAnsi="Arial"/>
          <w:sz w:val="22"/>
          <w:szCs w:val="22"/>
          <w:color w:val="auto"/>
        </w:rPr>
      </w:pPr>
    </w:p>
    <w:p>
      <w:pPr>
        <w:ind w:right="80" w:firstLine="1305"/>
        <w:spacing w:after="0" w:line="273" w:lineRule="auto"/>
        <w:tabs>
          <w:tab w:leader="none" w:pos="1945"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Financial Planning Services</w:t>
      </w:r>
      <w:r>
        <w:rPr>
          <w:rFonts w:ascii="Arial" w:cs="Arial" w:eastAsia="Arial" w:hAnsi="Arial"/>
          <w:sz w:val="19"/>
          <w:szCs w:val="19"/>
          <w:color w:val="auto"/>
        </w:rPr>
        <w:t xml:space="preserve">. The Executive shall receive financial planning services, on an in-kind basis, for a period of eighteen (18) months following the Date of Termination. Such financial planning services shall include expert financial and legal resources to assist the Executive with financial planning needs and shall be limited to (i) current investment portfolio management, (ii) tax planning, (iii) tax return preparation, and (iv) estate planning advice and document preparation (including wills and trusts);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Company shall provide such financial planning services during any taxable year of the Executive only to the extent the cost to the Company for such taxable year does not exceed </w:t>
      </w:r>
      <w:r>
        <w:rPr>
          <w:rFonts w:ascii="Arial" w:cs="Arial" w:eastAsia="Arial" w:hAnsi="Arial"/>
          <w:sz w:val="19"/>
          <w:szCs w:val="19"/>
          <w:i w:val="1"/>
          <w:iCs w:val="1"/>
          <w:color w:val="auto"/>
        </w:rPr>
        <w:t>[$25,000</w:t>
      </w:r>
      <w:r>
        <w:rPr>
          <w:rFonts w:ascii="Arial" w:cs="Arial" w:eastAsia="Arial" w:hAnsi="Arial"/>
          <w:sz w:val="19"/>
          <w:szCs w:val="19"/>
          <w:color w:val="auto"/>
        </w:rPr>
        <w:t>]. The Company shall provide such financial planning services through a financial planner selected by the Company, and shall pay the fees for such financial planning services. The financial planning services provided during any taxable year of the Executive shall not affect the financial planning services provided in any other taxable year of the Executive. The Executive’s right to financial planning services shall not be subject to liquidation or exchange for any other benefit. Such financial planning services shall be provided in a manner that complies with Treasury Regulation Section 1.409A-3(i)(1)(iv).</w:t>
      </w:r>
    </w:p>
    <w:p>
      <w:pPr>
        <w:spacing w:after="0" w:line="156" w:lineRule="exact"/>
        <w:rPr>
          <w:rFonts w:ascii="Arial" w:cs="Arial" w:eastAsia="Arial" w:hAnsi="Arial"/>
          <w:sz w:val="19"/>
          <w:szCs w:val="19"/>
          <w:color w:val="auto"/>
        </w:rPr>
      </w:pPr>
    </w:p>
    <w:p>
      <w:pPr>
        <w:jc w:val="both"/>
        <w:ind w:right="620" w:firstLine="1305"/>
        <w:spacing w:after="0" w:line="238" w:lineRule="auto"/>
        <w:tabs>
          <w:tab w:leader="none" w:pos="1945"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Deferral of Payments</w:t>
      </w:r>
      <w:r>
        <w:rPr>
          <w:rFonts w:ascii="Arial" w:cs="Arial" w:eastAsia="Arial" w:hAnsi="Arial"/>
          <w:sz w:val="22"/>
          <w:szCs w:val="22"/>
          <w:color w:val="auto"/>
        </w:rPr>
        <w:t>. The Executive shall have the right to elect to defer the Pre-Change in Control Severance Payment to be received by the Executive pursuant to this Section 4 under the terms and conditions of the Sempra Energy 2005 Deferred Compensation Plan (the “</w:t>
      </w:r>
      <w:r>
        <w:rPr>
          <w:rFonts w:ascii="Arial" w:cs="Arial" w:eastAsia="Arial" w:hAnsi="Arial"/>
          <w:sz w:val="22"/>
          <w:szCs w:val="22"/>
          <w:u w:val="single" w:color="auto"/>
          <w:color w:val="auto"/>
        </w:rPr>
        <w:t>Deferred Compensation Plan</w:t>
      </w:r>
      <w:r>
        <w:rPr>
          <w:rFonts w:ascii="Arial" w:cs="Arial" w:eastAsia="Arial" w:hAnsi="Arial"/>
          <w:sz w:val="22"/>
          <w:szCs w:val="22"/>
          <w:color w:val="auto"/>
        </w:rPr>
        <w:t>”). Any such deferral election shall be made in accordance with Section 18(b) hereof.</w:t>
      </w:r>
    </w:p>
    <w:p>
      <w:pPr>
        <w:spacing w:after="0" w:line="172" w:lineRule="exact"/>
        <w:rPr>
          <w:sz w:val="20"/>
          <w:szCs w:val="20"/>
          <w:color w:val="auto"/>
        </w:rPr>
      </w:pPr>
    </w:p>
    <w:p>
      <w:pPr>
        <w:ind w:firstLine="1297"/>
        <w:spacing w:after="0" w:line="270" w:lineRule="auto"/>
        <w:rPr>
          <w:sz w:val="20"/>
          <w:szCs w:val="20"/>
          <w:color w:val="auto"/>
        </w:rPr>
      </w:pPr>
      <w:r>
        <w:rPr>
          <w:rFonts w:ascii="Arial" w:cs="Arial" w:eastAsia="Arial" w:hAnsi="Arial"/>
          <w:sz w:val="19"/>
          <w:szCs w:val="19"/>
          <w:b w:val="1"/>
          <w:bCs w:val="1"/>
          <w:color w:val="auto"/>
        </w:rPr>
        <w:t xml:space="preserve">Section 5. </w:t>
      </w:r>
      <w:r>
        <w:rPr>
          <w:rFonts w:ascii="Arial" w:cs="Arial" w:eastAsia="Arial" w:hAnsi="Arial"/>
          <w:sz w:val="19"/>
          <w:szCs w:val="19"/>
          <w:u w:val="single" w:color="auto"/>
          <w:color w:val="auto"/>
        </w:rPr>
        <w:t>Severance Benefits upon Involuntary Termination in Connection with and after Change in Control</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the provisions of Section 4 above, and except as provided in Section 19(i) hereof, in the event of the Involuntary Termination of the Executive on or within two (2) years following a Change in Control, in lieu of the payments described in Section 4 above, the Company shall pay the Executive, in one lump sum cash payment, an amount (the “</w:t>
      </w:r>
      <w:r>
        <w:rPr>
          <w:rFonts w:ascii="Arial" w:cs="Arial" w:eastAsia="Arial" w:hAnsi="Arial"/>
          <w:sz w:val="19"/>
          <w:szCs w:val="19"/>
          <w:u w:val="single" w:color="auto"/>
          <w:color w:val="auto"/>
        </w:rPr>
        <w:t>Post-Change in Control</w:t>
      </w:r>
      <w:r>
        <w:rPr>
          <w:rFonts w:ascii="Arial" w:cs="Arial" w:eastAsia="Arial" w:hAnsi="Arial"/>
          <w:sz w:val="19"/>
          <w:szCs w:val="19"/>
          <w:color w:val="auto"/>
        </w:rPr>
        <w:t xml:space="preserve"> </w:t>
      </w:r>
      <w:r>
        <w:rPr>
          <w:rFonts w:ascii="Arial" w:cs="Arial" w:eastAsia="Arial" w:hAnsi="Arial"/>
          <w:sz w:val="19"/>
          <w:szCs w:val="19"/>
          <w:u w:val="single" w:color="auto"/>
          <w:color w:val="auto"/>
        </w:rPr>
        <w:t>Severance Payment</w:t>
      </w:r>
      <w:r>
        <w:rPr>
          <w:rFonts w:ascii="Arial" w:cs="Arial" w:eastAsia="Arial" w:hAnsi="Arial"/>
          <w:sz w:val="19"/>
          <w:szCs w:val="19"/>
          <w:color w:val="auto"/>
        </w:rPr>
        <w:t>”) equal to the greater of: (X) 160% of the Executive’s Annual Base Salary as in effect immediately prior to the Change in Control or the Date of Termination, whichever is greater, and (Y) the Executive’s Annual Base Salary as in effect immediately prior to the Change in Control or on the Date of Termination, whichever is greater, plus the Executive’s Average Annual Bonus. In addition to the Post-Change in Control Severance Payment, the Executive shall be entitled to the following additional benefits specified in subsections (a) through (g). The Company's obligation to pay the Post-Change in Control Severance Payment or provide the benefits set forth in subsections (b),(c), (d), (e), (f) and (g) are subject to and conditioned upon the Executive executing the Release within fifty (50) days after the date of Involuntary Termination and Executive not revoking such Release in accordance with the terms thereof. Except as provided in Sections 5(h) and 5(i), the Post-Change in Control Severance Payment, the Pro Rata Bonus and the payments under Section 6(c) shall be paid on such date as is determined by the Company within sixty (60) days after the date of the Involuntary Termination. If the fifty (50) day period in which the Release could become effective spans more than one taxable year, then the Post-Change in Control Severance Payment, Pro Rata Bonus and payments under Section 5(c) shall not be made until the later taxable year. Notwithstanding the foregoing, if the Executive is a Specified Employee on the date of the Executive’s Involuntary Termination, the Post-Change in Control Severance Payment, the Pro Rata Bonus, the payment under Section 5(c) and the financial planning services and the related payments provided under Section 5(g) shall be paid as provided in Section 9 hereof.</w:t>
      </w:r>
    </w:p>
    <w:p>
      <w:pPr>
        <w:spacing w:after="0" w:line="397" w:lineRule="exact"/>
        <w:rPr>
          <w:sz w:val="20"/>
          <w:szCs w:val="20"/>
          <w:color w:val="auto"/>
        </w:rPr>
      </w:pPr>
    </w:p>
    <w:p>
      <w:pPr>
        <w:ind w:right="740" w:firstLine="1305"/>
        <w:spacing w:after="0" w:line="251" w:lineRule="auto"/>
        <w:tabs>
          <w:tab w:leader="none" w:pos="1945"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Accrued Obligations</w:t>
      </w:r>
      <w:r>
        <w:rPr>
          <w:rFonts w:ascii="Arial" w:cs="Arial" w:eastAsia="Arial" w:hAnsi="Arial"/>
          <w:sz w:val="22"/>
          <w:szCs w:val="22"/>
          <w:color w:val="auto"/>
        </w:rPr>
        <w:t>. The Company shall pay the Executive a lump sum amount in cash equal to the Accrued Obligations within the time required by law.</w:t>
      </w:r>
    </w:p>
    <w:p>
      <w:pPr>
        <w:spacing w:after="0" w:line="173" w:lineRule="exact"/>
        <w:rPr>
          <w:rFonts w:ascii="Arial" w:cs="Arial" w:eastAsia="Arial" w:hAnsi="Arial"/>
          <w:sz w:val="22"/>
          <w:szCs w:val="22"/>
          <w:color w:val="auto"/>
        </w:rPr>
      </w:pPr>
    </w:p>
    <w:p>
      <w:pPr>
        <w:ind w:left="1960" w:hanging="655"/>
        <w:spacing w:after="0"/>
        <w:tabs>
          <w:tab w:leader="none" w:pos="1960"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Pro Rata Bonus</w:t>
      </w:r>
      <w:r>
        <w:rPr>
          <w:rFonts w:ascii="Arial" w:cs="Arial" w:eastAsia="Arial" w:hAnsi="Arial"/>
          <w:sz w:val="19"/>
          <w:szCs w:val="19"/>
          <w:color w:val="auto"/>
        </w:rPr>
        <w:t>. The Company shall pay the Executive a lump sum amount in cash equal to: (i) the greater</w:t>
      </w:r>
    </w:p>
    <w:p>
      <w:pPr>
        <w:spacing w:after="0" w:line="42" w:lineRule="exact"/>
        <w:rPr>
          <w:rFonts w:ascii="Arial" w:cs="Arial" w:eastAsia="Arial" w:hAnsi="Arial"/>
          <w:sz w:val="19"/>
          <w:szCs w:val="19"/>
          <w:color w:val="auto"/>
        </w:rPr>
      </w:pPr>
    </w:p>
    <w:p>
      <w:pPr>
        <w:ind w:right="420"/>
        <w:spacing w:after="0" w:line="233" w:lineRule="auto"/>
        <w:rPr>
          <w:rFonts w:ascii="Arial" w:cs="Arial" w:eastAsia="Arial" w:hAnsi="Arial"/>
          <w:sz w:val="19"/>
          <w:szCs w:val="19"/>
          <w:color w:val="auto"/>
        </w:rPr>
      </w:pPr>
      <w:r>
        <w:rPr>
          <w:rFonts w:ascii="Arial" w:cs="Arial" w:eastAsia="Arial" w:hAnsi="Arial"/>
          <w:sz w:val="22"/>
          <w:szCs w:val="22"/>
          <w:color w:val="auto"/>
        </w:rPr>
        <w:t>of: (X) 60% of the Executive’s Annual Base Salary as in effect immediately prior to the Change in Control or on the Date of Termination, whichever is greater, or (Y) the Executive’s Average Annual Bonus, multiplied by (ii) a fraction, the numerator of which shall be the number of days from the beginning of such fiscal year to and including the Date of Termination and the denominator of which shall be 365 equal to (the “</w:t>
      </w:r>
      <w:r>
        <w:rPr>
          <w:rFonts w:ascii="Arial" w:cs="Arial" w:eastAsia="Arial" w:hAnsi="Arial"/>
          <w:sz w:val="22"/>
          <w:szCs w:val="22"/>
          <w:u w:val="single" w:color="auto"/>
          <w:color w:val="auto"/>
        </w:rPr>
        <w:t>Pro Rata Bonus</w:t>
      </w:r>
      <w:r>
        <w:rPr>
          <w:rFonts w:ascii="Arial" w:cs="Arial" w:eastAsia="Arial" w:hAnsi="Arial"/>
          <w:sz w:val="22"/>
          <w:szCs w:val="22"/>
          <w:color w:val="auto"/>
        </w:rPr>
        <w:t>”).</w:t>
      </w:r>
    </w:p>
    <w:p>
      <w:pPr>
        <w:spacing w:after="0" w:line="174" w:lineRule="exact"/>
        <w:rPr>
          <w:rFonts w:ascii="Arial" w:cs="Arial" w:eastAsia="Arial" w:hAnsi="Arial"/>
          <w:sz w:val="19"/>
          <w:szCs w:val="19"/>
          <w:color w:val="auto"/>
        </w:rPr>
      </w:pPr>
    </w:p>
    <w:p>
      <w:pPr>
        <w:jc w:val="both"/>
        <w:ind w:right="260" w:firstLine="1305"/>
        <w:spacing w:after="0" w:line="273" w:lineRule="auto"/>
        <w:tabs>
          <w:tab w:leader="none" w:pos="1945"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Pension Supplement</w:t>
      </w:r>
      <w:r>
        <w:rPr>
          <w:rFonts w:ascii="Arial" w:cs="Arial" w:eastAsia="Arial" w:hAnsi="Arial"/>
          <w:sz w:val="19"/>
          <w:szCs w:val="19"/>
          <w:color w:val="auto"/>
        </w:rPr>
        <w:t>. The Executive shall be entitled to receive a Supplemental Retirement Benefit under the Sempra Energy Supplemental Executive Retirement Plan, as in effect from time to time (“</w:t>
      </w:r>
      <w:r>
        <w:rPr>
          <w:rFonts w:ascii="Arial" w:cs="Arial" w:eastAsia="Arial" w:hAnsi="Arial"/>
          <w:sz w:val="19"/>
          <w:szCs w:val="19"/>
          <w:u w:val="single" w:color="auto"/>
          <w:color w:val="auto"/>
        </w:rPr>
        <w:t>SERP</w:t>
      </w:r>
      <w:r>
        <w:rPr>
          <w:rFonts w:ascii="Arial" w:cs="Arial" w:eastAsia="Arial" w:hAnsi="Arial"/>
          <w:sz w:val="19"/>
          <w:szCs w:val="19"/>
          <w:color w:val="auto"/>
        </w:rPr>
        <w:t>”), determined in accordance with this Section 5(c), in the event that the Executive is a “Participant” (as defined in the SERP) as of the Date of Termination.</w:t>
      </w:r>
    </w:p>
    <w:p>
      <w:pPr>
        <w:spacing w:after="0" w:line="1" w:lineRule="exact"/>
        <w:rPr>
          <w:rFonts w:ascii="Arial" w:cs="Arial" w:eastAsia="Arial" w:hAnsi="Arial"/>
          <w:sz w:val="19"/>
          <w:szCs w:val="19"/>
          <w:color w:val="auto"/>
        </w:rPr>
      </w:pPr>
    </w:p>
    <w:p>
      <w:pPr>
        <w:ind w:right="20" w:firstLine="54"/>
        <w:spacing w:after="0" w:line="270" w:lineRule="auto"/>
        <w:rPr>
          <w:rFonts w:ascii="Arial" w:cs="Arial" w:eastAsia="Arial" w:hAnsi="Arial"/>
          <w:sz w:val="19"/>
          <w:szCs w:val="19"/>
          <w:color w:val="auto"/>
        </w:rPr>
      </w:pPr>
      <w:r>
        <w:rPr>
          <w:rFonts w:ascii="Arial" w:cs="Arial" w:eastAsia="Arial" w:hAnsi="Arial"/>
          <w:sz w:val="19"/>
          <w:szCs w:val="19"/>
          <w:color w:val="auto"/>
        </w:rPr>
        <w:t>Such Supplemental Retirement Benefit shall be determined by crediting the Executive with additional months of Service (if any) equal to the number of full calendar months from the Date of Termination to the date on which the Executive would have attained age 62. The Executive shall be entitled to receive such Supplemental Retirement Benefit without regard to whether the Executive has attained age 55 or completed five years of “Service” (as defined in the SERP) as of the Date of Termination. The Executive shall be treated as qualified for “Retirement” (as defined in the SERP) as of the Date of Termination, and the Executive’s Vesting Factor with respect to the Supplemental Retirement Benefit shall be 100%. The Executive’s Supplemental Retirement Benefit shall be calculated based on the Executive’s actual age as of the date of commencement of payment of such Supplemental Retirement Benefit (the “</w:t>
      </w:r>
      <w:r>
        <w:rPr>
          <w:rFonts w:ascii="Arial" w:cs="Arial" w:eastAsia="Arial" w:hAnsi="Arial"/>
          <w:sz w:val="19"/>
          <w:szCs w:val="19"/>
          <w:u w:val="single" w:color="auto"/>
          <w:color w:val="auto"/>
        </w:rPr>
        <w:t>SERP Distribution Date</w:t>
      </w:r>
      <w:r>
        <w:rPr>
          <w:rFonts w:ascii="Arial" w:cs="Arial" w:eastAsia="Arial" w:hAnsi="Arial"/>
          <w:sz w:val="19"/>
          <w:szCs w:val="19"/>
          <w:color w:val="auto"/>
        </w:rPr>
        <w:t>”), and by applying the applicable early retirement factors under the SERP, if the Executive has not attained age 62 but has attained age 55 as of the SERP Distribution Date. If the Executive has not attained age 55 as of the SERP Distribution Date, the Executive’s Supplemental Retirement Benefit shall be calculated by applying the applicable early retirement factor under the SERP for age 55, and the Supplemental Retirement Benefit otherwise payable at age 55 shall be actuarially adjusted to the Executive’s actual age as of the SERP Distribution Date using the following actuarial assumptions: (i) the applicable mortality table promulgated by the Internal Revenue Service under Section 417(e)(3) of the Code, as in effect on the</w:t>
      </w:r>
    </w:p>
    <w:p>
      <w:pPr>
        <w:sectPr>
          <w:pgSz w:w="11900" w:h="16929" w:orient="portrait"/>
          <w:cols w:equalWidth="0" w:num="1">
            <w:col w:w="11420"/>
          </w:cols>
          <w:pgMar w:left="240" w:top="118" w:right="239" w:bottom="0" w:gutter="0" w:footer="0" w:header="0"/>
        </w:sectPr>
      </w:pPr>
    </w:p>
    <w:bookmarkStart w:id="80" w:name="page81"/>
    <w:bookmarkEnd w:id="80"/>
    <w:p>
      <w:pPr>
        <w:spacing w:after="0" w:line="149" w:lineRule="exact"/>
        <w:rPr>
          <w:sz w:val="20"/>
          <w:szCs w:val="20"/>
          <w:color w:val="auto"/>
        </w:rPr>
      </w:pPr>
    </w:p>
    <w:p>
      <w:pPr>
        <w:ind w:right="60"/>
        <w:spacing w:after="0" w:line="247" w:lineRule="auto"/>
        <w:rPr>
          <w:sz w:val="20"/>
          <w:szCs w:val="20"/>
          <w:color w:val="auto"/>
        </w:rPr>
      </w:pPr>
      <w:r>
        <w:rPr>
          <w:rFonts w:ascii="Arial" w:cs="Arial" w:eastAsia="Arial" w:hAnsi="Arial"/>
          <w:sz w:val="21"/>
          <w:szCs w:val="21"/>
          <w:color w:val="auto"/>
        </w:rPr>
        <w:t>first day of the calendar year in which the SERP Distribution Date occurs, and (ii) the applicable interest rate promulgated by the Internal Revenue Service under Section 417(a)(3) of the Code for the November next preceding the first day of the calendar year in which the SERP Distribution Date occurs. The Executive’s Supplemental Retirement Benefit shall be determined in accordance with this Section 5(c), notwithstanding any contrary provisions of the SERP and, to the extent subject to Section 409A of the Code, shall be paid in accordance with Treasury Regulation Section 1.409A-3(c)(1). The Supplemental Retirement Benefit paid to or on behalf of the Executive in accordance with this Section 5(c) shall be in full satisfaction of any and all of the benefits payable to or on behalf of the Executive under the SERP.</w:t>
      </w:r>
    </w:p>
    <w:p>
      <w:pPr>
        <w:spacing w:after="0" w:line="165" w:lineRule="exact"/>
        <w:rPr>
          <w:sz w:val="20"/>
          <w:szCs w:val="20"/>
          <w:color w:val="auto"/>
        </w:rPr>
      </w:pPr>
    </w:p>
    <w:p>
      <w:pPr>
        <w:ind w:right="20" w:firstLine="1305"/>
        <w:spacing w:after="0" w:line="272" w:lineRule="auto"/>
        <w:tabs>
          <w:tab w:leader="none" w:pos="1945"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Equity-Based Compensation</w:t>
      </w:r>
      <w:r>
        <w:rPr>
          <w:rFonts w:ascii="Arial" w:cs="Arial" w:eastAsia="Arial" w:hAnsi="Arial"/>
          <w:sz w:val="19"/>
          <w:szCs w:val="19"/>
          <w:color w:val="auto"/>
        </w:rPr>
        <w:t xml:space="preserve">. Notwithstanding the provisions of any applicable equity-compensation plan or award agreement to the contrary, all equity-based Incentive Compensation Awards (including, without limitation, stock options, stock appreciation rights, restricted stock awards, restricted stock units, performance share awards, awards covered under Section 162(m) of the Code, and dividend equivalents) held by the Executive shall immediately vest and become exercisable or payable, as the case may be, as of the Date of Termination, to be exercised or paid, as the case may be, in accordance with the terms of the applicable Incentive Compensation Plan and Incentive Compensation Award agreement, and any restrictions on any such Incentive Compensation Awards shall automatically lapse; </w:t>
      </w:r>
      <w:r>
        <w:rPr>
          <w:rFonts w:ascii="Arial" w:cs="Arial" w:eastAsia="Arial" w:hAnsi="Arial"/>
          <w:sz w:val="19"/>
          <w:szCs w:val="19"/>
          <w:i w:val="1"/>
          <w:iCs w:val="1"/>
          <w:color w:val="auto"/>
        </w:rPr>
        <w:t>provided, however</w:t>
      </w:r>
      <w:r>
        <w:rPr>
          <w:rFonts w:ascii="Arial" w:cs="Arial" w:eastAsia="Arial" w:hAnsi="Arial"/>
          <w:sz w:val="19"/>
          <w:szCs w:val="19"/>
          <w:color w:val="auto"/>
        </w:rPr>
        <w:t>, that any such stock option or stock appreciation rights awards granted on or after June 26, 1998 shall remain outstanding and exercisable until the earlier of (A) the later of eighteen (18) months following the Date of Termination or the period specified in the applicable Incentive Compensation Award agreements or (B) the expiration of the original term of such Incentive Compensation Award (or, if earlier, the tenth anniversary of the original date of grant) (it being understood that all Incentive Compensation Awards granted prior to or after June 26, 1998 shall remain outstanding and exercisable for a period that is no less than that provided for in the applicable agreement in effect as of the date of grant).</w:t>
      </w:r>
    </w:p>
    <w:p>
      <w:pPr>
        <w:spacing w:after="0" w:line="161" w:lineRule="exact"/>
        <w:rPr>
          <w:rFonts w:ascii="Arial" w:cs="Arial" w:eastAsia="Arial" w:hAnsi="Arial"/>
          <w:sz w:val="19"/>
          <w:szCs w:val="19"/>
          <w:color w:val="auto"/>
        </w:rPr>
      </w:pPr>
    </w:p>
    <w:p>
      <w:pPr>
        <w:ind w:right="100" w:firstLine="1305"/>
        <w:spacing w:after="0" w:line="243" w:lineRule="auto"/>
        <w:tabs>
          <w:tab w:leader="none" w:pos="1945" w:val="left"/>
        </w:tabs>
        <w:numPr>
          <w:ilvl w:val="0"/>
          <w:numId w:val="114"/>
        </w:numPr>
        <w:rPr>
          <w:rFonts w:ascii="Arial" w:cs="Arial" w:eastAsia="Arial" w:hAnsi="Arial"/>
          <w:sz w:val="21"/>
          <w:szCs w:val="21"/>
          <w:color w:val="auto"/>
        </w:rPr>
      </w:pPr>
      <w:r>
        <w:rPr>
          <w:rFonts w:ascii="Arial" w:cs="Arial" w:eastAsia="Arial" w:hAnsi="Arial"/>
          <w:sz w:val="21"/>
          <w:szCs w:val="21"/>
          <w:u w:val="single" w:color="auto"/>
          <w:color w:val="auto"/>
        </w:rPr>
        <w:t>Welfare Benefits</w:t>
      </w:r>
      <w:r>
        <w:rPr>
          <w:rFonts w:ascii="Arial" w:cs="Arial" w:eastAsia="Arial" w:hAnsi="Arial"/>
          <w:sz w:val="21"/>
          <w:szCs w:val="21"/>
          <w:color w:val="auto"/>
        </w:rPr>
        <w:t xml:space="preserve">. Subject to Section 12 below, for a period of twelve (12) months following the date of Involuntary Termination (and an additional twelve (12) months if the Executive provides consulting services under Section 14(e) hereof), the Executive and his dependents shall be provided with life, disability, accident and health insurance benefits substantially similar to those provided to the Executive and his dependents immediately prior to the date of Involuntary Termination or the Change in Control Date, whichever is more favorable to the Executive;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such benefits shall be provided on substantially the same terms and conditions and at the same cost to the Executive as in effect immediately prior to the date of Involuntary Termination or the Change in Control Date, whichever is more favorable to the Executive. Such benefits shall be provided through insurance maintained by the Company under the Company benefit plans. Such benefits shall be provided in a manner that complies with Treasury Regulation Section 1.409A-1(a)(5). Notwithstanding the foregoing, if the Company determines in its sole discretion that it cannot provide the foregoing benefit without potentially violating applicable law (including, without limitation, Section 2716 of the Public Health Service Act), the Company shall in lieu thereof provide to the Executive a taxable monthly payment in an amount equal to the monthly premium that the Executive would be required to pay to continue the Executive’s and his covered dependents’ group insurance coverages under COBRA as in effect on the Date of Termination (which amount shall be based on the premiums for the first month of COBRA coverage);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if the Executive is a Specified Employee on the Date of Termination, then such payments shall be paid as provided in Section 9 hereof.</w:t>
      </w:r>
    </w:p>
    <w:p>
      <w:pPr>
        <w:spacing w:after="0" w:line="180" w:lineRule="exact"/>
        <w:rPr>
          <w:rFonts w:ascii="Arial" w:cs="Arial" w:eastAsia="Arial" w:hAnsi="Arial"/>
          <w:sz w:val="21"/>
          <w:szCs w:val="21"/>
          <w:color w:val="auto"/>
        </w:rPr>
      </w:pPr>
    </w:p>
    <w:p>
      <w:pPr>
        <w:ind w:firstLine="1305"/>
        <w:spacing w:after="0" w:line="247" w:lineRule="auto"/>
        <w:tabs>
          <w:tab w:leader="none" w:pos="1945" w:val="left"/>
        </w:tabs>
        <w:numPr>
          <w:ilvl w:val="0"/>
          <w:numId w:val="114"/>
        </w:numPr>
        <w:rPr>
          <w:rFonts w:ascii="Arial" w:cs="Arial" w:eastAsia="Arial" w:hAnsi="Arial"/>
          <w:sz w:val="21"/>
          <w:szCs w:val="21"/>
          <w:color w:val="auto"/>
        </w:rPr>
      </w:pPr>
      <w:r>
        <w:rPr>
          <w:rFonts w:ascii="Arial" w:cs="Arial" w:eastAsia="Arial" w:hAnsi="Arial"/>
          <w:sz w:val="21"/>
          <w:szCs w:val="21"/>
          <w:u w:val="single" w:color="auto"/>
          <w:color w:val="auto"/>
        </w:rPr>
        <w:t>Outplacement Services</w:t>
      </w:r>
      <w:r>
        <w:rPr>
          <w:rFonts w:ascii="Arial" w:cs="Arial" w:eastAsia="Arial" w:hAnsi="Arial"/>
          <w:sz w:val="21"/>
          <w:szCs w:val="21"/>
          <w:color w:val="auto"/>
        </w:rPr>
        <w:t>. The Executive shall receive reasonable outplacement services, on an in-kind basis, suitable to his position and directly related to the Executive’s Involuntary Termination, for a period of twenty-four (24) months following the date of Involuntary Termination (but in no event beyond the last day of the Executive’s second taxable year following the Executive’s taxable year in which the Involuntary Termination occurs), in the aggregate amount of cost to the Company not to exceed $50,000. Notwithstanding the foregoing, the Executive shall cease to receive outplacement services on the date the Executive accepts employment with a subsequent employer. Such outplacement services shall be provided in a manner that complies with Treasury Regulation Section 1.409A-1(b)(9)(v)(A).</w:t>
      </w:r>
    </w:p>
    <w:p>
      <w:pPr>
        <w:spacing w:after="0" w:line="164" w:lineRule="exact"/>
        <w:rPr>
          <w:rFonts w:ascii="Arial" w:cs="Arial" w:eastAsia="Arial" w:hAnsi="Arial"/>
          <w:sz w:val="21"/>
          <w:szCs w:val="21"/>
          <w:color w:val="auto"/>
        </w:rPr>
      </w:pPr>
    </w:p>
    <w:p>
      <w:pPr>
        <w:ind w:firstLine="1305"/>
        <w:spacing w:after="0" w:line="273" w:lineRule="auto"/>
        <w:tabs>
          <w:tab w:leader="none" w:pos="1945"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Financial Planning Services</w:t>
      </w:r>
      <w:r>
        <w:rPr>
          <w:rFonts w:ascii="Arial" w:cs="Arial" w:eastAsia="Arial" w:hAnsi="Arial"/>
          <w:sz w:val="19"/>
          <w:szCs w:val="19"/>
          <w:color w:val="auto"/>
        </w:rPr>
        <w:t xml:space="preserve">. The Executive shall receive financial planning services, on an in-kind basis, for a period of twenty-four (24) months following the date of Involuntary Termination. Such financial planning services shall include expert financial and legal resources to assist the Executive with financial planning needs and shall be limited to (i) current investment portfolio management, (ii) tax planning, (iii) tax return preparation, and (iv) estate planning advice and document preparation (including wills and trusts);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Company shall provide such financial services during any taxable year of the Executive only to the extent the cost to the Company for such taxable year does not exceed [</w:t>
      </w:r>
      <w:r>
        <w:rPr>
          <w:rFonts w:ascii="Arial" w:cs="Arial" w:eastAsia="Arial" w:hAnsi="Arial"/>
          <w:sz w:val="19"/>
          <w:szCs w:val="19"/>
          <w:i w:val="1"/>
          <w:iCs w:val="1"/>
          <w:color w:val="auto"/>
        </w:rPr>
        <w:t>$25,000</w:t>
      </w:r>
      <w:r>
        <w:rPr>
          <w:rFonts w:ascii="Arial" w:cs="Arial" w:eastAsia="Arial" w:hAnsi="Arial"/>
          <w:sz w:val="19"/>
          <w:szCs w:val="19"/>
          <w:color w:val="auto"/>
        </w:rPr>
        <w:t>]. The Company shall provide such financial planning services through a financial planner selected by the Company, and shall pay the fees for such financial planning services. The financial planning services provided during any taxable year of the Executive shall not affect the financial planning services provided in any other taxable year of the Executive. The Executive’s right to financial planning services shall not be subject to liquidation or exchange for any other benefit. Such financial planning services shall be provided in a manner that complies with Section 1.409A-3(i)(1)(iv).</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right="40" w:firstLine="1305"/>
        <w:spacing w:after="0" w:line="275" w:lineRule="auto"/>
        <w:tabs>
          <w:tab w:leader="none" w:pos="1945"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Involuntary Termination in Connection with a Change in Control</w:t>
      </w:r>
      <w:r>
        <w:rPr>
          <w:rFonts w:ascii="Arial" w:cs="Arial" w:eastAsia="Arial" w:hAnsi="Arial"/>
          <w:sz w:val="19"/>
          <w:szCs w:val="19"/>
          <w:color w:val="auto"/>
        </w:rPr>
        <w:t>. Notwithstanding anything contained herein, in the event of an Involuntary Termination prior to a Change in Control, if the Involuntary Termination (1) was at the request of a third party who has taken steps reasonably calculated to effect such Change in Control or (2) otherwise arose in connection with or in anticipation of such Change in Control, then the Executive shall, in lieu of the payments described in Section 4 hereof, be entitled to the Post-Change in Control Severance Payment and the additional benefits described in this Section 5 as if such Involuntary Termination had occurred within two (2) years following the Change in Control. The amounts specified in Section 5 that are to be paid under this Section 5(h) shall be reduced by any amount previously paid under Section 4. The amounts to be paid under this Section 5(h) shall be paid within sixty (60) days after the Change in Control Date of such Change in Control.</w:t>
      </w:r>
    </w:p>
    <w:p>
      <w:pPr>
        <w:spacing w:after="0" w:line="144" w:lineRule="exact"/>
        <w:rPr>
          <w:rFonts w:ascii="Arial" w:cs="Arial" w:eastAsia="Arial" w:hAnsi="Arial"/>
          <w:sz w:val="19"/>
          <w:szCs w:val="19"/>
          <w:color w:val="auto"/>
        </w:rPr>
      </w:pPr>
    </w:p>
    <w:p>
      <w:pPr>
        <w:ind w:right="640" w:firstLine="1305"/>
        <w:spacing w:after="0" w:line="328" w:lineRule="auto"/>
        <w:tabs>
          <w:tab w:leader="none" w:pos="1945"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Deferral of Payments</w:t>
      </w:r>
      <w:r>
        <w:rPr>
          <w:rFonts w:ascii="Arial" w:cs="Arial" w:eastAsia="Arial" w:hAnsi="Arial"/>
          <w:sz w:val="19"/>
          <w:szCs w:val="19"/>
          <w:color w:val="auto"/>
        </w:rPr>
        <w:t>. The Executive shall have the right to elect to defer the Post-Change in Control Severance Payment and the Pro Rata Bonus to be received by the Executive pursuant to this Section 5 under the terms and</w:t>
      </w:r>
    </w:p>
    <w:p>
      <w:pPr>
        <w:sectPr>
          <w:pgSz w:w="11900" w:h="16987" w:orient="portrait"/>
          <w:cols w:equalWidth="0" w:num="1">
            <w:col w:w="11420"/>
          </w:cols>
          <w:pgMar w:left="240" w:top="118" w:right="239" w:bottom="0" w:gutter="0" w:footer="0" w:header="0"/>
        </w:sectPr>
      </w:pPr>
    </w:p>
    <w:bookmarkStart w:id="81" w:name="page82"/>
    <w:bookmarkEnd w:id="81"/>
    <w:p>
      <w:pPr>
        <w:spacing w:after="0" w:line="101" w:lineRule="exact"/>
        <w:rPr>
          <w:sz w:val="20"/>
          <w:szCs w:val="20"/>
          <w:color w:val="auto"/>
        </w:rPr>
      </w:pPr>
    </w:p>
    <w:p>
      <w:pPr>
        <w:spacing w:after="0"/>
        <w:rPr>
          <w:sz w:val="20"/>
          <w:szCs w:val="20"/>
          <w:color w:val="auto"/>
        </w:rPr>
      </w:pPr>
      <w:r>
        <w:rPr>
          <w:rFonts w:ascii="Arial" w:cs="Arial" w:eastAsia="Arial" w:hAnsi="Arial"/>
          <w:sz w:val="19"/>
          <w:szCs w:val="19"/>
          <w:color w:val="auto"/>
        </w:rPr>
        <w:t>conditions of the Deferred Compensation Plan. Any such deferral election shall be made in accordance with Section 18(b) hereof.</w:t>
      </w:r>
    </w:p>
    <w:p>
      <w:pPr>
        <w:spacing w:after="0" w:line="228"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b w:val="1"/>
          <w:bCs w:val="1"/>
          <w:color w:val="auto"/>
        </w:rPr>
        <w:t xml:space="preserve">Section 6. </w:t>
      </w:r>
      <w:r>
        <w:rPr>
          <w:rFonts w:ascii="Arial" w:cs="Arial" w:eastAsia="Arial" w:hAnsi="Arial"/>
          <w:sz w:val="22"/>
          <w:szCs w:val="22"/>
          <w:u w:val="single" w:color="auto"/>
          <w:color w:val="auto"/>
        </w:rPr>
        <w:t>Severance Benefits upon Termination by the Company for Cause or by the Executive Other than for</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Good Reason</w:t>
      </w:r>
      <w:r>
        <w:rPr>
          <w:rFonts w:ascii="Arial" w:cs="Arial" w:eastAsia="Arial" w:hAnsi="Arial"/>
          <w:sz w:val="22"/>
          <w:szCs w:val="22"/>
          <w:color w:val="auto"/>
        </w:rPr>
        <w:t>. If the Executive’s employment shall be terminated for Cause, or if the Executive terminates employment other than for Good Reason, the Company shall have no further obligations to the Executive under this Agreement other than the Accrued Obligations and any amounts or benefits described in Section 10 hereof.</w:t>
      </w:r>
    </w:p>
    <w:p>
      <w:pPr>
        <w:spacing w:after="0" w:line="179" w:lineRule="exact"/>
        <w:rPr>
          <w:sz w:val="20"/>
          <w:szCs w:val="20"/>
          <w:color w:val="auto"/>
        </w:rPr>
      </w:pPr>
    </w:p>
    <w:p>
      <w:pPr>
        <w:ind w:right="40" w:firstLine="1297"/>
        <w:spacing w:after="0" w:line="272" w:lineRule="auto"/>
        <w:rPr>
          <w:sz w:val="20"/>
          <w:szCs w:val="20"/>
          <w:color w:val="auto"/>
        </w:rPr>
      </w:pPr>
      <w:r>
        <w:rPr>
          <w:rFonts w:ascii="Arial" w:cs="Arial" w:eastAsia="Arial" w:hAnsi="Arial"/>
          <w:sz w:val="19"/>
          <w:szCs w:val="19"/>
          <w:b w:val="1"/>
          <w:bCs w:val="1"/>
          <w:color w:val="auto"/>
        </w:rPr>
        <w:t xml:space="preserve">Section 7. </w:t>
      </w:r>
      <w:r>
        <w:rPr>
          <w:rFonts w:ascii="Arial" w:cs="Arial" w:eastAsia="Arial" w:hAnsi="Arial"/>
          <w:sz w:val="19"/>
          <w:szCs w:val="19"/>
          <w:u w:val="single" w:color="auto"/>
          <w:color w:val="auto"/>
        </w:rPr>
        <w:t>Severance Benefits upon Termination due to Death or Disability</w:t>
      </w:r>
      <w:r>
        <w:rPr>
          <w:rFonts w:ascii="Arial" w:cs="Arial" w:eastAsia="Arial" w:hAnsi="Arial"/>
          <w:sz w:val="19"/>
          <w:szCs w:val="19"/>
          <w:color w:val="auto"/>
        </w:rPr>
        <w:t>. If the Executive has a Separation</w:t>
      </w:r>
      <w:r>
        <w:rPr>
          <w:rFonts w:ascii="Arial" w:cs="Arial" w:eastAsia="Arial" w:hAnsi="Arial"/>
          <w:sz w:val="19"/>
          <w:szCs w:val="19"/>
          <w:b w:val="1"/>
          <w:bCs w:val="1"/>
          <w:color w:val="auto"/>
        </w:rPr>
        <w:t xml:space="preserve"> </w:t>
      </w:r>
      <w:r>
        <w:rPr>
          <w:rFonts w:ascii="Arial" w:cs="Arial" w:eastAsia="Arial" w:hAnsi="Arial"/>
          <w:sz w:val="19"/>
          <w:szCs w:val="19"/>
          <w:color w:val="auto"/>
        </w:rPr>
        <w:t>from Service by reason of death or Disability, the Company shall pay the Executive or his estate, as the case may be, the Accrued Obligations and the Pro Rata Bonus (without regard to whether a Change in Control has occurred) and any amounts or benefits described in Section 10 hereof. Such payments shall be in addition to those rights and benefits to which the Executive or his estate may be entitled under the relevant Company plans or programs. The Company's obligation to pay the Pro Rata Bonus is conditioned upon the Executive, the Executive's representative or the Executive's estate, as the case may be executing the Release within fifty (50) days after the date of Executive's Separation from Service and not revoking such Release in accordance with the terms thereof. The Accrued Obligations shall be paid within the time required by law and the Pro Rata Bonus shall be paid on such date as determined by the Company within sixty (60) days after the date of the Separation from Service but not before the Release becomes effective and irrevocable. If the fifty (50) day period in which the Release could become effective spans more than one taxable year, then the Pro Rata Bonus shall not be made until the later taxable year. Notwithstanding the foregoing, if the Executive is a Specified Employee on the date of the Executive’s Separation from Service, the Pro Rata Bonus shall be paid as provided in Section 9 hereof.</w:t>
      </w:r>
    </w:p>
    <w:p>
      <w:pPr>
        <w:spacing w:after="0" w:line="39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19"/>
          <w:szCs w:val="19"/>
          <w:u w:val="single" w:color="auto"/>
          <w:color w:val="auto"/>
        </w:rPr>
        <w:t>Limitations on Payments by the Company</w:t>
      </w:r>
      <w:r>
        <w:rPr>
          <w:rFonts w:ascii="Arial" w:cs="Arial" w:eastAsia="Arial" w:hAnsi="Arial"/>
          <w:sz w:val="19"/>
          <w:szCs w:val="19"/>
          <w:color w:val="auto"/>
        </w:rPr>
        <w:t>.</w:t>
      </w:r>
    </w:p>
    <w:p>
      <w:pPr>
        <w:spacing w:after="0" w:line="193" w:lineRule="exact"/>
        <w:rPr>
          <w:sz w:val="20"/>
          <w:szCs w:val="20"/>
          <w:color w:val="auto"/>
        </w:rPr>
      </w:pPr>
    </w:p>
    <w:p>
      <w:pPr>
        <w:ind w:firstLine="1305"/>
        <w:spacing w:after="0" w:line="233" w:lineRule="auto"/>
        <w:tabs>
          <w:tab w:leader="none" w:pos="1945"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Anything in this Agreement to the contrary notwithstanding and except as set forth in this Section 8 below, in the event it shall be determined that any payment or distribution in the nature of compensation (within the meaning of Section 280G(b)(2) of the Code) to or for the benefit of the Executive, whether paid or payable pursuant to this Agreement or otherwise (the “</w:t>
      </w:r>
      <w:r>
        <w:rPr>
          <w:rFonts w:ascii="Arial" w:cs="Arial" w:eastAsia="Arial" w:hAnsi="Arial"/>
          <w:sz w:val="22"/>
          <w:szCs w:val="22"/>
          <w:u w:val="single" w:color="auto"/>
          <w:color w:val="auto"/>
        </w:rPr>
        <w:t>Payment</w:t>
      </w:r>
      <w:r>
        <w:rPr>
          <w:rFonts w:ascii="Arial" w:cs="Arial" w:eastAsia="Arial" w:hAnsi="Arial"/>
          <w:sz w:val="22"/>
          <w:szCs w:val="22"/>
          <w:color w:val="auto"/>
        </w:rPr>
        <w:t>”) would be subject (in whole or in part) to the excise tax imposed by Section 4999 of the Code, (the “</w:t>
      </w:r>
      <w:r>
        <w:rPr>
          <w:rFonts w:ascii="Arial" w:cs="Arial" w:eastAsia="Arial" w:hAnsi="Arial"/>
          <w:sz w:val="22"/>
          <w:szCs w:val="22"/>
          <w:u w:val="single" w:color="auto"/>
          <w:color w:val="auto"/>
        </w:rPr>
        <w:t>Excise Tax</w:t>
      </w:r>
      <w:r>
        <w:rPr>
          <w:rFonts w:ascii="Arial" w:cs="Arial" w:eastAsia="Arial" w:hAnsi="Arial"/>
          <w:sz w:val="22"/>
          <w:szCs w:val="22"/>
          <w:color w:val="auto"/>
        </w:rPr>
        <w:t>”), then, subject to subsection (b), the Pre-Change in Control Severance Benefit or the Post-Change in Control Severance Payment (whichever is applicable) payable under this Agreement shall be reduced under this subsection (a) to the amount equal to the Reduced Payment. For such Payment payable under this Agreement, the “</w:t>
      </w:r>
      <w:r>
        <w:rPr>
          <w:rFonts w:ascii="Arial" w:cs="Arial" w:eastAsia="Arial" w:hAnsi="Arial"/>
          <w:sz w:val="22"/>
          <w:szCs w:val="22"/>
          <w:u w:val="single" w:color="auto"/>
          <w:color w:val="auto"/>
        </w:rPr>
        <w:t>Reduced Payment</w:t>
      </w:r>
      <w:r>
        <w:rPr>
          <w:rFonts w:ascii="Arial" w:cs="Arial" w:eastAsia="Arial" w:hAnsi="Arial"/>
          <w:sz w:val="22"/>
          <w:szCs w:val="22"/>
          <w:color w:val="auto"/>
        </w:rPr>
        <w:t>” shall be the amount equal to the greatest portion of the Payment (which may be zero) that, if paid, would result in no portion of any Payment being subject to the Excise Tax.</w:t>
      </w:r>
    </w:p>
    <w:p>
      <w:pPr>
        <w:spacing w:after="0" w:line="193" w:lineRule="exact"/>
        <w:rPr>
          <w:rFonts w:ascii="Arial" w:cs="Arial" w:eastAsia="Arial" w:hAnsi="Arial"/>
          <w:sz w:val="22"/>
          <w:szCs w:val="22"/>
          <w:color w:val="auto"/>
        </w:rPr>
      </w:pPr>
    </w:p>
    <w:p>
      <w:pPr>
        <w:ind w:right="60" w:firstLine="1305"/>
        <w:spacing w:after="0" w:line="251" w:lineRule="auto"/>
        <w:tabs>
          <w:tab w:leader="none" w:pos="1945"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Pre-Change in Control Severance Benefit or the Post-Change in Control Severance Payment (whichever is applicable) payable under this Agreement shall not be reduced under subsection (a) if:</w:t>
      </w:r>
    </w:p>
    <w:p>
      <w:pPr>
        <w:spacing w:after="0" w:line="159" w:lineRule="exact"/>
        <w:rPr>
          <w:rFonts w:ascii="Arial" w:cs="Arial" w:eastAsia="Arial" w:hAnsi="Arial"/>
          <w:sz w:val="22"/>
          <w:szCs w:val="22"/>
          <w:color w:val="auto"/>
        </w:rPr>
      </w:pPr>
    </w:p>
    <w:p>
      <w:pPr>
        <w:ind w:left="3240" w:hanging="639"/>
        <w:spacing w:after="0"/>
        <w:tabs>
          <w:tab w:leader="none" w:pos="3240" w:val="left"/>
        </w:tabs>
        <w:numPr>
          <w:ilvl w:val="1"/>
          <w:numId w:val="115"/>
        </w:numPr>
        <w:rPr>
          <w:rFonts w:ascii="Arial" w:cs="Arial" w:eastAsia="Arial" w:hAnsi="Arial"/>
          <w:sz w:val="19"/>
          <w:szCs w:val="19"/>
          <w:color w:val="auto"/>
        </w:rPr>
      </w:pPr>
      <w:r>
        <w:rPr>
          <w:rFonts w:ascii="Arial" w:cs="Arial" w:eastAsia="Arial" w:hAnsi="Arial"/>
          <w:sz w:val="19"/>
          <w:szCs w:val="19"/>
          <w:color w:val="auto"/>
        </w:rPr>
        <w:t>such reduction in such Payment is not sufficient to cause no portion of any Payment to be</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subject to the Excise Tax, or</w:t>
      </w:r>
    </w:p>
    <w:p>
      <w:pPr>
        <w:spacing w:after="0" w:line="174" w:lineRule="exact"/>
        <w:rPr>
          <w:rFonts w:ascii="Arial" w:cs="Arial" w:eastAsia="Arial" w:hAnsi="Arial"/>
          <w:sz w:val="19"/>
          <w:szCs w:val="19"/>
          <w:color w:val="auto"/>
        </w:rPr>
      </w:pPr>
    </w:p>
    <w:p>
      <w:pPr>
        <w:ind w:left="660" w:right="720" w:firstLine="1941"/>
        <w:spacing w:after="0" w:line="274" w:lineRule="auto"/>
        <w:tabs>
          <w:tab w:leader="none" w:pos="3253" w:val="left"/>
        </w:tabs>
        <w:numPr>
          <w:ilvl w:val="1"/>
          <w:numId w:val="115"/>
        </w:numPr>
        <w:rPr>
          <w:rFonts w:ascii="Arial" w:cs="Arial" w:eastAsia="Arial" w:hAnsi="Arial"/>
          <w:sz w:val="21"/>
          <w:szCs w:val="21"/>
          <w:color w:val="auto"/>
        </w:rPr>
      </w:pPr>
      <w:r>
        <w:rPr>
          <w:rFonts w:ascii="Arial" w:cs="Arial" w:eastAsia="Arial" w:hAnsi="Arial"/>
          <w:sz w:val="21"/>
          <w:szCs w:val="21"/>
          <w:color w:val="auto"/>
        </w:rPr>
        <w:t>the Net After-Tax Unreduced Payments (as defined below) would equal or exceed one hundred and five percent (105%) of the Net After-Tax Reduced Payments (as defined below).</w:t>
      </w:r>
    </w:p>
    <w:p>
      <w:pPr>
        <w:spacing w:after="0" w:line="151" w:lineRule="exact"/>
        <w:rPr>
          <w:sz w:val="20"/>
          <w:szCs w:val="20"/>
          <w:color w:val="auto"/>
        </w:rPr>
      </w:pPr>
    </w:p>
    <w:p>
      <w:pPr>
        <w:ind w:right="200"/>
        <w:spacing w:after="0" w:line="279" w:lineRule="auto"/>
        <w:rPr>
          <w:sz w:val="20"/>
          <w:szCs w:val="20"/>
          <w:color w:val="auto"/>
        </w:rPr>
      </w:pPr>
      <w:r>
        <w:rPr>
          <w:rFonts w:ascii="Arial" w:cs="Arial" w:eastAsia="Arial" w:hAnsi="Arial"/>
          <w:sz w:val="19"/>
          <w:szCs w:val="19"/>
          <w:color w:val="auto"/>
        </w:rPr>
        <w:t>For purposes of determining the amount of any Reduced Payment under subsection (a), and the Net-After Tax Reduced Payments and the Net After-Tax Unreduced Payments, the Executive shall be considered to pay federal, state and local income and employment taxes at the Executive’s applicable marginal rates taking into consideration any reduction in federal income taxes which could be obtained from the deduction of state and local income taxes, and any reduction or disallowance of itemized deductions and personal exemptions under applicable tax law). The applicable federal, state and local income and employment taxes and the Excise Tax (to the extent applicable) are collectively referred to as the “</w:t>
      </w:r>
      <w:r>
        <w:rPr>
          <w:rFonts w:ascii="Arial" w:cs="Arial" w:eastAsia="Arial" w:hAnsi="Arial"/>
          <w:sz w:val="19"/>
          <w:szCs w:val="19"/>
          <w:u w:val="single" w:color="auto"/>
          <w:color w:val="auto"/>
        </w:rPr>
        <w:t>Taxes</w:t>
      </w:r>
      <w:r>
        <w:rPr>
          <w:rFonts w:ascii="Arial" w:cs="Arial" w:eastAsia="Arial" w:hAnsi="Arial"/>
          <w:sz w:val="19"/>
          <w:szCs w:val="19"/>
          <w:color w:val="auto"/>
        </w:rPr>
        <w:t>”.</w:t>
      </w:r>
    </w:p>
    <w:p>
      <w:pPr>
        <w:spacing w:after="0" w:line="151" w:lineRule="exact"/>
        <w:rPr>
          <w:sz w:val="20"/>
          <w:szCs w:val="20"/>
          <w:color w:val="auto"/>
        </w:rPr>
      </w:pPr>
    </w:p>
    <w:p>
      <w:pPr>
        <w:ind w:left="1960" w:hanging="655"/>
        <w:spacing w:after="0"/>
        <w:tabs>
          <w:tab w:leader="none" w:pos="196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following definitions shall apply for purposes of this Section 8:</w:t>
      </w:r>
    </w:p>
    <w:p>
      <w:pPr>
        <w:spacing w:after="0" w:line="192" w:lineRule="exact"/>
        <w:rPr>
          <w:rFonts w:ascii="Arial" w:cs="Arial" w:eastAsia="Arial" w:hAnsi="Arial"/>
          <w:sz w:val="22"/>
          <w:szCs w:val="22"/>
          <w:color w:val="auto"/>
        </w:rPr>
      </w:pPr>
    </w:p>
    <w:p>
      <w:pPr>
        <w:ind w:left="660" w:right="80" w:firstLine="1941"/>
        <w:spacing w:after="0"/>
        <w:tabs>
          <w:tab w:leader="none" w:pos="3253" w:val="left"/>
        </w:tabs>
        <w:numPr>
          <w:ilvl w:val="1"/>
          <w:numId w:val="116"/>
        </w:numPr>
        <w:rPr>
          <w:rFonts w:ascii="Arial" w:cs="Arial" w:eastAsia="Arial" w:hAnsi="Arial"/>
          <w:sz w:val="22"/>
          <w:szCs w:val="22"/>
          <w:color w:val="auto"/>
        </w:rPr>
      </w:pPr>
      <w:r>
        <w:rPr>
          <w:rFonts w:ascii="Arial" w:cs="Arial" w:eastAsia="Arial" w:hAnsi="Arial"/>
          <w:sz w:val="22"/>
          <w:szCs w:val="22"/>
          <w:color w:val="auto"/>
        </w:rPr>
        <w:t>“Net After-Tax Reduced Payments” shall mean the total amount of all Payments that the Executive would retain, on a Net After-Tax Basis, in the event that the Payments payable under this Agreement are reduced pursuant to subsection (a).</w:t>
      </w:r>
    </w:p>
    <w:p>
      <w:pPr>
        <w:spacing w:after="0" w:line="172" w:lineRule="exact"/>
        <w:rPr>
          <w:rFonts w:ascii="Arial" w:cs="Arial" w:eastAsia="Arial" w:hAnsi="Arial"/>
          <w:sz w:val="22"/>
          <w:szCs w:val="22"/>
          <w:color w:val="auto"/>
        </w:rPr>
      </w:pPr>
    </w:p>
    <w:p>
      <w:pPr>
        <w:ind w:left="660" w:right="340" w:firstLine="1941"/>
        <w:spacing w:after="0"/>
        <w:tabs>
          <w:tab w:leader="none" w:pos="3253" w:val="left"/>
        </w:tabs>
        <w:numPr>
          <w:ilvl w:val="1"/>
          <w:numId w:val="116"/>
        </w:numPr>
        <w:rPr>
          <w:rFonts w:ascii="Arial" w:cs="Arial" w:eastAsia="Arial" w:hAnsi="Arial"/>
          <w:sz w:val="22"/>
          <w:szCs w:val="22"/>
          <w:color w:val="auto"/>
        </w:rPr>
      </w:pPr>
      <w:r>
        <w:rPr>
          <w:rFonts w:ascii="Arial" w:cs="Arial" w:eastAsia="Arial" w:hAnsi="Arial"/>
          <w:sz w:val="22"/>
          <w:szCs w:val="22"/>
          <w:color w:val="auto"/>
        </w:rPr>
        <w:t>“Net After-Tax Unreduced Payments” shall mean the total amount of all Payments that the Executive would retain, on a Net After-Tax Basis, in the event that the Payments payable under this Agreement are not reduced pursuant to subsection (a).</w:t>
      </w:r>
    </w:p>
    <w:p>
      <w:pPr>
        <w:spacing w:after="0" w:line="186" w:lineRule="exact"/>
        <w:rPr>
          <w:rFonts w:ascii="Arial" w:cs="Arial" w:eastAsia="Arial" w:hAnsi="Arial"/>
          <w:sz w:val="22"/>
          <w:szCs w:val="22"/>
          <w:color w:val="auto"/>
        </w:rPr>
      </w:pPr>
    </w:p>
    <w:p>
      <w:pPr>
        <w:ind w:left="660" w:right="440" w:firstLine="1941"/>
        <w:spacing w:after="0"/>
        <w:tabs>
          <w:tab w:leader="none" w:pos="3253" w:val="left"/>
        </w:tabs>
        <w:numPr>
          <w:ilvl w:val="1"/>
          <w:numId w:val="116"/>
        </w:numPr>
        <w:rPr>
          <w:rFonts w:ascii="Arial" w:cs="Arial" w:eastAsia="Arial" w:hAnsi="Arial"/>
          <w:sz w:val="22"/>
          <w:szCs w:val="22"/>
          <w:color w:val="auto"/>
        </w:rPr>
      </w:pPr>
      <w:r>
        <w:rPr>
          <w:rFonts w:ascii="Arial" w:cs="Arial" w:eastAsia="Arial" w:hAnsi="Arial"/>
          <w:sz w:val="22"/>
          <w:szCs w:val="22"/>
          <w:color w:val="auto"/>
        </w:rPr>
        <w:t>“Net After-Tax Basis” shall mean, with respect to the Payments, either with or without reduction under subsection (a) (as applicable), the amount that would be retained by the Executive from such Payments after the payment of all Taxes.</w:t>
      </w:r>
    </w:p>
    <w:p>
      <w:pPr>
        <w:spacing w:after="0" w:line="172" w:lineRule="exact"/>
        <w:rPr>
          <w:rFonts w:ascii="Arial" w:cs="Arial" w:eastAsia="Arial" w:hAnsi="Arial"/>
          <w:sz w:val="22"/>
          <w:szCs w:val="22"/>
          <w:color w:val="auto"/>
        </w:rPr>
      </w:pPr>
    </w:p>
    <w:p>
      <w:pPr>
        <w:ind w:right="100" w:firstLine="1305"/>
        <w:spacing w:after="0" w:line="277" w:lineRule="auto"/>
        <w:tabs>
          <w:tab w:leader="none" w:pos="1945" w:val="left"/>
        </w:tabs>
        <w:numPr>
          <w:ilvl w:val="0"/>
          <w:numId w:val="116"/>
        </w:numPr>
        <w:rPr>
          <w:rFonts w:ascii="Arial" w:cs="Arial" w:eastAsia="Arial" w:hAnsi="Arial"/>
          <w:sz w:val="19"/>
          <w:szCs w:val="19"/>
          <w:color w:val="auto"/>
        </w:rPr>
      </w:pPr>
      <w:r>
        <w:rPr>
          <w:rFonts w:ascii="Arial" w:cs="Arial" w:eastAsia="Arial" w:hAnsi="Arial"/>
          <w:sz w:val="19"/>
          <w:szCs w:val="19"/>
          <w:color w:val="auto"/>
        </w:rPr>
        <w:t>All determinations required to be made under this Section 8 and the assumptions to be utilized in arriving at such determinations, shall be made by a nationally recognized accounting firm as may be agreed by the Company and the Executive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that the Accounting Firm’s determination shall be made based upon “substantial authority” within the meaning of Section 6662 of the Code. The Accounting Firm shall provide detailed supporting calculations to both the Company and the Executive within fifteen (15) business days of the receipt of notice from the Executive that there has been a Payment or such earlier time as is requested by the Company. All fees and expenses of the Accounting Firm shall be borne solely by the Company. Any determination by the Accounting Firm shall be binding upon the Company and the Executive. For</w:t>
      </w:r>
    </w:p>
    <w:p>
      <w:pPr>
        <w:sectPr>
          <w:pgSz w:w="11900" w:h="16939" w:orient="portrait"/>
          <w:cols w:equalWidth="0" w:num="1">
            <w:col w:w="11420"/>
          </w:cols>
          <w:pgMar w:left="240" w:top="118" w:right="239" w:bottom="0" w:gutter="0" w:footer="0" w:header="0"/>
        </w:sectPr>
      </w:pPr>
    </w:p>
    <w:bookmarkStart w:id="82" w:name="page83"/>
    <w:bookmarkEnd w:id="82"/>
    <w:p>
      <w:pPr>
        <w:spacing w:after="0" w:line="52"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purposes of determining whether and the extent to which the Payments will be subject to the Excise Tax, (i) no portion of the Payments the receipt or enjoyment of which the Executive shall have waived at such time and in such manner as not to constitute a “payment” within the meaning of Section 280G(b) of the Code shall be taken into account, (ii) no portion of the Payments shall be taken into account which, in the written opinion of the Accounting Firm, does not constitute a “parachute payment” within the meaning of Section 280G(b)(2) of the Code (including by reason of Section 280G(b)(4)(A) of the Code) and, in calculating the Excise Tax, no portion of such Payments shall be taken into account which, in the opinion of the Accounting Firm,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Payments shall be determined by the Accounting Firm in accordance with the principles of Sections 280G(d)(3) and (4) of the Code.</w:t>
      </w:r>
    </w:p>
    <w:p>
      <w:pPr>
        <w:spacing w:after="0" w:line="149" w:lineRule="exact"/>
        <w:rPr>
          <w:sz w:val="20"/>
          <w:szCs w:val="20"/>
          <w:color w:val="auto"/>
        </w:rPr>
      </w:pPr>
    </w:p>
    <w:p>
      <w:pPr>
        <w:ind w:firstLine="1297"/>
        <w:spacing w:after="0" w:line="272" w:lineRule="auto"/>
        <w:rPr>
          <w:sz w:val="20"/>
          <w:szCs w:val="20"/>
          <w:color w:val="auto"/>
        </w:rPr>
      </w:pPr>
      <w:r>
        <w:rPr>
          <w:rFonts w:ascii="Arial" w:cs="Arial" w:eastAsia="Arial" w:hAnsi="Arial"/>
          <w:sz w:val="19"/>
          <w:szCs w:val="19"/>
          <w:b w:val="1"/>
          <w:bCs w:val="1"/>
          <w:color w:val="auto"/>
        </w:rPr>
        <w:t xml:space="preserve">Section 9. </w:t>
      </w:r>
      <w:r>
        <w:rPr>
          <w:rFonts w:ascii="Arial" w:cs="Arial" w:eastAsia="Arial" w:hAnsi="Arial"/>
          <w:sz w:val="19"/>
          <w:szCs w:val="19"/>
          <w:u w:val="single" w:color="auto"/>
          <w:color w:val="auto"/>
        </w:rPr>
        <w:t>Delayed Distribution under Section 409A of the Code</w:t>
      </w:r>
      <w:r>
        <w:rPr>
          <w:rFonts w:ascii="Arial" w:cs="Arial" w:eastAsia="Arial" w:hAnsi="Arial"/>
          <w:sz w:val="19"/>
          <w:szCs w:val="19"/>
          <w:color w:val="auto"/>
        </w:rPr>
        <w:t>. If the Executive is a Specified Employee on</w:t>
      </w:r>
      <w:r>
        <w:rPr>
          <w:rFonts w:ascii="Arial" w:cs="Arial" w:eastAsia="Arial" w:hAnsi="Arial"/>
          <w:sz w:val="19"/>
          <w:szCs w:val="19"/>
          <w:b w:val="1"/>
          <w:bCs w:val="1"/>
          <w:color w:val="auto"/>
        </w:rPr>
        <w:t xml:space="preserve"> </w:t>
      </w:r>
      <w:r>
        <w:rPr>
          <w:rFonts w:ascii="Arial" w:cs="Arial" w:eastAsia="Arial" w:hAnsi="Arial"/>
          <w:sz w:val="19"/>
          <w:szCs w:val="19"/>
          <w:color w:val="auto"/>
        </w:rPr>
        <w:t>the date of the Executive’s Involuntary Termination (or on the date of the Executive’s Separation from Service by reason of Disability), the Section 409A Payments, and any other payments or benefits under this Agreement subject to Section 409A of the Code, shall be delayed in order to avoid a prohibited distribution under Section 409A(a)(2)(B)(i) of the Code, and such payments or benefits shall be paid or distributed to the Executive during the thirty (30) day period commencing on the earlier of (a) the expiration of the six-month period measured from the date of the Executive’s Separation from Service or (b) the date of the Executive’s death. Upon the expiration of the applicable six-month period under Section 409A(a)(2)(B)(i) of the Code, all payments deferred pursuant to this Section 9 (excluding in-kind benefits) shall be paid in a lump sum payment to the Executive, plus interest thereon from the date of the Executive’s Involuntary Termination through the payment date at an annual rate equal to Moody’s Rate. The “</w:t>
      </w:r>
      <w:r>
        <w:rPr>
          <w:rFonts w:ascii="Arial" w:cs="Arial" w:eastAsia="Arial" w:hAnsi="Arial"/>
          <w:sz w:val="19"/>
          <w:szCs w:val="19"/>
          <w:u w:val="single" w:color="auto"/>
          <w:color w:val="auto"/>
        </w:rPr>
        <w:t>Moody’s Rate</w:t>
      </w:r>
      <w:r>
        <w:rPr>
          <w:rFonts w:ascii="Arial" w:cs="Arial" w:eastAsia="Arial" w:hAnsi="Arial"/>
          <w:sz w:val="19"/>
          <w:szCs w:val="19"/>
          <w:color w:val="auto"/>
        </w:rPr>
        <w:t>” shall mean the average of the daily Moody’s Corporate Bond Yield Average – Monthly Average Corporates as published by Moody’s Investors Service, Inc. (or any successor) for the month next preceding the Date of Termination. Any remaining payments due under the Agreement shall be paid as otherwise provided herein.</w:t>
      </w:r>
    </w:p>
    <w:p>
      <w:pPr>
        <w:spacing w:after="0" w:line="156" w:lineRule="exact"/>
        <w:rPr>
          <w:sz w:val="20"/>
          <w:szCs w:val="20"/>
          <w:color w:val="auto"/>
        </w:rPr>
      </w:pPr>
    </w:p>
    <w:p>
      <w:pPr>
        <w:ind w:right="120" w:firstLine="1297"/>
        <w:spacing w:after="0" w:line="272" w:lineRule="auto"/>
        <w:rPr>
          <w:sz w:val="20"/>
          <w:szCs w:val="20"/>
          <w:color w:val="auto"/>
        </w:rPr>
      </w:pPr>
      <w:r>
        <w:rPr>
          <w:rFonts w:ascii="Arial" w:cs="Arial" w:eastAsia="Arial" w:hAnsi="Arial"/>
          <w:sz w:val="19"/>
          <w:szCs w:val="19"/>
          <w:b w:val="1"/>
          <w:bCs w:val="1"/>
          <w:color w:val="auto"/>
        </w:rPr>
        <w:t xml:space="preserve">Section 10. </w:t>
      </w:r>
      <w:r>
        <w:rPr>
          <w:rFonts w:ascii="Arial" w:cs="Arial" w:eastAsia="Arial" w:hAnsi="Arial"/>
          <w:sz w:val="19"/>
          <w:szCs w:val="19"/>
          <w:u w:val="single" w:color="auto"/>
          <w:color w:val="auto"/>
        </w:rPr>
        <w:t>Nonexclusivity of Rights</w:t>
      </w:r>
      <w:r>
        <w:rPr>
          <w:rFonts w:ascii="Arial" w:cs="Arial" w:eastAsia="Arial" w:hAnsi="Arial"/>
          <w:sz w:val="19"/>
          <w:szCs w:val="19"/>
          <w:color w:val="auto"/>
        </w:rPr>
        <w:t>. Nothing in this Agreement shall prevent or limit the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continuing or future participation in any benefit, plan, program, policy or practice provided by the Company and for which the Executive may qualify (except with respect to any benefit to which the Executive has waived his rights in writing), including, without limitation, any and all indemnification arrangements in favor of the Executive (whether under agreements or under the Company’s charter documents or otherwise), and insurance policies covering the Executive, nor shall anything herein limit or otherwise affect such rights as the Executive may have under any other contract or agreement entered into after the Effective Date with the Company. Amounts which are vested benefits or which the Executive is otherwise entitled to receive under any benefit, plan, policy, practice or program of, or any contract or agreement entered into with, the Company shall be payable in accordance with such benefit, plan, policy, practice or program or contract or agreement except as explicitly modified by this Agreement. At all times during the Executive’s employment with the Company and thereafter, the Company shall provide (to the extent permissible under applicable law) the Executive with indemnification and D&amp;O insurance insuring the Executive against insurable events which occur or have occurred while the Executive was a director or the Executive officer of the Company, on terms and conditions that are at least as generous as that then provided to any other current or former director or the Executive officer of the Company or any Affiliate. Such indemnification and D&amp;O insurance shall be provided in a manner that complies with Treasury Regulation Section 1.409A-1(b)(10).</w:t>
      </w:r>
    </w:p>
    <w:p>
      <w:pPr>
        <w:spacing w:after="0" w:line="388" w:lineRule="exact"/>
        <w:rPr>
          <w:sz w:val="20"/>
          <w:szCs w:val="20"/>
          <w:color w:val="auto"/>
        </w:rPr>
      </w:pPr>
    </w:p>
    <w:p>
      <w:pPr>
        <w:ind w:right="80" w:firstLine="1297"/>
        <w:spacing w:after="0" w:line="252" w:lineRule="auto"/>
        <w:rPr>
          <w:sz w:val="20"/>
          <w:szCs w:val="20"/>
          <w:color w:val="auto"/>
        </w:rPr>
      </w:pPr>
      <w:r>
        <w:rPr>
          <w:rFonts w:ascii="Arial" w:cs="Arial" w:eastAsia="Arial" w:hAnsi="Arial"/>
          <w:sz w:val="21"/>
          <w:szCs w:val="21"/>
          <w:b w:val="1"/>
          <w:bCs w:val="1"/>
          <w:color w:val="auto"/>
        </w:rPr>
        <w:t xml:space="preserve">Section 11. </w:t>
      </w:r>
      <w:r>
        <w:rPr>
          <w:rFonts w:ascii="Arial" w:cs="Arial" w:eastAsia="Arial" w:hAnsi="Arial"/>
          <w:sz w:val="21"/>
          <w:szCs w:val="21"/>
          <w:u w:val="single" w:color="auto"/>
          <w:color w:val="auto"/>
        </w:rPr>
        <w:t>Clawbacks</w:t>
      </w:r>
      <w:r>
        <w:rPr>
          <w:rFonts w:ascii="Arial" w:cs="Arial" w:eastAsia="Arial" w:hAnsi="Arial"/>
          <w:sz w:val="21"/>
          <w:szCs w:val="21"/>
          <w:color w:val="auto"/>
        </w:rPr>
        <w:t>. Notwithstanding anything herein to the contrary, if the Company determines, in its good</w:t>
      </w:r>
      <w:r>
        <w:rPr>
          <w:rFonts w:ascii="Arial" w:cs="Arial" w:eastAsia="Arial" w:hAnsi="Arial"/>
          <w:sz w:val="21"/>
          <w:szCs w:val="21"/>
          <w:b w:val="1"/>
          <w:bCs w:val="1"/>
          <w:color w:val="auto"/>
        </w:rPr>
        <w:t xml:space="preserve"> </w:t>
      </w:r>
      <w:r>
        <w:rPr>
          <w:rFonts w:ascii="Arial" w:cs="Arial" w:eastAsia="Arial" w:hAnsi="Arial"/>
          <w:sz w:val="21"/>
          <w:szCs w:val="21"/>
          <w:color w:val="auto"/>
        </w:rPr>
        <w:t>faith judgment, that if the Executive is required to forfeit or to make any repayment of any compensation or benefit(s) to the Company under the Sarbanes-Oxley Act of 2002 or pursuant to the Dodd-Frank Wall Street Reform and Consumer Protection Act or any other law, such forfeiture or repayment shall not constitute Good Reason.</w:t>
      </w:r>
    </w:p>
    <w:p>
      <w:pPr>
        <w:spacing w:after="0" w:line="161" w:lineRule="exact"/>
        <w:rPr>
          <w:sz w:val="20"/>
          <w:szCs w:val="20"/>
          <w:color w:val="auto"/>
        </w:rPr>
      </w:pPr>
    </w:p>
    <w:p>
      <w:pPr>
        <w:ind w:right="60" w:firstLine="1297"/>
        <w:spacing w:after="0" w:line="277" w:lineRule="auto"/>
        <w:rPr>
          <w:sz w:val="20"/>
          <w:szCs w:val="20"/>
          <w:color w:val="auto"/>
        </w:rPr>
      </w:pPr>
      <w:r>
        <w:rPr>
          <w:rFonts w:ascii="Arial" w:cs="Arial" w:eastAsia="Arial" w:hAnsi="Arial"/>
          <w:sz w:val="19"/>
          <w:szCs w:val="19"/>
          <w:b w:val="1"/>
          <w:bCs w:val="1"/>
          <w:color w:val="auto"/>
        </w:rPr>
        <w:t xml:space="preserve">Section 12. </w:t>
      </w:r>
      <w:r>
        <w:rPr>
          <w:rFonts w:ascii="Arial" w:cs="Arial" w:eastAsia="Arial" w:hAnsi="Arial"/>
          <w:sz w:val="19"/>
          <w:szCs w:val="19"/>
          <w:u w:val="single" w:color="auto"/>
          <w:color w:val="auto"/>
        </w:rPr>
        <w:t>Full Settlement; Mitigation</w:t>
      </w:r>
      <w:r>
        <w:rPr>
          <w:rFonts w:ascii="Arial" w:cs="Arial" w:eastAsia="Arial" w:hAnsi="Arial"/>
          <w:sz w:val="19"/>
          <w:szCs w:val="19"/>
          <w:color w:val="auto"/>
        </w:rPr>
        <w:t>. The Company’s obligation to make the payments provided for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otherwise to perform its obligations hereunder shall not be affected by any set-off, counterclaim, recoupment, defense or other claim, right or action which the Company may have against the Executive or others, provided that nothing herein shall preclude the Company from separately pursuing recovery from the Executive based on any such claim. In no event shall the Executive be obligated to seek other employment or take any other action by way of mitigation of the amounts (including amounts for damages for breach) payable to the Executive under any of the provisions of this Agreement, and such amounts shall not be reduced whether or not the Executive obtains other employment.</w:t>
      </w:r>
    </w:p>
    <w:p>
      <w:pPr>
        <w:spacing w:after="0" w:line="14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13.</w:t>
      </w:r>
      <w:r>
        <w:rPr>
          <w:sz w:val="20"/>
          <w:szCs w:val="20"/>
          <w:color w:val="auto"/>
        </w:rPr>
        <w:tab/>
      </w:r>
      <w:r>
        <w:rPr>
          <w:rFonts w:ascii="Arial" w:cs="Arial" w:eastAsia="Arial" w:hAnsi="Arial"/>
          <w:sz w:val="19"/>
          <w:szCs w:val="19"/>
          <w:u w:val="single" w:color="auto"/>
          <w:color w:val="auto"/>
        </w:rPr>
        <w:t>Dispute Resolution</w:t>
      </w:r>
      <w:r>
        <w:rPr>
          <w:rFonts w:ascii="Arial" w:cs="Arial" w:eastAsia="Arial" w:hAnsi="Arial"/>
          <w:sz w:val="19"/>
          <w:szCs w:val="19"/>
          <w:color w:val="auto"/>
        </w:rPr>
        <w:t>.</w:t>
      </w:r>
    </w:p>
    <w:p>
      <w:pPr>
        <w:spacing w:after="0" w:line="199" w:lineRule="exact"/>
        <w:rPr>
          <w:sz w:val="20"/>
          <w:szCs w:val="20"/>
          <w:color w:val="auto"/>
        </w:rPr>
      </w:pPr>
    </w:p>
    <w:p>
      <w:pPr>
        <w:ind w:right="20" w:firstLine="1305"/>
        <w:spacing w:after="0" w:line="282" w:lineRule="auto"/>
        <w:tabs>
          <w:tab w:leader="none" w:pos="1945" w:val="left"/>
        </w:tabs>
        <w:numPr>
          <w:ilvl w:val="0"/>
          <w:numId w:val="117"/>
        </w:numPr>
        <w:rPr>
          <w:rFonts w:ascii="Arial" w:cs="Arial" w:eastAsia="Arial" w:hAnsi="Arial"/>
          <w:sz w:val="19"/>
          <w:szCs w:val="19"/>
          <w:color w:val="auto"/>
        </w:rPr>
      </w:pPr>
      <w:r>
        <w:rPr>
          <w:rFonts w:ascii="Arial" w:cs="Arial" w:eastAsia="Arial" w:hAnsi="Arial"/>
          <w:sz w:val="19"/>
          <w:szCs w:val="19"/>
          <w:color w:val="auto"/>
        </w:rPr>
        <w:t>If any dispute arises between Executive and the Company, including, but not limited to, disputes relating to or arising out of this Agreement, any action relating to or arising out of my employment or its termination, and/or any disputes regarding the interpretation, enforceability, or validity of this Agreement (“Arbitrable Dispute”), Executive and the Company waive the right to resolve the dispute through litigation in a judicial forum and agree to resolve the Arbitrable Dispute through final and binding arbitration, except as prohibited by law. Arbitration shall be the exclusive remedy for any Arbitrable Dispute.</w:t>
      </w:r>
    </w:p>
    <w:p>
      <w:pPr>
        <w:spacing w:after="0" w:line="134" w:lineRule="exact"/>
        <w:rPr>
          <w:rFonts w:ascii="Arial" w:cs="Arial" w:eastAsia="Arial" w:hAnsi="Arial"/>
          <w:sz w:val="19"/>
          <w:szCs w:val="19"/>
          <w:color w:val="auto"/>
        </w:rPr>
      </w:pPr>
    </w:p>
    <w:p>
      <w:pPr>
        <w:ind w:right="220" w:firstLine="1305"/>
        <w:spacing w:after="0" w:line="287" w:lineRule="auto"/>
        <w:tabs>
          <w:tab w:leader="none" w:pos="1945" w:val="left"/>
        </w:tabs>
        <w:numPr>
          <w:ilvl w:val="0"/>
          <w:numId w:val="117"/>
        </w:numPr>
        <w:rPr>
          <w:rFonts w:ascii="Arial" w:cs="Arial" w:eastAsia="Arial" w:hAnsi="Arial"/>
          <w:sz w:val="19"/>
          <w:szCs w:val="19"/>
          <w:color w:val="auto"/>
        </w:rPr>
      </w:pPr>
      <w:r>
        <w:rPr>
          <w:rFonts w:ascii="Arial" w:cs="Arial" w:eastAsia="Arial" w:hAnsi="Arial"/>
          <w:sz w:val="19"/>
          <w:szCs w:val="19"/>
          <w:color w:val="auto"/>
        </w:rPr>
        <w:t>As to any Arbitrable Dispute, the Company and Executive waive any right to a jury trial or a court bench trial. The Company and Executive also waive the right to bring, maintain, or participate in any class, collective, or representative proceeding, whether in arbitration or otherwise. Further, Arbitrable Disputes must be brought in the individual capacity of the party asserting the claim, and cannot be maintained on a class, collective, or representative basis.</w:t>
      </w:r>
    </w:p>
    <w:p>
      <w:pPr>
        <w:spacing w:after="0" w:line="143" w:lineRule="exact"/>
        <w:rPr>
          <w:rFonts w:ascii="Arial" w:cs="Arial" w:eastAsia="Arial" w:hAnsi="Arial"/>
          <w:sz w:val="19"/>
          <w:szCs w:val="19"/>
          <w:color w:val="auto"/>
        </w:rPr>
      </w:pPr>
    </w:p>
    <w:p>
      <w:pPr>
        <w:ind w:right="160" w:firstLine="1305"/>
        <w:spacing w:after="0" w:line="297" w:lineRule="auto"/>
        <w:tabs>
          <w:tab w:leader="none" w:pos="1945" w:val="left"/>
        </w:tabs>
        <w:numPr>
          <w:ilvl w:val="0"/>
          <w:numId w:val="117"/>
        </w:numPr>
        <w:rPr>
          <w:rFonts w:ascii="Arial" w:cs="Arial" w:eastAsia="Arial" w:hAnsi="Arial"/>
          <w:sz w:val="19"/>
          <w:szCs w:val="19"/>
          <w:color w:val="auto"/>
        </w:rPr>
      </w:pPr>
      <w:r>
        <w:rPr>
          <w:rFonts w:ascii="Arial" w:cs="Arial" w:eastAsia="Arial" w:hAnsi="Arial"/>
          <w:sz w:val="19"/>
          <w:szCs w:val="19"/>
          <w:color w:val="auto"/>
        </w:rPr>
        <w:t>Arbitration shall take place at the office of the Judicial Arbitration and Mediation Service (“JAMS”) (or, if Executive is employed outside of California, the American Arbitration Association (“AAA”)) nearest to the location where Executive last worked for the Company. Except to the extent it conflicts with the rules and procedures set forth in this Arbitration</w:t>
      </w:r>
    </w:p>
    <w:p>
      <w:pPr>
        <w:sectPr>
          <w:pgSz w:w="11900" w:h="16890" w:orient="portrait"/>
          <w:cols w:equalWidth="0" w:num="1">
            <w:col w:w="11420"/>
          </w:cols>
          <w:pgMar w:left="240" w:top="118" w:right="239" w:bottom="0" w:gutter="0" w:footer="0" w:header="0"/>
        </w:sectPr>
      </w:pPr>
    </w:p>
    <w:bookmarkStart w:id="83" w:name="page84"/>
    <w:bookmarkEnd w:id="83"/>
    <w:p>
      <w:pPr>
        <w:spacing w:after="0" w:line="43"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color w:val="auto"/>
        </w:rPr>
        <w:t>Agreement, arbitration shall be conducted in accordance with the JAMs Employment Arbitration Rules &amp; Procedures (if Executive is employed outside of California, the AAA Employment Arbitration Rules &amp; Mediation Procedures), copies of which are attached for my reference and available at www.jamsadr.com; tel: 800.352.5267 and www.adr.org; tel: 800.778.7879, before a single experienced, neutral employment arbitrator selected in accordance with those rules.</w:t>
      </w:r>
    </w:p>
    <w:p>
      <w:pPr>
        <w:spacing w:after="0" w:line="161" w:lineRule="exact"/>
        <w:rPr>
          <w:sz w:val="20"/>
          <w:szCs w:val="20"/>
          <w:color w:val="auto"/>
        </w:rPr>
      </w:pPr>
    </w:p>
    <w:p>
      <w:pPr>
        <w:ind w:right="280" w:firstLine="1305"/>
        <w:spacing w:after="0" w:line="287" w:lineRule="auto"/>
        <w:tabs>
          <w:tab w:leader="none" w:pos="1945"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The Company will be responsible for paying any filing fee and the fees and costs of the arbitrator. Each party shall pay its own attorneys’ fees. However, if any party prevails on a statutory claim that authorizes an award of attorneys’ fees to the prevailing party, or if there is a written agreement providing for attorneys’ fees, the arbitrator may award reasonable attorneys’ fees to the prevailing party, applying the same standards a court would apply under the law applicable to the claim.</w:t>
      </w:r>
    </w:p>
    <w:p>
      <w:pPr>
        <w:spacing w:after="0" w:line="143" w:lineRule="exact"/>
        <w:rPr>
          <w:rFonts w:ascii="Arial" w:cs="Arial" w:eastAsia="Arial" w:hAnsi="Arial"/>
          <w:sz w:val="19"/>
          <w:szCs w:val="19"/>
          <w:color w:val="auto"/>
        </w:rPr>
      </w:pPr>
    </w:p>
    <w:p>
      <w:pPr>
        <w:ind w:right="120" w:firstLine="1305"/>
        <w:spacing w:after="0" w:line="279" w:lineRule="auto"/>
        <w:tabs>
          <w:tab w:leader="none" w:pos="1945"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The arbitrator shall apply the Federal Rules of Evidence, shall have the authority to entertain a motion to dismiss or a motion for summary judgment by any party, and shall apply the standards governing such motions under the Federal Rules of Civil Procedure. The arbitrator does not have the authority to consider, certify, or hear an arbitration as a class action, collective action, or any other type of representative action. The Company and Executive recognize that this Agreement arises out of or concerns interstate commerce and that the Federal Arbitration Act shall govern the arbitration and shall govern the interpretation or enforcement of this Arbitration Agreement or any arbitration award.</w:t>
      </w:r>
    </w:p>
    <w:p>
      <w:pPr>
        <w:spacing w:after="0" w:line="137" w:lineRule="exact"/>
        <w:rPr>
          <w:rFonts w:ascii="Arial" w:cs="Arial" w:eastAsia="Arial" w:hAnsi="Arial"/>
          <w:sz w:val="19"/>
          <w:szCs w:val="19"/>
          <w:color w:val="auto"/>
        </w:rPr>
      </w:pPr>
    </w:p>
    <w:p>
      <w:pPr>
        <w:ind w:right="260" w:firstLine="1305"/>
        <w:spacing w:after="0" w:line="251" w:lineRule="auto"/>
        <w:tabs>
          <w:tab w:leader="none" w:pos="1945" w:val="left"/>
        </w:tabs>
        <w:numPr>
          <w:ilvl w:val="0"/>
          <w:numId w:val="118"/>
        </w:numPr>
        <w:rPr>
          <w:rFonts w:ascii="Arial" w:cs="Arial" w:eastAsia="Arial" w:hAnsi="Arial"/>
          <w:sz w:val="22"/>
          <w:szCs w:val="22"/>
          <w:color w:val="auto"/>
        </w:rPr>
      </w:pPr>
      <w:r>
        <w:rPr>
          <w:rFonts w:ascii="Arial" w:cs="Arial" w:eastAsia="Arial" w:hAnsi="Arial"/>
          <w:sz w:val="22"/>
          <w:szCs w:val="22"/>
          <w:color w:val="auto"/>
        </w:rPr>
        <w:t>EXECUTIVE ACKNOWLEDGES THAT BY ENTERING INTO THIS AGREEMENT, EXECUTIVE IS WAIVING ANY RIGHT HE OR SHE MAY HAVE TO A TRIAL BY JURY.</w:t>
      </w:r>
    </w:p>
    <w:p>
      <w:pPr>
        <w:spacing w:after="0" w:line="16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14.</w:t>
      </w:r>
      <w:r>
        <w:rPr>
          <w:sz w:val="20"/>
          <w:szCs w:val="20"/>
          <w:color w:val="auto"/>
        </w:rPr>
        <w:tab/>
      </w:r>
      <w:r>
        <w:rPr>
          <w:rFonts w:ascii="Arial" w:cs="Arial" w:eastAsia="Arial" w:hAnsi="Arial"/>
          <w:sz w:val="19"/>
          <w:szCs w:val="19"/>
          <w:u w:val="single" w:color="auto"/>
          <w:color w:val="auto"/>
        </w:rPr>
        <w:t>Executive’s Covenants</w:t>
      </w:r>
      <w:r>
        <w:rPr>
          <w:rFonts w:ascii="Arial" w:cs="Arial" w:eastAsia="Arial" w:hAnsi="Arial"/>
          <w:sz w:val="19"/>
          <w:szCs w:val="19"/>
          <w:color w:val="auto"/>
        </w:rPr>
        <w:t>.</w:t>
      </w:r>
    </w:p>
    <w:p>
      <w:pPr>
        <w:spacing w:after="0" w:line="206" w:lineRule="exact"/>
        <w:rPr>
          <w:sz w:val="20"/>
          <w:szCs w:val="20"/>
          <w:color w:val="auto"/>
        </w:rPr>
      </w:pPr>
    </w:p>
    <w:p>
      <w:pPr>
        <w:ind w:firstLine="1305"/>
        <w:spacing w:after="0" w:line="271" w:lineRule="auto"/>
        <w:tabs>
          <w:tab w:leader="none" w:pos="1945"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The Executive acknowledges that in the course of his employment with the Company, he has acquired non-public privileged or confidential information and trade secrets concerning the operations, future plans and methods of doing business (“</w:t>
      </w:r>
      <w:r>
        <w:rPr>
          <w:rFonts w:ascii="Arial" w:cs="Arial" w:eastAsia="Arial" w:hAnsi="Arial"/>
          <w:sz w:val="19"/>
          <w:szCs w:val="19"/>
          <w:u w:val="single" w:color="auto"/>
          <w:color w:val="auto"/>
        </w:rPr>
        <w:t>Proprietary Information</w:t>
      </w:r>
      <w:r>
        <w:rPr>
          <w:rFonts w:ascii="Arial" w:cs="Arial" w:eastAsia="Arial" w:hAnsi="Arial"/>
          <w:sz w:val="19"/>
          <w:szCs w:val="19"/>
          <w:color w:val="auto"/>
        </w:rPr>
        <w:t xml:space="preserve">”) of the Company and its Affiliates; and the Executive agrees that it would be extremely damaging to the Company and its Affiliates if such Proprietary Information were disclosed to a competitor of the Company and its Affiliates or to any other person or corporation. The Executive understands and agrees that all Proprietary Information has been divulged to the Executive in confidence and further understands and agrees to keep all Proprietary Information secret and confidential (except for such information which is or becomes publicly available other than as a result of a breach by the Executive of this provision or information the Executive is required by any governmental, administrative or court order to disclose) without limitation in time. In view of the nature of the Executive’s employment and the Proprietary Information the Executive has acquired during the course of such employment, the Executive likewise agrees that the Company and its Affiliates would be irreparably harmed by any disclosure of Proprietary Information in violation of the terms of this paragraph and that the Company and its Affiliates shall therefore be entitled to preliminary and/or permanent injunctive relief prohibiting the Executive from engaging in any activity or threatened activity in violation of the terms of this paragraph and to any other relief available to them. Inquiries regarding whether specific information constitutes Proprietary Information shall be directed to the Company’s Senior Vice President, Public Policy (or, if such position is vacant, the Company’s then Chief Executive Officer); </w:t>
      </w:r>
      <w:r>
        <w:rPr>
          <w:rFonts w:ascii="Arial" w:cs="Arial" w:eastAsia="Arial" w:hAnsi="Arial"/>
          <w:sz w:val="19"/>
          <w:szCs w:val="19"/>
          <w:i w:val="1"/>
          <w:iCs w:val="1"/>
          <w:color w:val="auto"/>
        </w:rPr>
        <w:t>provided</w:t>
      </w:r>
      <w:r>
        <w:rPr>
          <w:rFonts w:ascii="Arial" w:cs="Arial" w:eastAsia="Arial" w:hAnsi="Arial"/>
          <w:sz w:val="19"/>
          <w:szCs w:val="19"/>
          <w:color w:val="auto"/>
        </w:rPr>
        <w:t>, that the Company shall not unreasonably classify information as Proprietary Information.</w:t>
      </w:r>
    </w:p>
    <w:p>
      <w:pPr>
        <w:spacing w:after="0" w:line="144" w:lineRule="exact"/>
        <w:rPr>
          <w:rFonts w:ascii="Arial" w:cs="Arial" w:eastAsia="Arial" w:hAnsi="Arial"/>
          <w:sz w:val="19"/>
          <w:szCs w:val="19"/>
          <w:color w:val="auto"/>
        </w:rPr>
      </w:pPr>
    </w:p>
    <w:p>
      <w:pPr>
        <w:ind w:right="40" w:firstLine="1305"/>
        <w:spacing w:after="0" w:line="270" w:lineRule="auto"/>
        <w:tabs>
          <w:tab w:leader="none" w:pos="1945"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Non-Solicitation of Employees</w:t>
      </w:r>
      <w:r>
        <w:rPr>
          <w:rFonts w:ascii="Arial" w:cs="Arial" w:eastAsia="Arial" w:hAnsi="Arial"/>
          <w:sz w:val="19"/>
          <w:szCs w:val="19"/>
          <w:color w:val="auto"/>
        </w:rPr>
        <w:t xml:space="preserve">. The Executive recognizes that he possesses and will possess confidential information about other employees of the Company and its Affiliates relating to their education, experience, skills, abilities, compensation and benefits, and inter-personal relationships with customers of the Company and its Affiliates. The Executive recognizes that the information he possesses and will possess about these other employees is not generally known, is of substantial value to the Company and its Affiliates in developing their business and in securing and retaining customers, and has been and will be acquired by him because of his business position with the Company and its Affiliates. The Executive agrees that at all times during the Executive’s employment with the Company and for a period of one (1) year thereafter, he will not, directly or indirectly, solicit or recruit any employee of the Company or its Affiliates for the purpose of being employed by him or by any competitor of the Company or its Affiliates on whose behalf he is acting as an agent, representative or employee and that he will not convey any such confidential information or trade secrets about other employees of the Company and its Affiliates to any other person; </w:t>
      </w:r>
      <w:r>
        <w:rPr>
          <w:rFonts w:ascii="Arial" w:cs="Arial" w:eastAsia="Arial" w:hAnsi="Arial"/>
          <w:sz w:val="19"/>
          <w:szCs w:val="19"/>
          <w:i w:val="1"/>
          <w:iCs w:val="1"/>
          <w:color w:val="auto"/>
        </w:rPr>
        <w:t>provided, however</w:t>
      </w:r>
      <w:r>
        <w:rPr>
          <w:rFonts w:ascii="Arial" w:cs="Arial" w:eastAsia="Arial" w:hAnsi="Arial"/>
          <w:sz w:val="19"/>
          <w:szCs w:val="19"/>
          <w:color w:val="auto"/>
        </w:rPr>
        <w:t>, that it shall not constitute a solicitation or recruitment of employment in violation of this paragraph to discuss</w:t>
      </w:r>
      <w:r>
        <w:rPr>
          <w:rFonts w:ascii="Arial" w:cs="Arial" w:eastAsia="Arial" w:hAnsi="Arial"/>
          <w:sz w:val="19"/>
          <w:szCs w:val="19"/>
          <w:i w:val="1"/>
          <w:iCs w:val="1"/>
          <w:color w:val="auto"/>
        </w:rPr>
        <w:t xml:space="preserve"> </w:t>
      </w:r>
      <w:r>
        <w:rPr>
          <w:rFonts w:ascii="Arial" w:cs="Arial" w:eastAsia="Arial" w:hAnsi="Arial"/>
          <w:sz w:val="19"/>
          <w:szCs w:val="19"/>
          <w:color w:val="auto"/>
        </w:rPr>
        <w:t>employment opportunities with any employee of the Company or its Affiliates who has either first contacted the Executive or regarding whose employment the Executive has discussed with and received the written approval of the Company’s Vice President, Human Resources (or, if such position is vacant, the Company’s then Chief Executive Officer), prior to making such solicitation or recruitment. In view of the nature of the Executive’s employment with the Company, the Executive likewise agrees that the Company and its Affiliates would be irreparably harmed by any solicitation or recruitment in violation of the terms of this paragraph and that the Company and its Affiliates shall therefore be entitled to preliminary and/or permanent injunctive relief prohibiting the Executive from engaging in any activity or threatened activity in violation of the terms of this paragraph and to any other relief available to them.</w:t>
      </w:r>
    </w:p>
    <w:p>
      <w:pPr>
        <w:spacing w:after="0" w:line="397" w:lineRule="exact"/>
        <w:rPr>
          <w:rFonts w:ascii="Arial" w:cs="Arial" w:eastAsia="Arial" w:hAnsi="Arial"/>
          <w:sz w:val="19"/>
          <w:szCs w:val="19"/>
          <w:color w:val="auto"/>
        </w:rPr>
      </w:pPr>
    </w:p>
    <w:p>
      <w:pPr>
        <w:ind w:right="60" w:firstLine="1305"/>
        <w:spacing w:after="0" w:line="282" w:lineRule="auto"/>
        <w:tabs>
          <w:tab w:leader="none" w:pos="1945"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Survival of Provisions</w:t>
      </w:r>
      <w:r>
        <w:rPr>
          <w:rFonts w:ascii="Arial" w:cs="Arial" w:eastAsia="Arial" w:hAnsi="Arial"/>
          <w:sz w:val="19"/>
          <w:szCs w:val="19"/>
          <w:color w:val="auto"/>
        </w:rPr>
        <w:t>. The obligations contained in Section 14(a) and Section 14(b) above shall survive the termination of the Executive’s employment within the Company and shall be fully enforceable thereafter. If it is determined by a court of competent jurisdiction in any state that any restriction in Section 14(a) or Section 14(b) above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147" w:lineRule="exact"/>
        <w:rPr>
          <w:rFonts w:ascii="Arial" w:cs="Arial" w:eastAsia="Arial" w:hAnsi="Arial"/>
          <w:sz w:val="19"/>
          <w:szCs w:val="19"/>
          <w:color w:val="auto"/>
        </w:rPr>
      </w:pPr>
    </w:p>
    <w:p>
      <w:pPr>
        <w:ind w:right="40" w:firstLine="1305"/>
        <w:spacing w:after="0" w:line="287" w:lineRule="auto"/>
        <w:tabs>
          <w:tab w:leader="none" w:pos="1945"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Release; Lump Sum Payment</w:t>
      </w:r>
      <w:r>
        <w:rPr>
          <w:rFonts w:ascii="Arial" w:cs="Arial" w:eastAsia="Arial" w:hAnsi="Arial"/>
          <w:sz w:val="19"/>
          <w:szCs w:val="19"/>
          <w:color w:val="auto"/>
        </w:rPr>
        <w:t>. In the event of the Executive’s Involuntary Termination, if the Executive (i) reconfirms and agrees to abide by the covenants described in Section 14(a) and Section 14(b) above, (ii) executes the Release within fifty (50) days after the date of Involuntary Termination and does not revoke such Release in accordance with the terms thereof, and (iii) agrees to provide the consulting services described in Section 14(e) below, then in consideration for such</w:t>
      </w:r>
    </w:p>
    <w:p>
      <w:pPr>
        <w:sectPr>
          <w:pgSz w:w="11900" w:h="16881" w:orient="portrait"/>
          <w:cols w:equalWidth="0" w:num="1">
            <w:col w:w="11420"/>
          </w:cols>
          <w:pgMar w:left="240" w:top="118" w:right="239" w:bottom="0" w:gutter="0" w:footer="0" w:header="0"/>
        </w:sectPr>
      </w:pPr>
    </w:p>
    <w:bookmarkStart w:id="84" w:name="page85"/>
    <w:bookmarkEnd w:id="84"/>
    <w:p>
      <w:pPr>
        <w:spacing w:after="0" w:line="62"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covenants and consulting services, the Company shall pay the Executive, in one cash lump sum, an amount (the “</w:t>
      </w:r>
      <w:r>
        <w:rPr>
          <w:rFonts w:ascii="Arial" w:cs="Arial" w:eastAsia="Arial" w:hAnsi="Arial"/>
          <w:sz w:val="19"/>
          <w:szCs w:val="19"/>
          <w:u w:val="single" w:color="auto"/>
          <w:color w:val="auto"/>
        </w:rPr>
        <w:t>Consulting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Payment</w:t>
      </w:r>
      <w:r>
        <w:rPr>
          <w:rFonts w:ascii="Arial" w:cs="Arial" w:eastAsia="Arial" w:hAnsi="Arial"/>
          <w:sz w:val="19"/>
          <w:szCs w:val="19"/>
          <w:color w:val="auto"/>
        </w:rPr>
        <w:t>”) in cash equal to the greater of: (X) 160% of the Executive’s Annual Base Salary as in effect on the Date of Termination, and (Y) the Executive’s Annual Base Salary as in effect on the Date of Termination, plus the Executive’s Average Annual Bonus. Except as provided in this subsection, the Consulting Payment shall be paid on such date as is determined by the Company within</w:t>
      </w:r>
    </w:p>
    <w:p>
      <w:pPr>
        <w:spacing w:after="0" w:line="3" w:lineRule="exact"/>
        <w:rPr>
          <w:sz w:val="20"/>
          <w:szCs w:val="20"/>
          <w:color w:val="auto"/>
        </w:rPr>
      </w:pPr>
    </w:p>
    <w:p>
      <w:pPr>
        <w:spacing w:after="0" w:line="215" w:lineRule="auto"/>
        <w:rPr>
          <w:sz w:val="20"/>
          <w:szCs w:val="20"/>
          <w:color w:val="auto"/>
        </w:rPr>
      </w:pPr>
      <w:r>
        <w:rPr>
          <w:rFonts w:ascii="Arial" w:cs="Arial" w:eastAsia="Arial" w:hAnsi="Arial"/>
          <w:sz w:val="22"/>
          <w:szCs w:val="22"/>
          <w:color w:val="auto"/>
        </w:rPr>
        <w:t>the ten (10) day period commencing on the 60</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day after the date of the Executive’s Involuntary Termination; </w:t>
      </w:r>
      <w:r>
        <w:rPr>
          <w:rFonts w:ascii="Arial" w:cs="Arial" w:eastAsia="Arial" w:hAnsi="Arial"/>
          <w:sz w:val="22"/>
          <w:szCs w:val="22"/>
          <w:i w:val="1"/>
          <w:iCs w:val="1"/>
          <w:color w:val="auto"/>
        </w:rPr>
        <w:t>provided, however</w:t>
      </w:r>
      <w:r>
        <w:rPr>
          <w:rFonts w:ascii="Arial" w:cs="Arial" w:eastAsia="Arial" w:hAnsi="Arial"/>
          <w:sz w:val="22"/>
          <w:szCs w:val="22"/>
          <w:color w:val="auto"/>
        </w:rPr>
        <w:t>, that if the Executive is a Specified Employee on the date of the Executive’s Involuntary Termination, the Consulting Payment shall be paid as provided in Section 9 hereof. The Executive shall have the right to elect to defer the Consulting Payment under the terms and conditions of the Company’s Deferred Compensation Plan. Any such deferral election shall be made in accordance with Section 18(b) hereof.</w:t>
      </w:r>
    </w:p>
    <w:p>
      <w:pPr>
        <w:spacing w:after="0" w:line="177" w:lineRule="exact"/>
        <w:rPr>
          <w:sz w:val="20"/>
          <w:szCs w:val="20"/>
          <w:color w:val="auto"/>
        </w:rPr>
      </w:pPr>
    </w:p>
    <w:p>
      <w:pPr>
        <w:ind w:firstLine="1305"/>
        <w:spacing w:after="0" w:line="272" w:lineRule="auto"/>
        <w:tabs>
          <w:tab w:leader="none" w:pos="1945"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Consulting</w:t>
      </w:r>
      <w:r>
        <w:rPr>
          <w:rFonts w:ascii="Arial" w:cs="Arial" w:eastAsia="Arial" w:hAnsi="Arial"/>
          <w:sz w:val="19"/>
          <w:szCs w:val="19"/>
          <w:color w:val="auto"/>
        </w:rPr>
        <w:t>. If the Executive agrees to the provisions of Section 14(d) above, then the Executive shall have the obligation to provide consulting services to the Company as an independent contractor, commencing on the Date of Termination and ending on the second anniversary of the Date of Termination (the “</w:t>
      </w:r>
      <w:r>
        <w:rPr>
          <w:rFonts w:ascii="Arial" w:cs="Arial" w:eastAsia="Arial" w:hAnsi="Arial"/>
          <w:sz w:val="19"/>
          <w:szCs w:val="19"/>
          <w:u w:val="single" w:color="auto"/>
          <w:color w:val="auto"/>
        </w:rPr>
        <w:t>Consulting Period</w:t>
      </w:r>
      <w:r>
        <w:rPr>
          <w:rFonts w:ascii="Arial" w:cs="Arial" w:eastAsia="Arial" w:hAnsi="Arial"/>
          <w:sz w:val="19"/>
          <w:szCs w:val="19"/>
          <w:color w:val="auto"/>
        </w:rPr>
        <w:t xml:space="preserve">”). The Executive shall hold himself available at reasonable times and on reasonable notice to render such consulting services as may be so assigned to him by the Board or the Company’s then Chief Executive Officer;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unless the parties otherwise agree, the consulting services rendered by the Executive during the Consulting Period shall not exceed twenty (20) hours each month;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the consulting services rendered by the Executive during the Consulting Period shall in no event exceed twenty</w:t>
      </w:r>
      <w:r>
        <w:rPr>
          <w:rFonts w:ascii="Arial" w:cs="Arial" w:eastAsia="Arial" w:hAnsi="Arial"/>
          <w:sz w:val="19"/>
          <w:szCs w:val="19"/>
          <w:i w:val="1"/>
          <w:iCs w:val="1"/>
          <w:color w:val="auto"/>
        </w:rPr>
        <w:t xml:space="preserve"> </w:t>
      </w:r>
      <w:r>
        <w:rPr>
          <w:rFonts w:ascii="Arial" w:cs="Arial" w:eastAsia="Arial" w:hAnsi="Arial"/>
          <w:sz w:val="19"/>
          <w:szCs w:val="19"/>
          <w:color w:val="auto"/>
        </w:rPr>
        <w:t>percent (20%) of the average level of services performed by the Executive for the Company over the thirty-six (36) month period immediately preceding the Executive’s Separation from Service (or the full period of services to the Company, if the Executive has been providing services to the Company for less than thirty-six (36) months). The Company agrees to use its best efforts during the Consulting Period to secure the benefit of the Executive’s consulting services so as to minimize the interference with the Executive’s other activities, including requiring the performance of consulting services at the Company’s offices only when such services may not be reasonably performed off-site by the Executive.</w:t>
      </w:r>
    </w:p>
    <w:p>
      <w:pPr>
        <w:spacing w:after="0" w:line="15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15.</w:t>
      </w:r>
      <w:r>
        <w:rPr>
          <w:sz w:val="20"/>
          <w:szCs w:val="20"/>
          <w:color w:val="auto"/>
        </w:rPr>
        <w:tab/>
      </w:r>
      <w:r>
        <w:rPr>
          <w:rFonts w:ascii="Arial" w:cs="Arial" w:eastAsia="Arial" w:hAnsi="Arial"/>
          <w:sz w:val="19"/>
          <w:szCs w:val="19"/>
          <w:u w:val="single" w:color="auto"/>
          <w:color w:val="auto"/>
        </w:rPr>
        <w:t>Legal Fees</w:t>
      </w:r>
      <w:r>
        <w:rPr>
          <w:rFonts w:ascii="Arial" w:cs="Arial" w:eastAsia="Arial" w:hAnsi="Arial"/>
          <w:sz w:val="19"/>
          <w:szCs w:val="19"/>
          <w:color w:val="auto"/>
        </w:rPr>
        <w:t>.</w:t>
      </w:r>
    </w:p>
    <w:p>
      <w:pPr>
        <w:spacing w:after="0" w:line="199" w:lineRule="exact"/>
        <w:rPr>
          <w:sz w:val="20"/>
          <w:szCs w:val="20"/>
          <w:color w:val="auto"/>
        </w:rPr>
      </w:pPr>
    </w:p>
    <w:p>
      <w:pPr>
        <w:ind w:right="100" w:firstLine="1305"/>
        <w:spacing w:after="0" w:line="249" w:lineRule="auto"/>
        <w:tabs>
          <w:tab w:leader="none" w:pos="1945" w:val="left"/>
        </w:tabs>
        <w:numPr>
          <w:ilvl w:val="0"/>
          <w:numId w:val="121"/>
        </w:numPr>
        <w:rPr>
          <w:rFonts w:ascii="Arial" w:cs="Arial" w:eastAsia="Arial" w:hAnsi="Arial"/>
          <w:sz w:val="21"/>
          <w:szCs w:val="21"/>
          <w:color w:val="auto"/>
        </w:rPr>
      </w:pPr>
      <w:r>
        <w:rPr>
          <w:rFonts w:ascii="Arial" w:cs="Arial" w:eastAsia="Arial" w:hAnsi="Arial"/>
          <w:sz w:val="21"/>
          <w:szCs w:val="21"/>
          <w:u w:val="single" w:color="auto"/>
          <w:color w:val="auto"/>
        </w:rPr>
        <w:t>Reimbursement of Legal Fees</w:t>
      </w:r>
      <w:r>
        <w:rPr>
          <w:rFonts w:ascii="Arial" w:cs="Arial" w:eastAsia="Arial" w:hAnsi="Arial"/>
          <w:sz w:val="21"/>
          <w:szCs w:val="21"/>
          <w:color w:val="auto"/>
        </w:rPr>
        <w:t>. Subject to subsection (b), in the event of the Executive’s Separation from Service either (1) prior to a Change in Control, or (2) on or within two (2) years following a Change in Control, the Company shall reimburse the Executive for all legal fees and expenses (including but not limited to fees and expenses in connection with any arbitration) incurred by the Executive in disputing any issue arising under this Agreement relating to the Executive’s Separation from Service or in seeking to obtain or enforce any benefit or right provided by this Agreement.</w:t>
      </w:r>
    </w:p>
    <w:p>
      <w:pPr>
        <w:spacing w:after="0" w:line="165" w:lineRule="exact"/>
        <w:rPr>
          <w:rFonts w:ascii="Arial" w:cs="Arial" w:eastAsia="Arial" w:hAnsi="Arial"/>
          <w:sz w:val="21"/>
          <w:szCs w:val="21"/>
          <w:color w:val="auto"/>
        </w:rPr>
      </w:pPr>
    </w:p>
    <w:p>
      <w:pPr>
        <w:ind w:right="20" w:firstLine="1305"/>
        <w:spacing w:after="0" w:line="272" w:lineRule="auto"/>
        <w:tabs>
          <w:tab w:leader="none" w:pos="1945"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Requirements for Reimbursement</w:t>
      </w:r>
      <w:r>
        <w:rPr>
          <w:rFonts w:ascii="Arial" w:cs="Arial" w:eastAsia="Arial" w:hAnsi="Arial"/>
          <w:sz w:val="19"/>
          <w:szCs w:val="19"/>
          <w:color w:val="auto"/>
        </w:rPr>
        <w:t>. The Company shall reimburse the Executive’s legal fees and expenses pursuant to subsection (a) above only to the extent the arbitrator or court determines the following: (i) the Executive disputed such issue, or sought to obtain or enforce such benefit or right, in good faith, (ii) the Executive had a reasonable basis for such claim, and (iii) in the case of subsection (a)(1) above, the Executive is the prevailing party. In addition, the Company shall reimburse such legal fees and expenses, only if such legal fees and expenses are incurred during the twenty (20) year period beginning on the date of the Executive’s Separation from Service. The legal fees and expenses paid to the Executive for any taxable year of the Executive shall not affect the legal fees and expenses paid to the Executive for any other taxable year of the Executive. The legal fees and expenses shall be paid to the Executive on or before the last day of the Executive’s taxable year following the taxable year in which the fees or expenses are incurred. The Executive’s right to reimbursement of legal fees and expenses shall not be subject to liquidation or exchange for any other benefit. Such right to reimbursement of legal fees and expenses shall be provided in a manner that complies with Treasury Regulation Section 1.409A-3(i)(1)(iv). If the Executive is a Specified Employee on the date of the Executive’s Separation from Service, such right to reimbursement of legal fees and expenses shall be paid as provided in Section 10 hereof.</w:t>
      </w:r>
    </w:p>
    <w:p>
      <w:pPr>
        <w:spacing w:after="0" w:line="39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16.</w:t>
      </w:r>
      <w:r>
        <w:rPr>
          <w:sz w:val="20"/>
          <w:szCs w:val="20"/>
          <w:color w:val="auto"/>
        </w:rPr>
        <w:tab/>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199" w:lineRule="exact"/>
        <w:rPr>
          <w:sz w:val="20"/>
          <w:szCs w:val="20"/>
          <w:color w:val="auto"/>
        </w:rPr>
      </w:pPr>
    </w:p>
    <w:p>
      <w:pPr>
        <w:ind w:right="180" w:firstLine="1305"/>
        <w:spacing w:after="0" w:line="258" w:lineRule="auto"/>
        <w:tabs>
          <w:tab w:leader="none" w:pos="1945" w:val="left"/>
        </w:tabs>
        <w:numPr>
          <w:ilvl w:val="0"/>
          <w:numId w:val="122"/>
        </w:numPr>
        <w:rPr>
          <w:rFonts w:ascii="Arial" w:cs="Arial" w:eastAsia="Arial" w:hAnsi="Arial"/>
          <w:sz w:val="21"/>
          <w:szCs w:val="21"/>
          <w:color w:val="auto"/>
        </w:rPr>
      </w:pPr>
      <w:r>
        <w:rPr>
          <w:rFonts w:ascii="Arial" w:cs="Arial" w:eastAsia="Arial" w:hAnsi="Arial"/>
          <w:sz w:val="21"/>
          <w:szCs w:val="21"/>
          <w:u w:val="single" w:color="auto"/>
          <w:color w:val="auto"/>
        </w:rPr>
        <w:t>Assignment by the Executive</w:t>
      </w:r>
      <w:r>
        <w:rPr>
          <w:rFonts w:ascii="Arial" w:cs="Arial" w:eastAsia="Arial" w:hAnsi="Arial"/>
          <w:sz w:val="21"/>
          <w:szCs w:val="21"/>
          <w:color w:val="auto"/>
        </w:rPr>
        <w:t>. This Agreement is personal to the Executive and without the prior written consent of Sempra Energy shall not be assignable by the Executive otherwise than by will or the laws of descent and distribution. This Agreement shall inure to the benefit of and be enforceable by the Executive’s legal representatives.</w:t>
      </w:r>
    </w:p>
    <w:p>
      <w:pPr>
        <w:spacing w:after="0" w:line="153" w:lineRule="exact"/>
        <w:rPr>
          <w:rFonts w:ascii="Arial" w:cs="Arial" w:eastAsia="Arial" w:hAnsi="Arial"/>
          <w:sz w:val="21"/>
          <w:szCs w:val="21"/>
          <w:color w:val="auto"/>
        </w:rPr>
      </w:pPr>
    </w:p>
    <w:p>
      <w:pPr>
        <w:ind w:right="20" w:firstLine="1305"/>
        <w:spacing w:after="0" w:line="258" w:lineRule="auto"/>
        <w:tabs>
          <w:tab w:leader="none" w:pos="1945" w:val="left"/>
        </w:tabs>
        <w:numPr>
          <w:ilvl w:val="0"/>
          <w:numId w:val="122"/>
        </w:numPr>
        <w:rPr>
          <w:rFonts w:ascii="Arial" w:cs="Arial" w:eastAsia="Arial" w:hAnsi="Arial"/>
          <w:sz w:val="21"/>
          <w:szCs w:val="21"/>
          <w:color w:val="auto"/>
        </w:rPr>
      </w:pPr>
      <w:r>
        <w:rPr>
          <w:rFonts w:ascii="Arial" w:cs="Arial" w:eastAsia="Arial" w:hAnsi="Arial"/>
          <w:sz w:val="21"/>
          <w:szCs w:val="21"/>
          <w:u w:val="single" w:color="auto"/>
          <w:color w:val="auto"/>
        </w:rPr>
        <w:t>Successors and Assigns of Sempra Energy</w:t>
      </w:r>
      <w:r>
        <w:rPr>
          <w:rFonts w:ascii="Arial" w:cs="Arial" w:eastAsia="Arial" w:hAnsi="Arial"/>
          <w:sz w:val="21"/>
          <w:szCs w:val="21"/>
          <w:color w:val="auto"/>
        </w:rPr>
        <w:t>. This Agreement shall inure to the benefit of and be binding upon Sempra Energy, its successors and assigns. Sempra Energy may not assign this Agreement to any person or entity (except for a successor described in Section 16(c), (d) or (e) below) without the Executive’s written consent.</w:t>
      </w:r>
    </w:p>
    <w:p>
      <w:pPr>
        <w:spacing w:after="0" w:line="166" w:lineRule="exact"/>
        <w:rPr>
          <w:rFonts w:ascii="Arial" w:cs="Arial" w:eastAsia="Arial" w:hAnsi="Arial"/>
          <w:sz w:val="21"/>
          <w:szCs w:val="21"/>
          <w:color w:val="auto"/>
        </w:rPr>
      </w:pPr>
    </w:p>
    <w:p>
      <w:pPr>
        <w:ind w:right="40" w:firstLine="1305"/>
        <w:spacing w:after="0" w:line="279" w:lineRule="auto"/>
        <w:tabs>
          <w:tab w:leader="none" w:pos="1945"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Assumption</w:t>
      </w:r>
      <w:r>
        <w:rPr>
          <w:rFonts w:ascii="Arial" w:cs="Arial" w:eastAsia="Arial" w:hAnsi="Arial"/>
          <w:sz w:val="19"/>
          <w:szCs w:val="19"/>
          <w:color w:val="auto"/>
        </w:rPr>
        <w:t>. Sempra Energy shall require any successor (whether direct or indirect, by purchase, merger, consolidation or otherwise) to all or substantially all of the business and/or assets of Sempra Energy to assume expressly and agree to perform the obligations and satisfy and discharge the liabilities of this Agreement in the same manner and to the same extent that Sempra Energy would have been required to perform the obligations and satisfy and discharge the liabilities under this Agreement if no such succession had taken place, and Sempra Energy shall have no further obligations and liabilities under this Agreement. Upon such assumption, references to Sempra Energy in this Agreement shall be replaced with references to such successor.</w:t>
      </w:r>
    </w:p>
    <w:p>
      <w:pPr>
        <w:spacing w:after="0" w:line="137" w:lineRule="exact"/>
        <w:rPr>
          <w:rFonts w:ascii="Arial" w:cs="Arial" w:eastAsia="Arial" w:hAnsi="Arial"/>
          <w:sz w:val="19"/>
          <w:szCs w:val="19"/>
          <w:color w:val="auto"/>
        </w:rPr>
      </w:pPr>
    </w:p>
    <w:p>
      <w:pPr>
        <w:ind w:right="200" w:firstLine="1305"/>
        <w:spacing w:after="0" w:line="279" w:lineRule="auto"/>
        <w:tabs>
          <w:tab w:leader="none" w:pos="1945"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Sale of Subsidiary</w:t>
      </w:r>
      <w:r>
        <w:rPr>
          <w:rFonts w:ascii="Arial" w:cs="Arial" w:eastAsia="Arial" w:hAnsi="Arial"/>
          <w:sz w:val="19"/>
          <w:szCs w:val="19"/>
          <w:color w:val="auto"/>
        </w:rPr>
        <w:t>. In the event that (i) the Executive is employed by a direct or indirect subsidiary of Sempra Energy that is a member of the Sempra Energy Control Group, (ii) Sempra Energy, directly or indirectly through one or more intermediaries, sells or otherwise disposes of such subsidiary, and (iii) such subsidiary ceases to be a member of the Sempra Energy Control Group, then if, on the date such subsidiary ceases to be a member of the Sempra Energy Control Group, the Executive continues in employment with such subsidiary and the Executive does not have a Separation from Service, Sempra Energy shall require such subsidiary or any successor (whether direct or indirect, by purchase merger, consolidation or otherwise)</w:t>
      </w:r>
    </w:p>
    <w:p>
      <w:pPr>
        <w:sectPr>
          <w:pgSz w:w="11900" w:h="16901" w:orient="portrait"/>
          <w:cols w:equalWidth="0" w:num="1">
            <w:col w:w="11420"/>
          </w:cols>
          <w:pgMar w:left="240" w:top="118" w:right="239" w:bottom="0" w:gutter="0" w:footer="0" w:header="0"/>
        </w:sectPr>
      </w:pPr>
    </w:p>
    <w:bookmarkStart w:id="85" w:name="page86"/>
    <w:bookmarkEnd w:id="85"/>
    <w:p>
      <w:pPr>
        <w:ind w:right="20"/>
        <w:spacing w:after="0" w:line="246" w:lineRule="auto"/>
        <w:rPr>
          <w:sz w:val="20"/>
          <w:szCs w:val="20"/>
          <w:color w:val="auto"/>
        </w:rPr>
      </w:pPr>
      <w:r>
        <w:rPr>
          <w:rFonts w:ascii="Arial" w:cs="Arial" w:eastAsia="Arial" w:hAnsi="Arial"/>
          <w:sz w:val="21"/>
          <w:szCs w:val="21"/>
          <w:color w:val="auto"/>
        </w:rPr>
        <w:t>to such subsidiary, or the parent thereof, to assume expressly and agree to perform the obligations and satisfy and discharge the liabilities under this Agreement in the same manner and to the same extent that Sempra Energy would have been required to perform the obligations and satisfy and discharge the liabilities under this Agreement, if such subsidiary had not ceased to be part of the Sempra Energy Control Group, and, upon such assumption, Sempra Energy shall have no further obligations and liabilities under the Agreement. Upon such assumption, (i) references to Sempra Energy in this Agreement shall be replaced with references to such subsidiary, or such successor or parent thereof, assuming this Agreement, and (ii) subsection (b) of the definition of “Cause” and subsection (b) of the definition of “Good Reason” shall apply thereafter, as if a Change in Control had occurred on the date of such cessation.</w:t>
      </w:r>
    </w:p>
    <w:p>
      <w:pPr>
        <w:spacing w:after="0" w:line="168" w:lineRule="exact"/>
        <w:rPr>
          <w:sz w:val="20"/>
          <w:szCs w:val="20"/>
          <w:color w:val="auto"/>
        </w:rPr>
      </w:pPr>
    </w:p>
    <w:p>
      <w:pPr>
        <w:ind w:firstLine="1305"/>
        <w:spacing w:after="0" w:line="272" w:lineRule="auto"/>
        <w:tabs>
          <w:tab w:leader="none" w:pos="1945"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Sale of Assets of Subsidiary</w:t>
      </w:r>
      <w:r>
        <w:rPr>
          <w:rFonts w:ascii="Arial" w:cs="Arial" w:eastAsia="Arial" w:hAnsi="Arial"/>
          <w:sz w:val="19"/>
          <w:szCs w:val="19"/>
          <w:color w:val="auto"/>
        </w:rPr>
        <w:t>. In the event that (i) the Executive is employed by a direct or indirect subsidiary of Sempra Energy, and (ii) such subsidiary sells or otherwise disposes of substantial assets of such subsidiary to an unrelated service recipient, as determined under Treasury Regulation Section 1.409A-1(f)(2)(ii) (the “</w:t>
      </w:r>
      <w:r>
        <w:rPr>
          <w:rFonts w:ascii="Arial" w:cs="Arial" w:eastAsia="Arial" w:hAnsi="Arial"/>
          <w:sz w:val="19"/>
          <w:szCs w:val="19"/>
          <w:u w:val="single" w:color="auto"/>
          <w:color w:val="auto"/>
        </w:rPr>
        <w:t>Asset Purchaser</w:t>
      </w:r>
      <w:r>
        <w:rPr>
          <w:rFonts w:ascii="Arial" w:cs="Arial" w:eastAsia="Arial" w:hAnsi="Arial"/>
          <w:sz w:val="19"/>
          <w:szCs w:val="19"/>
          <w:color w:val="auto"/>
        </w:rPr>
        <w:t>”), in a transaction described in Treasury Regulation Section 1.409A-1(h)(4) (an “</w:t>
      </w:r>
      <w:r>
        <w:rPr>
          <w:rFonts w:ascii="Arial" w:cs="Arial" w:eastAsia="Arial" w:hAnsi="Arial"/>
          <w:sz w:val="19"/>
          <w:szCs w:val="19"/>
          <w:u w:val="single" w:color="auto"/>
          <w:color w:val="auto"/>
        </w:rPr>
        <w:t>Asset Sale</w:t>
      </w:r>
      <w:r>
        <w:rPr>
          <w:rFonts w:ascii="Arial" w:cs="Arial" w:eastAsia="Arial" w:hAnsi="Arial"/>
          <w:sz w:val="19"/>
          <w:szCs w:val="19"/>
          <w:color w:val="auto"/>
        </w:rPr>
        <w:t>”), then if, on the date of such Asset Sale, the Executive becomes employed by the Asset Purchaser, Sempra Energy and the Asset Purchaser shall specify, in accordance with Treasury Regulation Section 1.409A-1(h)(4), that the Executive shall not be treated as having a Separation from Service, and Sempra Energy shall require such Asset Purchaser, or the parent thereof, to assume expressly and agree to perform the obligations and satisfy and discharge the liabilities under this Agreement in the same manner and to the same extent that Sempra Energy would have been required to perform the obligations and satisfy and discharge the liabilities under this Agreement, if the Asset Sale had not taken place, and, upon such assumption, Sempra Energy shall have no further obligations and liabilities under the Agreement. Upon such assumption, (i) references to Sempra Energy in this Agreement shall be replaced with references to the Asset Purchaser or the parent thereof, as applicable, and (ii) subsection (b) of the definition of “Cause” and subsection (b) of the definition of “Good Reason” shall apply thereafter, as if a Change in Control had occurred on the date of the Asset Sale.</w:t>
      </w:r>
    </w:p>
    <w:p>
      <w:pPr>
        <w:spacing w:after="0" w:line="151" w:lineRule="exact"/>
        <w:rPr>
          <w:sz w:val="20"/>
          <w:szCs w:val="20"/>
          <w:color w:val="auto"/>
        </w:rPr>
      </w:pPr>
    </w:p>
    <w:p>
      <w:pPr>
        <w:ind w:right="40" w:firstLine="1297"/>
        <w:spacing w:after="0" w:line="275" w:lineRule="auto"/>
        <w:rPr>
          <w:sz w:val="20"/>
          <w:szCs w:val="20"/>
          <w:color w:val="auto"/>
        </w:rPr>
      </w:pPr>
      <w:r>
        <w:rPr>
          <w:rFonts w:ascii="Arial" w:cs="Arial" w:eastAsia="Arial" w:hAnsi="Arial"/>
          <w:sz w:val="19"/>
          <w:szCs w:val="19"/>
          <w:b w:val="1"/>
          <w:bCs w:val="1"/>
          <w:color w:val="auto"/>
        </w:rPr>
        <w:t xml:space="preserve">Section 17. </w:t>
      </w:r>
      <w:r>
        <w:rPr>
          <w:rFonts w:ascii="Arial" w:cs="Arial" w:eastAsia="Arial" w:hAnsi="Arial"/>
          <w:sz w:val="19"/>
          <w:szCs w:val="19"/>
          <w:u w:val="single" w:color="auto"/>
          <w:color w:val="auto"/>
        </w:rPr>
        <w:t>Administration Prior to Change in Control</w:t>
      </w:r>
      <w:r>
        <w:rPr>
          <w:rFonts w:ascii="Arial" w:cs="Arial" w:eastAsia="Arial" w:hAnsi="Arial"/>
          <w:sz w:val="19"/>
          <w:szCs w:val="19"/>
          <w:color w:val="auto"/>
        </w:rPr>
        <w:t>. Prior to a Change in Control, the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shall have full and complete authority to construe and interpret the provisions of this Agreement, to determine an individual’s entitlement to benefits under this Agreement, to make in its sole and absolute discretion all determinations contemplated under this Agreement, to investigate and make factual determinations necessary or advisable to administer or implement this Agreement, and to adopt such rules and procedures as it deems necessary or advisable for the administration or implementation of this Agreement. All determinations made under this Agreement by the Compensation Committee shall be final and binding on all interested persons. Prior to a Change in Control, the Compensation Committee may delegate responsibilities for the operation and administration of this Agreement to one or more officers or employees of the Company. The provisions of this Section 17 shall terminate and be of no further force and effect upon the occurrence of a Change in Control.</w:t>
      </w:r>
    </w:p>
    <w:p>
      <w:pPr>
        <w:spacing w:after="0" w:line="14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18.</w:t>
      </w:r>
      <w:r>
        <w:rPr>
          <w:sz w:val="20"/>
          <w:szCs w:val="20"/>
          <w:color w:val="auto"/>
        </w:rPr>
        <w:tab/>
      </w:r>
      <w:r>
        <w:rPr>
          <w:rFonts w:ascii="Arial" w:cs="Arial" w:eastAsia="Arial" w:hAnsi="Arial"/>
          <w:sz w:val="19"/>
          <w:szCs w:val="19"/>
          <w:u w:val="single" w:color="auto"/>
          <w:color w:val="auto"/>
        </w:rPr>
        <w:t>Section 409A of the Code.</w:t>
      </w:r>
    </w:p>
    <w:p>
      <w:pPr>
        <w:spacing w:after="0" w:line="193" w:lineRule="exact"/>
        <w:rPr>
          <w:sz w:val="20"/>
          <w:szCs w:val="20"/>
          <w:color w:val="auto"/>
        </w:rPr>
      </w:pPr>
    </w:p>
    <w:p>
      <w:pPr>
        <w:ind w:right="20" w:firstLine="1305"/>
        <w:spacing w:after="0" w:line="269" w:lineRule="auto"/>
        <w:tabs>
          <w:tab w:leader="none" w:pos="1945"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Compliance with and Exemption from Section 409A of the Code</w:t>
      </w:r>
      <w:r>
        <w:rPr>
          <w:rFonts w:ascii="Arial" w:cs="Arial" w:eastAsia="Arial" w:hAnsi="Arial"/>
          <w:sz w:val="19"/>
          <w:szCs w:val="19"/>
          <w:color w:val="auto"/>
        </w:rPr>
        <w:t>. Certain payments and benefits payable under this Agreement (including, without limitation, the Section 409A Payments) are intended to comply with the requirements of Section 409A of the Code. Certain payments and benefits payable under this Agreement are intended to be exempt from the requirements of Section 409A of the Code. This Agreement shall be interpreted in accordance with the applicable requirements of, and exemptions from, Section 409A of the Code and the Treasury Regulations thereunder. To the extent the payments and benefits under this Agreement are subject to Section 409A of the Code, this Agreement shall be interpreted, construed and administered in a manner that satisfies the requirements of Sections 409A(a)(2), (3) and (4) of the Code and the Treasury Regulations thereunder (subject to the transitional relief under Internal Revenue Service Notice 2005-1, the Proposed Regulations under Section 409A of the Code, Internal Revenue Service Notice 2006-79, Internal Revenue Service Notice 2007-78, Internal Revenue Service Notice 2007-86 and other applicable authority issued by the Internal Revenue Service). As provided in Internal Revenue Notice 2007-86, notwithstanding any other provision of this Agreement, with respect to an election or amendment to change a time or form of payment under this Agreement made on or after January 1, 2008 and on or before December 31, 2008, the election or amendment shall apply only with respect to payments that would not otherwise be payable in 2008, and shall not cause payments to be made in 2008 that would not otherwise be payable in 2008. If the Company and the Executive determine that any compensation, benefits or other payments that are payable under this Agreement and intended to comply with Sections 409A(a)(2), (3) and (4) of the Code do not comply with Section 409A of the Code, the Treasury Regulations thereunder and other applicable authority issued by the Internal Revenue Service, to the extent permitted under Section 409A of the Code, the Treasury Regulations thereunder and any applicable authority issued by the Internal Revenue Service, the Company and the Executive agree to amend this Agreement, or take such other actions as the Company and the Executive deem reasonably necessary or appropriate, to cause such compensation, benefits and other payments to comply with the requirements of Section 409A of the Code, the Treasury Regulations thereunder and other applicable authority issued by the Internal Revenue Service, while providing compensation, benefits and other payments that are, in the aggregate, no less favorable than the compensation, benefits and other payments provided under this Agreement. In the case of any compensation, benefits or other payments that are payable under this Agreement and intended to comply with Sections 409A(a)(2), (3) and (4) of the Code, if any provision of the Agreement would cause such compensation, benefits or other payments to fail to so comply, such provision shall not be effective and shall be null and void with respect to such compensation, benefits or other payments to the extent such provision would cause a failure to comply, and such provision shall otherwise remain in full force and effect.</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jc w:val="both"/>
        <w:ind w:right="280" w:firstLine="1305"/>
        <w:spacing w:after="0" w:line="276" w:lineRule="auto"/>
        <w:tabs>
          <w:tab w:leader="none" w:pos="1945"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Deferral Elections</w:t>
      </w:r>
      <w:r>
        <w:rPr>
          <w:rFonts w:ascii="Arial" w:cs="Arial" w:eastAsia="Arial" w:hAnsi="Arial"/>
          <w:sz w:val="19"/>
          <w:szCs w:val="19"/>
          <w:color w:val="auto"/>
        </w:rPr>
        <w:t>. As provided in Sections 4(f), 5(i) and 14(d), the Executive may elect to defer the Pre-Change in Control Severance Payment, the Post-Change in Control Severance Payment and the Consulting Payment as follows.</w:t>
      </w:r>
    </w:p>
    <w:p>
      <w:pPr>
        <w:spacing w:after="0" w:line="1" w:lineRule="exact"/>
        <w:rPr>
          <w:rFonts w:ascii="Arial" w:cs="Arial" w:eastAsia="Arial" w:hAnsi="Arial"/>
          <w:sz w:val="19"/>
          <w:szCs w:val="19"/>
          <w:color w:val="auto"/>
        </w:rPr>
      </w:pPr>
    </w:p>
    <w:p>
      <w:pPr>
        <w:jc w:val="both"/>
        <w:ind w:right="220" w:firstLine="158"/>
        <w:spacing w:after="0" w:line="287" w:lineRule="auto"/>
        <w:rPr>
          <w:rFonts w:ascii="Arial" w:cs="Arial" w:eastAsia="Arial" w:hAnsi="Arial"/>
          <w:sz w:val="19"/>
          <w:szCs w:val="19"/>
          <w:color w:val="auto"/>
        </w:rPr>
      </w:pPr>
      <w:r>
        <w:rPr>
          <w:rFonts w:ascii="Arial" w:cs="Arial" w:eastAsia="Arial" w:hAnsi="Arial"/>
          <w:sz w:val="19"/>
          <w:szCs w:val="19"/>
          <w:color w:val="auto"/>
        </w:rPr>
        <w:t>The Executive’s deferral election shall satisfy the requirements of Treasury Regulation Section 1.409A-2(b) and the terms and conditions of the Deferred Compensation Plan. Such deferral election shall designate the whole percentage (up to a maximum of 100%) of the Pre-Change in Control Severance Payment, the Post-Change in Control Severance Payment and the Consulting</w:t>
      </w:r>
    </w:p>
    <w:p>
      <w:pPr>
        <w:sectPr>
          <w:pgSz w:w="11900" w:h="16838" w:orient="portrait"/>
          <w:cols w:equalWidth="0" w:num="1">
            <w:col w:w="11400"/>
          </w:cols>
          <w:pgMar w:left="240" w:top="118" w:right="259" w:bottom="0" w:gutter="0" w:footer="0" w:header="0"/>
        </w:sectPr>
      </w:pPr>
    </w:p>
    <w:bookmarkStart w:id="86" w:name="page87"/>
    <w:bookmarkEnd w:id="86"/>
    <w:p>
      <w:pPr>
        <w:ind w:right="100"/>
        <w:spacing w:after="0" w:line="238" w:lineRule="auto"/>
        <w:rPr>
          <w:sz w:val="20"/>
          <w:szCs w:val="20"/>
          <w:color w:val="auto"/>
        </w:rPr>
      </w:pPr>
      <w:r>
        <w:rPr>
          <w:rFonts w:ascii="Arial" w:cs="Arial" w:eastAsia="Arial" w:hAnsi="Arial"/>
          <w:sz w:val="22"/>
          <w:szCs w:val="22"/>
          <w:color w:val="auto"/>
        </w:rPr>
        <w:t>Payment to be deferred, shall be irrevocable when made, and shall not take effect until at least twelve (12) months after the date on which the election is made. Such deferral election shall provide that the amount deferred shall be deferred for a period of not less than five (5) years from the date the payment of the amount deferred would otherwise have been made, in accordance with Treasury Regulation Section 1.409A-2(b)(1)(ii).</w:t>
      </w:r>
    </w:p>
    <w:p>
      <w:pPr>
        <w:spacing w:after="0" w:line="17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19.</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06" w:lineRule="exact"/>
        <w:rPr>
          <w:sz w:val="20"/>
          <w:szCs w:val="20"/>
          <w:color w:val="auto"/>
        </w:rPr>
      </w:pPr>
    </w:p>
    <w:p>
      <w:pPr>
        <w:ind w:right="80" w:firstLine="1305"/>
        <w:spacing w:after="0" w:line="247" w:lineRule="auto"/>
        <w:tabs>
          <w:tab w:leader="none" w:pos="1945" w:val="left"/>
        </w:tabs>
        <w:numPr>
          <w:ilvl w:val="0"/>
          <w:numId w:val="125"/>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and construed in accordance with the laws of the State of California, without reference to its principles of conflict of laws. The captions of this Agreement are not part of the provisions hereof and shall have no force or effect. This Agreement may not be amended, modified, repealed, waived, extended or discharged except by an agreement in writing signed by the party against whom enforcement of such amendment, modification, repeal, waiver, extension or discharge is sought. No person, other than pursuant to a resolution of the Board or a committee thereof, shall have authority on behalf of the Company to agree to amend, modify, repeal, waive, extend or discharge any provision of this Agreement or anything in reference thereto.</w:t>
      </w:r>
    </w:p>
    <w:p>
      <w:pPr>
        <w:spacing w:after="0" w:line="164" w:lineRule="exact"/>
        <w:rPr>
          <w:rFonts w:ascii="Arial" w:cs="Arial" w:eastAsia="Arial" w:hAnsi="Arial"/>
          <w:sz w:val="21"/>
          <w:szCs w:val="21"/>
          <w:color w:val="auto"/>
        </w:rPr>
      </w:pPr>
    </w:p>
    <w:p>
      <w:pPr>
        <w:ind w:right="200" w:firstLine="1305"/>
        <w:spacing w:after="0" w:line="287" w:lineRule="auto"/>
        <w:tabs>
          <w:tab w:leader="none" w:pos="1945"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shall be in writing and shall be given by hand delivery to the other party or by registered or certified mail, return receipt requested, postage prepaid, addressed, in either case, to the Company’s headquarters or to such other address as either party shall have furnished to the other in writing in accordance herewith. Notices and communications shall be effective when actually received by the addressee.</w:t>
      </w:r>
    </w:p>
    <w:p>
      <w:pPr>
        <w:spacing w:after="0" w:line="129" w:lineRule="exact"/>
        <w:rPr>
          <w:rFonts w:ascii="Arial" w:cs="Arial" w:eastAsia="Arial" w:hAnsi="Arial"/>
          <w:sz w:val="19"/>
          <w:szCs w:val="19"/>
          <w:color w:val="auto"/>
        </w:rPr>
      </w:pPr>
    </w:p>
    <w:p>
      <w:pPr>
        <w:ind w:right="600" w:firstLine="1305"/>
        <w:spacing w:after="0" w:line="251" w:lineRule="auto"/>
        <w:tabs>
          <w:tab w:leader="none" w:pos="1945"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this Agreement shall not affect the validity or enforceability of any other provision of this Agreement.</w:t>
      </w:r>
    </w:p>
    <w:p>
      <w:pPr>
        <w:spacing w:after="0" w:line="173" w:lineRule="exact"/>
        <w:rPr>
          <w:rFonts w:ascii="Arial" w:cs="Arial" w:eastAsia="Arial" w:hAnsi="Arial"/>
          <w:sz w:val="22"/>
          <w:szCs w:val="22"/>
          <w:color w:val="auto"/>
        </w:rPr>
      </w:pPr>
    </w:p>
    <w:p>
      <w:pPr>
        <w:ind w:right="200" w:firstLine="1305"/>
        <w:spacing w:after="0" w:line="251" w:lineRule="auto"/>
        <w:tabs>
          <w:tab w:leader="none" w:pos="1945"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 The Company may withhold from any amounts payable under this Agreement such federal, state or local taxes as shall be required to be withheld pursuant to any applicable law or regulation.</w:t>
      </w:r>
    </w:p>
    <w:p>
      <w:pPr>
        <w:spacing w:after="0" w:line="159" w:lineRule="exact"/>
        <w:rPr>
          <w:rFonts w:ascii="Arial" w:cs="Arial" w:eastAsia="Arial" w:hAnsi="Arial"/>
          <w:sz w:val="22"/>
          <w:szCs w:val="22"/>
          <w:color w:val="auto"/>
        </w:rPr>
      </w:pPr>
    </w:p>
    <w:p>
      <w:pPr>
        <w:ind w:right="140" w:firstLine="1305"/>
        <w:spacing w:after="0" w:line="273" w:lineRule="auto"/>
        <w:tabs>
          <w:tab w:leader="none" w:pos="1945"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The Executive’s or the Company’s failure to insist upon strict compliance with any provision hereof or any other provision of this Agreement or the failure to assert any right the Executive or the Company may have hereunder, including, without limitation, the right of the Executive to terminate employment for Good Reason pursuant to Section</w:t>
      </w:r>
    </w:p>
    <w:p>
      <w:pPr>
        <w:spacing w:after="0" w:line="1" w:lineRule="exact"/>
        <w:rPr>
          <w:rFonts w:ascii="Arial" w:cs="Arial" w:eastAsia="Arial" w:hAnsi="Arial"/>
          <w:sz w:val="19"/>
          <w:szCs w:val="19"/>
          <w:color w:val="auto"/>
        </w:rPr>
      </w:pPr>
    </w:p>
    <w:p>
      <w:pPr>
        <w:ind w:right="100"/>
        <w:spacing w:after="0" w:line="256" w:lineRule="auto"/>
        <w:rPr>
          <w:rFonts w:ascii="Arial" w:cs="Arial" w:eastAsia="Arial" w:hAnsi="Arial"/>
          <w:sz w:val="19"/>
          <w:szCs w:val="19"/>
          <w:color w:val="auto"/>
        </w:rPr>
      </w:pPr>
      <w:r>
        <w:rPr>
          <w:rFonts w:ascii="Arial" w:cs="Arial" w:eastAsia="Arial" w:hAnsi="Arial"/>
          <w:sz w:val="21"/>
          <w:szCs w:val="21"/>
          <w:color w:val="auto"/>
        </w:rPr>
        <w:t>1 hereof, or the right of the Company to terminate the Executive’s employment for Cause pursuant to Section 1 hereof shall not be deemed to be a waiver of such provision or right or any other provision or right of this Agreement.</w:t>
      </w:r>
    </w:p>
    <w:p>
      <w:pPr>
        <w:spacing w:after="0" w:line="155" w:lineRule="exact"/>
        <w:rPr>
          <w:rFonts w:ascii="Arial" w:cs="Arial" w:eastAsia="Arial" w:hAnsi="Arial"/>
          <w:sz w:val="19"/>
          <w:szCs w:val="19"/>
          <w:color w:val="auto"/>
        </w:rPr>
      </w:pPr>
    </w:p>
    <w:p>
      <w:pPr>
        <w:ind w:firstLine="1305"/>
        <w:spacing w:after="0" w:line="277" w:lineRule="auto"/>
        <w:tabs>
          <w:tab w:leader="none" w:pos="1945"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Entire Agreement; Exclusive Benefit; Supersession of Prior Agreement</w:t>
      </w:r>
      <w:r>
        <w:rPr>
          <w:rFonts w:ascii="Arial" w:cs="Arial" w:eastAsia="Arial" w:hAnsi="Arial"/>
          <w:sz w:val="19"/>
          <w:szCs w:val="19"/>
          <w:color w:val="auto"/>
        </w:rPr>
        <w:t>. This instrument contains the entire agreement of the Executive, the Company or any predecessor or subsidiary thereof with respect to any severance or termination pay. The Pre-Change in Control Severance Payment, the Post-Change in Control Severance Payment and all other benefits provided hereunder shall be in lieu of any other severance payments to which the Executive is entitled under any other severance plan or program or arrangement sponsored by the Company, as well as pursuant to any individual employment or severance agreement that was entered into by the Executive and the Company, and, upon the Effective Date of this Agreement, all such plans, programs, arrangements and agreements are hereby automatically superseded and terminated.</w:t>
      </w:r>
    </w:p>
    <w:p>
      <w:pPr>
        <w:spacing w:after="0" w:line="152" w:lineRule="exact"/>
        <w:rPr>
          <w:rFonts w:ascii="Arial" w:cs="Arial" w:eastAsia="Arial" w:hAnsi="Arial"/>
          <w:sz w:val="19"/>
          <w:szCs w:val="19"/>
          <w:color w:val="auto"/>
        </w:rPr>
      </w:pPr>
    </w:p>
    <w:p>
      <w:pPr>
        <w:ind w:right="220" w:firstLine="1305"/>
        <w:spacing w:after="0"/>
        <w:tabs>
          <w:tab w:leader="none" w:pos="1945"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No Right of Employment</w:t>
      </w:r>
      <w:r>
        <w:rPr>
          <w:rFonts w:ascii="Arial" w:cs="Arial" w:eastAsia="Arial" w:hAnsi="Arial"/>
          <w:sz w:val="22"/>
          <w:szCs w:val="22"/>
          <w:color w:val="auto"/>
        </w:rPr>
        <w:t>. Nothing in this Agreement shall be construed as giving the Executive any right to be retained in the employ of the Company or shall interfere in any way with the right of the Company to terminate the Executive’s employment at any time, with or without Cause.</w:t>
      </w:r>
    </w:p>
    <w:p>
      <w:pPr>
        <w:spacing w:after="0" w:line="172" w:lineRule="exact"/>
        <w:rPr>
          <w:rFonts w:ascii="Arial" w:cs="Arial" w:eastAsia="Arial" w:hAnsi="Arial"/>
          <w:sz w:val="22"/>
          <w:szCs w:val="22"/>
          <w:color w:val="auto"/>
        </w:rPr>
      </w:pPr>
    </w:p>
    <w:p>
      <w:pPr>
        <w:jc w:val="both"/>
        <w:ind w:right="20" w:firstLine="1305"/>
        <w:spacing w:after="0"/>
        <w:tabs>
          <w:tab w:leader="none" w:pos="1945"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Unfunded Obligation</w:t>
      </w:r>
      <w:r>
        <w:rPr>
          <w:rFonts w:ascii="Arial" w:cs="Arial" w:eastAsia="Arial" w:hAnsi="Arial"/>
          <w:sz w:val="22"/>
          <w:szCs w:val="22"/>
          <w:color w:val="auto"/>
        </w:rPr>
        <w:t>. The obligations under this Agreement shall be unfunded. Benefits payable under this Agreement shall be paid from the general assets of the Company. The Company shall have no obligation to establish any fund or to set aside any assets to provide benefits under this Agreement.</w:t>
      </w:r>
    </w:p>
    <w:p>
      <w:pPr>
        <w:spacing w:after="0" w:line="172" w:lineRule="exact"/>
        <w:rPr>
          <w:rFonts w:ascii="Arial" w:cs="Arial" w:eastAsia="Arial" w:hAnsi="Arial"/>
          <w:sz w:val="22"/>
          <w:szCs w:val="22"/>
          <w:color w:val="auto"/>
        </w:rPr>
      </w:pPr>
    </w:p>
    <w:p>
      <w:pPr>
        <w:ind w:right="100" w:firstLine="1305"/>
        <w:spacing w:after="0" w:line="245" w:lineRule="auto"/>
        <w:tabs>
          <w:tab w:leader="none" w:pos="1945" w:val="left"/>
        </w:tabs>
        <w:numPr>
          <w:ilvl w:val="0"/>
          <w:numId w:val="125"/>
        </w:numPr>
        <w:rPr>
          <w:rFonts w:ascii="Arial" w:cs="Arial" w:eastAsia="Arial" w:hAnsi="Arial"/>
          <w:sz w:val="21"/>
          <w:szCs w:val="21"/>
          <w:color w:val="auto"/>
        </w:rPr>
      </w:pPr>
      <w:r>
        <w:rPr>
          <w:rFonts w:ascii="Arial" w:cs="Arial" w:eastAsia="Arial" w:hAnsi="Arial"/>
          <w:sz w:val="21"/>
          <w:szCs w:val="21"/>
          <w:u w:val="single" w:color="auto"/>
          <w:color w:val="auto"/>
        </w:rPr>
        <w:t>Termination upon Sale of Assets of Subsidiary</w:t>
      </w:r>
      <w:r>
        <w:rPr>
          <w:rFonts w:ascii="Arial" w:cs="Arial" w:eastAsia="Arial" w:hAnsi="Arial"/>
          <w:sz w:val="21"/>
          <w:szCs w:val="21"/>
          <w:color w:val="auto"/>
        </w:rPr>
        <w:t>. Notwithstanding anything contained herein, this Agreement shall automatically terminate and be of no further force and effect and no benefits shall be payable hereunder in the event that (i) the Executive is employed by a direct or indirect subsidiary of Sempra Energy, and (ii) an Asset Sale (as defined in Section 16(e)) occurs (other than such a sale or disposition which is part of a transaction or series of transactions which would result in a Change in Control), and (iii) as a result of such Asset Sale, the Executive is offered employment by the Asset Purchaser in an executive position with reasonably comparable status, compensation, benefits and severance agreement (including the assumption of this Agreement in accordance with Section 16(e)) and which is consistent with the Executive’s experience and education, but the Executive declines to accept such offer and the Executive fails to become employed by the Asset Purchaser on the date of the Asset Sale.</w:t>
      </w:r>
    </w:p>
    <w:p>
      <w:pPr>
        <w:spacing w:after="0" w:line="185" w:lineRule="exact"/>
        <w:rPr>
          <w:rFonts w:ascii="Arial" w:cs="Arial" w:eastAsia="Arial" w:hAnsi="Arial"/>
          <w:sz w:val="21"/>
          <w:szCs w:val="21"/>
          <w:color w:val="auto"/>
        </w:rPr>
      </w:pPr>
    </w:p>
    <w:p>
      <w:pPr>
        <w:ind w:right="60" w:firstLine="1305"/>
        <w:spacing w:after="0" w:line="275" w:lineRule="auto"/>
        <w:tabs>
          <w:tab w:leader="none" w:pos="1945"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xml:space="preserve">. The term of this Agreement shall commence on the Effective Date and shall continue until the third (3rd) anniversary of the Effective Date; </w:t>
      </w:r>
      <w:r>
        <w:rPr>
          <w:rFonts w:ascii="Arial" w:cs="Arial" w:eastAsia="Arial" w:hAnsi="Arial"/>
          <w:sz w:val="19"/>
          <w:szCs w:val="19"/>
          <w:i w:val="1"/>
          <w:iCs w:val="1"/>
          <w:color w:val="auto"/>
        </w:rPr>
        <w:t>provided, however</w:t>
      </w:r>
      <w:r>
        <w:rPr>
          <w:rFonts w:ascii="Arial" w:cs="Arial" w:eastAsia="Arial" w:hAnsi="Arial"/>
          <w:sz w:val="19"/>
          <w:szCs w:val="19"/>
          <w:color w:val="auto"/>
        </w:rPr>
        <w:t>, that commencing on the second (2nd) anniversary of the Effective Date (and each anniversary of the Effective Date thereafter), the term of this Agreement shall automatically be extended for one (1) additional year, unless at least ninety (90) days prior to such date, the Company or the Executive shall give written notice to the other party that it or he, as the case may be, does not wish to so extend this Agreement. Notwithstanding the foregoing, if the Company gives such written notice to the Executive less than two (2) years after a Change in Control, the term of this Agreement shall be automatically extended until the later of (A) the date that is one (1) year after the anniversary of the Effective Date that follows such written notice or (B) the second (2nd) anniversary of the Change in Control Date.</w:t>
      </w:r>
    </w:p>
    <w:p>
      <w:pPr>
        <w:spacing w:after="0" w:line="144" w:lineRule="exact"/>
        <w:rPr>
          <w:rFonts w:ascii="Arial" w:cs="Arial" w:eastAsia="Arial" w:hAnsi="Arial"/>
          <w:sz w:val="19"/>
          <w:szCs w:val="19"/>
          <w:color w:val="auto"/>
        </w:rPr>
      </w:pPr>
    </w:p>
    <w:p>
      <w:pPr>
        <w:ind w:right="40" w:firstLine="1305"/>
        <w:spacing w:after="0" w:line="251" w:lineRule="auto"/>
        <w:tabs>
          <w:tab w:leader="none" w:pos="1945"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ectPr>
          <w:pgSz w:w="11900" w:h="16838" w:orient="portrait"/>
          <w:cols w:equalWidth="0" w:num="1">
            <w:col w:w="11420"/>
          </w:cols>
          <w:pgMar w:left="240" w:top="118" w:right="239" w:bottom="0" w:gutter="0" w:footer="0" w:header="0"/>
        </w:sectPr>
      </w:pPr>
    </w:p>
    <w:bookmarkStart w:id="87" w:name="page88"/>
    <w:bookmarkEnd w:id="87"/>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remainder of page intentionally left blank</w:t>
      </w:r>
      <w:r>
        <w:rPr>
          <w:rFonts w:ascii="Arial" w:cs="Arial" w:eastAsia="Arial" w:hAnsi="Arial"/>
          <w:sz w:val="19"/>
          <w:szCs w:val="19"/>
          <w:color w:val="auto"/>
        </w:rPr>
        <w:t>]</w:t>
      </w:r>
    </w:p>
    <w:p>
      <w:pPr>
        <w:sectPr>
          <w:pgSz w:w="11900" w:h="16838" w:orient="portrait"/>
          <w:cols w:equalWidth="0" w:num="1">
            <w:col w:w="9019"/>
          </w:cols>
          <w:pgMar w:left="1440" w:top="118" w:right="1440" w:bottom="1440" w:gutter="0" w:footer="0" w:header="0"/>
        </w:sectPr>
      </w:pPr>
    </w:p>
    <w:bookmarkStart w:id="88" w:name="page89"/>
    <w:bookmarkEnd w:id="88"/>
    <w:p>
      <w:pPr>
        <w:ind w:firstLine="648"/>
        <w:spacing w:after="0" w:line="251" w:lineRule="auto"/>
        <w:rPr>
          <w:sz w:val="20"/>
          <w:szCs w:val="20"/>
          <w:color w:val="auto"/>
        </w:rPr>
      </w:pPr>
      <w:r>
        <w:rPr>
          <w:rFonts w:ascii="Arial" w:cs="Arial" w:eastAsia="Arial" w:hAnsi="Arial"/>
          <w:sz w:val="22"/>
          <w:szCs w:val="22"/>
          <w:color w:val="auto"/>
        </w:rPr>
        <w:t>IN WITNESS WHEREOF, the Executive and, pursuant to due authorization from its Board of Directors, the Company have caused this Agreement to be executed as of the day and year first above written.</w:t>
      </w:r>
    </w:p>
    <w:p>
      <w:pPr>
        <w:spacing w:after="0" w:line="1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SEMPRA ENERGY</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 Joyce Rowland</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Senior Vice President, Human Resources, Diversity and Inclusion</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Michael R. Niggli</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President and Chief Operating Officer, San Diego Gas &amp; Electric</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ectPr>
          <w:pgSz w:w="11900" w:h="16838" w:orient="portrait"/>
          <w:cols w:equalWidth="0" w:num="1">
            <w:col w:w="10980"/>
          </w:cols>
          <w:pgMar w:left="240" w:top="118" w:right="679" w:bottom="1440" w:gutter="0" w:footer="0" w:header="0"/>
        </w:sectPr>
      </w:pPr>
    </w:p>
    <w:bookmarkStart w:id="89" w:name="page90"/>
    <w:bookmarkEnd w:id="89"/>
    <w:p>
      <w:pPr>
        <w:jc w:val="right"/>
        <w:spacing w:after="0"/>
        <w:rPr>
          <w:sz w:val="20"/>
          <w:szCs w:val="20"/>
          <w:color w:val="auto"/>
        </w:rPr>
      </w:pPr>
      <w:r>
        <w:rPr>
          <w:rFonts w:ascii="Arial" w:cs="Arial" w:eastAsia="Arial" w:hAnsi="Arial"/>
          <w:sz w:val="22"/>
          <w:szCs w:val="22"/>
          <w:u w:val="single" w:color="auto"/>
          <w:color w:val="auto"/>
        </w:rPr>
        <w:t>EXHIBIT A</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RELEASE</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GENERAL RELEASE (the “</w:t>
      </w:r>
      <w:r>
        <w:rPr>
          <w:rFonts w:ascii="Arial" w:cs="Arial" w:eastAsia="Arial" w:hAnsi="Arial"/>
          <w:sz w:val="22"/>
          <w:szCs w:val="22"/>
          <w:u w:val="single" w:color="auto"/>
          <w:color w:val="auto"/>
        </w:rPr>
        <w:t>Agreement</w:t>
      </w:r>
      <w:r>
        <w:rPr>
          <w:rFonts w:ascii="Arial" w:cs="Arial" w:eastAsia="Arial" w:hAnsi="Arial"/>
          <w:sz w:val="22"/>
          <w:szCs w:val="22"/>
          <w:color w:val="auto"/>
        </w:rPr>
        <w:t>”), dated ___________, is made by and between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 a California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___________________________ (“</w:t>
      </w:r>
      <w:r>
        <w:rPr>
          <w:rFonts w:ascii="Arial" w:cs="Arial" w:eastAsia="Arial" w:hAnsi="Arial"/>
          <w:sz w:val="19"/>
          <w:szCs w:val="19"/>
          <w:u w:val="single" w:color="auto"/>
          <w:color w:val="auto"/>
        </w:rPr>
        <w:t>you</w:t>
      </w:r>
      <w:r>
        <w:rPr>
          <w:rFonts w:ascii="Arial" w:cs="Arial" w:eastAsia="Arial" w:hAnsi="Arial"/>
          <w:sz w:val="19"/>
          <w:szCs w:val="19"/>
          <w:color w:val="auto"/>
        </w:rPr>
        <w:t>” or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your</w:t>
      </w:r>
      <w:r>
        <w:rPr>
          <w:rFonts w:ascii="Arial" w:cs="Arial" w:eastAsia="Arial" w:hAnsi="Arial"/>
          <w:sz w:val="22"/>
          <w:szCs w:val="22"/>
          <w:color w:val="auto"/>
        </w:rPr>
        <w: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you and the Company have previously entered into that certain Severance Pay Agreement dated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____________, 20___ (the “</w:t>
      </w:r>
      <w:r>
        <w:rPr>
          <w:rFonts w:ascii="Arial" w:cs="Arial" w:eastAsia="Arial" w:hAnsi="Arial"/>
          <w:sz w:val="22"/>
          <w:szCs w:val="22"/>
          <w:u w:val="single" w:color="auto"/>
          <w:color w:val="auto"/>
        </w:rPr>
        <w:t>Severance Pay Agreement</w:t>
      </w:r>
      <w:r>
        <w:rPr>
          <w:rFonts w:ascii="Arial" w:cs="Arial" w:eastAsia="Arial" w:hAnsi="Arial"/>
          <w:sz w:val="22"/>
          <w:szCs w:val="22"/>
          <w:color w:val="auto"/>
        </w:rPr>
        <w:t>”); and</w:t>
      </w:r>
    </w:p>
    <w:p>
      <w:pPr>
        <w:spacing w:after="0" w:line="188" w:lineRule="exact"/>
        <w:rPr>
          <w:sz w:val="20"/>
          <w:szCs w:val="20"/>
          <w:color w:val="auto"/>
        </w:rPr>
      </w:pPr>
    </w:p>
    <w:p>
      <w:pPr>
        <w:ind w:right="60" w:firstLine="1297"/>
        <w:spacing w:after="0" w:line="297" w:lineRule="auto"/>
        <w:rPr>
          <w:sz w:val="20"/>
          <w:szCs w:val="20"/>
          <w:color w:val="auto"/>
        </w:rPr>
      </w:pPr>
      <w:r>
        <w:rPr>
          <w:rFonts w:ascii="Arial" w:cs="Arial" w:eastAsia="Arial" w:hAnsi="Arial"/>
          <w:sz w:val="19"/>
          <w:szCs w:val="19"/>
          <w:color w:val="auto"/>
        </w:rPr>
        <w:t>WHEREAS, your right to receive certain severance pay and benefits pursuant to the terms of Section 4 or Section 5, and Section 14 of the Severance Pay Agreement, as applicable, are subject to and conditioned upon your execution and non-revocation of a general release of claims by you against the Company and its subsidiaries and affiliates.</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NOW, THEREFORE, in consideration of the premises and the mutual covenants herein contained, you and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Company hereby agree as follows:</w:t>
      </w:r>
    </w:p>
    <w:p>
      <w:pPr>
        <w:spacing w:after="0" w:line="188" w:lineRule="exact"/>
        <w:rPr>
          <w:sz w:val="20"/>
          <w:szCs w:val="20"/>
          <w:color w:val="auto"/>
        </w:rPr>
      </w:pPr>
    </w:p>
    <w:p>
      <w:pPr>
        <w:ind w:right="480" w:firstLine="1297"/>
        <w:spacing w:after="0" w:line="251" w:lineRule="auto"/>
        <w:rPr>
          <w:sz w:val="20"/>
          <w:szCs w:val="20"/>
          <w:color w:val="auto"/>
        </w:rPr>
      </w:pPr>
      <w:r>
        <w:rPr>
          <w:rFonts w:ascii="Arial" w:cs="Arial" w:eastAsia="Arial" w:hAnsi="Arial"/>
          <w:sz w:val="22"/>
          <w:szCs w:val="22"/>
          <w:color w:val="auto"/>
        </w:rPr>
        <w:t>ONE: Your signing of this Agreement confirms that your employment with the Company shall terminate at the close of business on ____________, or earlier upon our mutual agreement.</w:t>
      </w:r>
    </w:p>
    <w:p>
      <w:pPr>
        <w:spacing w:after="0" w:line="173" w:lineRule="exact"/>
        <w:rPr>
          <w:sz w:val="20"/>
          <w:szCs w:val="20"/>
          <w:color w:val="auto"/>
        </w:rPr>
      </w:pPr>
    </w:p>
    <w:p>
      <w:pPr>
        <w:jc w:val="both"/>
        <w:ind w:right="100" w:firstLine="1297"/>
        <w:spacing w:after="0" w:line="287" w:lineRule="auto"/>
        <w:rPr>
          <w:sz w:val="20"/>
          <w:szCs w:val="20"/>
          <w:color w:val="auto"/>
        </w:rPr>
      </w:pPr>
      <w:r>
        <w:rPr>
          <w:rFonts w:ascii="Arial" w:cs="Arial" w:eastAsia="Arial" w:hAnsi="Arial"/>
          <w:sz w:val="19"/>
          <w:szCs w:val="19"/>
          <w:color w:val="auto"/>
        </w:rPr>
        <w:t>TWO: As a material inducement for the payment of the severance and benefit under the Severance Pay Agreement, and except as otherwise provided in this Agreement, you and the Company hereby irrevocably and unconditionally release, acquit and forever discharge the other from any and all Claims either may have against the other. For purposes of this Agreement and the preceding sentence, the words “Releasee” or “Releasees” and “Claim” or “Claims” shall have the meanings set forth below:</w:t>
      </w:r>
    </w:p>
    <w:p>
      <w:pPr>
        <w:spacing w:after="0" w:line="130" w:lineRule="exact"/>
        <w:rPr>
          <w:sz w:val="20"/>
          <w:szCs w:val="20"/>
          <w:color w:val="auto"/>
        </w:rPr>
      </w:pPr>
    </w:p>
    <w:p>
      <w:pPr>
        <w:ind w:right="20" w:firstLine="1305"/>
        <w:spacing w:after="0" w:line="236" w:lineRule="auto"/>
        <w:tabs>
          <w:tab w:leader="none" w:pos="1945"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The words “</w:t>
      </w:r>
      <w:r>
        <w:rPr>
          <w:rFonts w:ascii="Arial" w:cs="Arial" w:eastAsia="Arial" w:hAnsi="Arial"/>
          <w:sz w:val="22"/>
          <w:szCs w:val="22"/>
          <w:u w:val="single" w:color="auto"/>
          <w:color w:val="auto"/>
        </w:rPr>
        <w:t>Releasee</w:t>
      </w:r>
      <w:r>
        <w:rPr>
          <w:rFonts w:ascii="Arial" w:cs="Arial" w:eastAsia="Arial" w:hAnsi="Arial"/>
          <w:sz w:val="22"/>
          <w:szCs w:val="22"/>
          <w:color w:val="auto"/>
        </w:rPr>
        <w:t>” or “</w:t>
      </w:r>
      <w:r>
        <w:rPr>
          <w:rFonts w:ascii="Arial" w:cs="Arial" w:eastAsia="Arial" w:hAnsi="Arial"/>
          <w:sz w:val="22"/>
          <w:szCs w:val="22"/>
          <w:u w:val="single" w:color="auto"/>
          <w:color w:val="auto"/>
        </w:rPr>
        <w:t>Releasees</w:t>
      </w:r>
      <w:r>
        <w:rPr>
          <w:rFonts w:ascii="Arial" w:cs="Arial" w:eastAsia="Arial" w:hAnsi="Arial"/>
          <w:sz w:val="22"/>
          <w:szCs w:val="22"/>
          <w:color w:val="auto"/>
        </w:rPr>
        <w:t>” shall refer to you and to the Company and each of the Company’s owners, stockholders, predecessors, successors, assigns, agents, directors, officers, employees, representatives, attorneys, advisors, parent companies, divisions, subsidiaries, affiliates (and agents, directors, officers, employees, representatives, attorneys and advisors of such parent companies, divisions, subsidiaries and affiliates) and all persons acting by, through, under or in concert with any of them.</w:t>
      </w:r>
    </w:p>
    <w:p>
      <w:pPr>
        <w:spacing w:after="0" w:line="187" w:lineRule="exact"/>
        <w:rPr>
          <w:rFonts w:ascii="Arial" w:cs="Arial" w:eastAsia="Arial" w:hAnsi="Arial"/>
          <w:sz w:val="22"/>
          <w:szCs w:val="22"/>
          <w:color w:val="auto"/>
        </w:rPr>
      </w:pPr>
    </w:p>
    <w:p>
      <w:pPr>
        <w:ind w:right="20" w:firstLine="1305"/>
        <w:spacing w:after="0" w:line="271" w:lineRule="auto"/>
        <w:tabs>
          <w:tab w:leader="none" w:pos="1945" w:val="left"/>
        </w:tabs>
        <w:numPr>
          <w:ilvl w:val="0"/>
          <w:numId w:val="126"/>
        </w:numPr>
        <w:rPr>
          <w:rFonts w:ascii="Arial" w:cs="Arial" w:eastAsia="Arial" w:hAnsi="Arial"/>
          <w:sz w:val="19"/>
          <w:szCs w:val="19"/>
          <w:color w:val="auto"/>
        </w:rPr>
      </w:pPr>
      <w:r>
        <w:rPr>
          <w:rFonts w:ascii="Arial" w:cs="Arial" w:eastAsia="Arial" w:hAnsi="Arial"/>
          <w:sz w:val="19"/>
          <w:szCs w:val="19"/>
          <w:color w:val="auto"/>
        </w:rPr>
        <w:t>The words “</w:t>
      </w:r>
      <w:r>
        <w:rPr>
          <w:rFonts w:ascii="Arial" w:cs="Arial" w:eastAsia="Arial" w:hAnsi="Arial"/>
          <w:sz w:val="19"/>
          <w:szCs w:val="19"/>
          <w:u w:val="single" w:color="auto"/>
          <w:color w:val="auto"/>
        </w:rPr>
        <w:t>Claim</w:t>
      </w:r>
      <w:r>
        <w:rPr>
          <w:rFonts w:ascii="Arial" w:cs="Arial" w:eastAsia="Arial" w:hAnsi="Arial"/>
          <w:sz w:val="19"/>
          <w:szCs w:val="19"/>
          <w:color w:val="auto"/>
        </w:rPr>
        <w:t>” or “</w:t>
      </w:r>
      <w:r>
        <w:rPr>
          <w:rFonts w:ascii="Arial" w:cs="Arial" w:eastAsia="Arial" w:hAnsi="Arial"/>
          <w:sz w:val="19"/>
          <w:szCs w:val="19"/>
          <w:u w:val="single" w:color="auto"/>
          <w:color w:val="auto"/>
        </w:rPr>
        <w:t>Claims</w:t>
      </w:r>
      <w:r>
        <w:rPr>
          <w:rFonts w:ascii="Arial" w:cs="Arial" w:eastAsia="Arial" w:hAnsi="Arial"/>
          <w:sz w:val="19"/>
          <w:szCs w:val="19"/>
          <w:color w:val="auto"/>
        </w:rPr>
        <w:t xml:space="preserve">” shall refer to any charges, complaints, claims, liabilities, obligations, promises, agreements, controversies, damages, actions, causes of action, suits, rights, demands, costs, losses, debts and expenses (including attorneys’ fees and costs actually incurred) of any nature whatsoever, known or unknown, suspected or unsuspected, which you or the Company now, in the past or, in the future may have, own or hold against any of the Releasees;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word “Claim” or “Claims” shall not refer to any charges, complaints, claims, liabilities, obligations, promises,</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agreements, controversies, damages, actions, causes of action, suits, rights, demands, costs, losses, debts and expenses (including attorneys’ fees and costs actually incurred) arising under [</w:t>
      </w:r>
      <w:r>
        <w:rPr>
          <w:rFonts w:ascii="Arial" w:cs="Arial" w:eastAsia="Arial" w:hAnsi="Arial"/>
          <w:sz w:val="19"/>
          <w:szCs w:val="19"/>
          <w:i w:val="1"/>
          <w:iCs w:val="1"/>
          <w:color w:val="auto"/>
        </w:rPr>
        <w:t>identify severance, employee benefits, stock option, indemnification and</w:t>
      </w:r>
      <w:r>
        <w:rPr>
          <w:rFonts w:ascii="Arial" w:cs="Arial" w:eastAsia="Arial" w:hAnsi="Arial"/>
          <w:sz w:val="19"/>
          <w:szCs w:val="19"/>
          <w:color w:val="auto"/>
        </w:rPr>
        <w:t xml:space="preserve"> </w:t>
      </w:r>
      <w:r>
        <w:rPr>
          <w:rFonts w:ascii="Arial" w:cs="Arial" w:eastAsia="Arial" w:hAnsi="Arial"/>
          <w:sz w:val="19"/>
          <w:szCs w:val="19"/>
          <w:i w:val="1"/>
          <w:iCs w:val="1"/>
          <w:color w:val="auto"/>
        </w:rPr>
        <w:t>D&amp;O and other agreements containing duties, rights obligations etc. of either party that are to remain operative</w:t>
      </w:r>
      <w:r>
        <w:rPr>
          <w:rFonts w:ascii="Arial" w:cs="Arial" w:eastAsia="Arial" w:hAnsi="Arial"/>
          <w:sz w:val="19"/>
          <w:szCs w:val="19"/>
          <w:color w:val="auto"/>
        </w:rPr>
        <w:t>]. Claims released</w:t>
      </w:r>
      <w:r>
        <w:rPr>
          <w:rFonts w:ascii="Arial" w:cs="Arial" w:eastAsia="Arial" w:hAnsi="Arial"/>
          <w:sz w:val="19"/>
          <w:szCs w:val="19"/>
          <w:i w:val="1"/>
          <w:iCs w:val="1"/>
          <w:color w:val="auto"/>
        </w:rPr>
        <w:t xml:space="preserve"> </w:t>
      </w:r>
      <w:r>
        <w:rPr>
          <w:rFonts w:ascii="Arial" w:cs="Arial" w:eastAsia="Arial" w:hAnsi="Arial"/>
          <w:sz w:val="19"/>
          <w:szCs w:val="19"/>
          <w:color w:val="auto"/>
        </w:rPr>
        <w:t>pursuant to this Agreement by you and the Company include, but are not limited to, rights arising out of alleged violations of any contracts, express or implied, any tort, claim, any claim that you failed to perform or negligently performed or breached your duties during employment at the Company, any legal restrictions on the Company’s right to terminate employment relationships; and any federal, state or other governmental statute, regulation, or ordinance, governing the employment relationship including, without limitation, all state and federal laws and regulations prohibiting discrimination based on protected categories, and all state and federal laws and regulations prohibiting retaliation against employees for engaging in protected activity or legal off-duty conduct. This release does not extend to claims for workers’ compensation or other claims which by law may not be waived or released by this Agreement.</w:t>
      </w:r>
    </w:p>
    <w:p>
      <w:pPr>
        <w:spacing w:after="0" w:line="200" w:lineRule="exact"/>
        <w:rPr>
          <w:sz w:val="20"/>
          <w:szCs w:val="20"/>
          <w:color w:val="auto"/>
        </w:rPr>
      </w:pPr>
    </w:p>
    <w:p>
      <w:pPr>
        <w:spacing w:after="0" w:line="205" w:lineRule="exact"/>
        <w:rPr>
          <w:sz w:val="20"/>
          <w:szCs w:val="20"/>
          <w:color w:val="auto"/>
        </w:rPr>
      </w:pPr>
    </w:p>
    <w:p>
      <w:pPr>
        <w:ind w:right="20" w:firstLine="1297"/>
        <w:spacing w:after="0" w:line="235" w:lineRule="auto"/>
        <w:rPr>
          <w:sz w:val="20"/>
          <w:szCs w:val="20"/>
          <w:color w:val="auto"/>
        </w:rPr>
      </w:pPr>
      <w:r>
        <w:rPr>
          <w:rFonts w:ascii="Arial" w:cs="Arial" w:eastAsia="Arial" w:hAnsi="Arial"/>
          <w:sz w:val="22"/>
          <w:szCs w:val="22"/>
          <w:color w:val="auto"/>
        </w:rPr>
        <w:t>THREE: You and the Company expressly waive and relinquish all rights and benefits afforded by any statute (including but not limited to Section 1542 of the Civil Code of the State of California and analogous laws of other states) which limits the effect of a release with respect to unknown claims. You and the Company do so understanding and acknowledging the significance of the release of unknown claims and the waiver of statutory protection against a release of unknown claims (including but not limited to Section 1542 and analogous laws of other states). Section 1542 of the Civil Code of the State of California states as follows:</w:t>
      </w:r>
    </w:p>
    <w:p>
      <w:pPr>
        <w:spacing w:after="0" w:line="188" w:lineRule="exact"/>
        <w:rPr>
          <w:sz w:val="20"/>
          <w:szCs w:val="20"/>
          <w:color w:val="auto"/>
        </w:rPr>
      </w:pPr>
    </w:p>
    <w:p>
      <w:pPr>
        <w:ind w:left="1300" w:right="1340"/>
        <w:spacing w:after="0" w:line="238" w:lineRule="auto"/>
        <w:rPr>
          <w:sz w:val="20"/>
          <w:szCs w:val="20"/>
          <w:color w:val="auto"/>
        </w:rPr>
      </w:pPr>
      <w:r>
        <w:rPr>
          <w:rFonts w:ascii="Arial" w:cs="Arial" w:eastAsia="Arial" w:hAnsi="Arial"/>
          <w:sz w:val="22"/>
          <w:szCs w:val="22"/>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85" w:lineRule="exact"/>
        <w:rPr>
          <w:sz w:val="20"/>
          <w:szCs w:val="20"/>
          <w:color w:val="auto"/>
        </w:rPr>
      </w:pPr>
    </w:p>
    <w:p>
      <w:pPr>
        <w:ind w:right="220"/>
        <w:spacing w:after="0" w:line="236" w:lineRule="auto"/>
        <w:rPr>
          <w:sz w:val="20"/>
          <w:szCs w:val="20"/>
          <w:color w:val="auto"/>
        </w:rPr>
      </w:pPr>
      <w:r>
        <w:rPr>
          <w:rFonts w:ascii="Arial" w:cs="Arial" w:eastAsia="Arial" w:hAnsi="Arial"/>
          <w:sz w:val="22"/>
          <w:szCs w:val="22"/>
          <w:color w:val="auto"/>
        </w:rPr>
        <w:t>Thus, notwithstanding the provisions of Section 1542 or of any similar statute, and for the purpose of implementing a full and complete release and discharge of the Releasees, you and the Company expressly acknowledge that this Agreement is intended to include in its effect, without limitation, all Claims which are known and all Claims which you or the Company do not know or suspect to exist in your or the Company’s favor at the time of execution of this Agreement and that this Agreement contemplates the extinguishment of all such Claims.</w:t>
      </w:r>
    </w:p>
    <w:p>
      <w:pPr>
        <w:sectPr>
          <w:pgSz w:w="11900" w:h="16838" w:orient="portrait"/>
          <w:cols w:equalWidth="0" w:num="1">
            <w:col w:w="11420"/>
          </w:cols>
          <w:pgMar w:left="240" w:top="604" w:right="239" w:bottom="0" w:gutter="0" w:footer="0" w:header="0"/>
        </w:sectPr>
      </w:pPr>
    </w:p>
    <w:bookmarkStart w:id="90" w:name="page91"/>
    <w:bookmarkEnd w:id="90"/>
    <w:p>
      <w:pPr>
        <w:spacing w:after="0" w:line="13" w:lineRule="exact"/>
        <w:rPr>
          <w:sz w:val="20"/>
          <w:szCs w:val="20"/>
          <w:color w:val="auto"/>
        </w:rPr>
      </w:pPr>
    </w:p>
    <w:p>
      <w:pPr>
        <w:ind w:right="20" w:firstLine="1297"/>
        <w:spacing w:after="0" w:line="238" w:lineRule="auto"/>
        <w:rPr>
          <w:sz w:val="20"/>
          <w:szCs w:val="20"/>
          <w:color w:val="auto"/>
        </w:rPr>
      </w:pPr>
      <w:r>
        <w:rPr>
          <w:rFonts w:ascii="Arial" w:cs="Arial" w:eastAsia="Arial" w:hAnsi="Arial"/>
          <w:sz w:val="22"/>
          <w:szCs w:val="22"/>
          <w:color w:val="auto"/>
        </w:rPr>
        <w:t>FOUR: The parties acknowledge that they might hereafter discover facts different from, or in addition to, those they now know or believe to be true with respect to a Claim or Claims released herein, and they expressly agree to assume the risk of possible discovery of additional or different facts, and agree that this Agreement shall be and remain effective, in all respects, regardless of such additional or different discovered facts.</w:t>
      </w:r>
    </w:p>
    <w:p>
      <w:pPr>
        <w:spacing w:after="0" w:line="185" w:lineRule="exact"/>
        <w:rPr>
          <w:sz w:val="20"/>
          <w:szCs w:val="20"/>
          <w:color w:val="auto"/>
        </w:rPr>
      </w:pPr>
    </w:p>
    <w:p>
      <w:pPr>
        <w:ind w:right="20" w:firstLine="1297"/>
        <w:spacing w:after="0" w:line="249" w:lineRule="auto"/>
        <w:rPr>
          <w:sz w:val="20"/>
          <w:szCs w:val="20"/>
          <w:color w:val="auto"/>
        </w:rPr>
      </w:pPr>
      <w:r>
        <w:rPr>
          <w:rFonts w:ascii="Arial" w:cs="Arial" w:eastAsia="Arial" w:hAnsi="Arial"/>
          <w:sz w:val="21"/>
          <w:szCs w:val="21"/>
          <w:color w:val="auto"/>
        </w:rPr>
        <w:t>FIVE: You hereby represent and acknowledge that you have not filed any Claim of any kind against the Company or others released in this Agreement. You further hereby expressly agree never to initiate against the Company or others released in this Agreement any administrative proceeding, lawsuit or any other legal or equitable proceeding of any kind asserting any Claims that are released in this Agreement. You agree that you will not be entitled to any monetary recovery that may result from any agency action against the Company related to the Claims released by this Agreement.</w:t>
      </w:r>
    </w:p>
    <w:p>
      <w:pPr>
        <w:spacing w:after="0" w:line="179" w:lineRule="exact"/>
        <w:rPr>
          <w:sz w:val="20"/>
          <w:szCs w:val="20"/>
          <w:color w:val="auto"/>
        </w:rPr>
      </w:pPr>
    </w:p>
    <w:p>
      <w:pPr>
        <w:ind w:right="120" w:firstLine="1297"/>
        <w:spacing w:after="0" w:line="238" w:lineRule="auto"/>
        <w:rPr>
          <w:sz w:val="20"/>
          <w:szCs w:val="20"/>
          <w:color w:val="auto"/>
        </w:rPr>
      </w:pPr>
      <w:r>
        <w:rPr>
          <w:rFonts w:ascii="Arial" w:cs="Arial" w:eastAsia="Arial" w:hAnsi="Arial"/>
          <w:sz w:val="22"/>
          <w:szCs w:val="22"/>
          <w:color w:val="auto"/>
        </w:rPr>
        <w:t>The Company hereby represents and acknowledges that it has not filed any Claim of any kind against you or others released in this Agreement. The Company further hereby expressly agrees never to initiate against you or others released in this Agreement any administrative proceeding, lawsuit or any other legal or equitable proceeding of any kind asserting any Claims that are released in this Agreement.</w:t>
      </w:r>
    </w:p>
    <w:p>
      <w:pPr>
        <w:spacing w:after="0" w:line="185" w:lineRule="exact"/>
        <w:rPr>
          <w:sz w:val="20"/>
          <w:szCs w:val="20"/>
          <w:color w:val="auto"/>
        </w:rPr>
      </w:pPr>
    </w:p>
    <w:p>
      <w:pPr>
        <w:ind w:right="400" w:firstLine="1297"/>
        <w:spacing w:after="0" w:line="251" w:lineRule="auto"/>
        <w:rPr>
          <w:sz w:val="20"/>
          <w:szCs w:val="20"/>
          <w:color w:val="auto"/>
        </w:rPr>
      </w:pPr>
      <w:r>
        <w:rPr>
          <w:rFonts w:ascii="Arial" w:cs="Arial" w:eastAsia="Arial" w:hAnsi="Arial"/>
          <w:sz w:val="22"/>
          <w:szCs w:val="22"/>
          <w:color w:val="auto"/>
        </w:rPr>
        <w:t>SIX: You hereby represent and agree that you have not assigned or transferred, or attempted to have assigned or transfer, to any person or entity, any of the Claims that you are releasing in this Agreement.</w:t>
      </w:r>
    </w:p>
    <w:p>
      <w:pPr>
        <w:spacing w:after="0" w:line="173" w:lineRule="exact"/>
        <w:rPr>
          <w:sz w:val="20"/>
          <w:szCs w:val="20"/>
          <w:color w:val="auto"/>
        </w:rPr>
      </w:pPr>
    </w:p>
    <w:p>
      <w:pPr>
        <w:ind w:right="180" w:firstLine="1297"/>
        <w:spacing w:after="0" w:line="251" w:lineRule="auto"/>
        <w:rPr>
          <w:sz w:val="20"/>
          <w:szCs w:val="20"/>
          <w:color w:val="auto"/>
        </w:rPr>
      </w:pPr>
      <w:r>
        <w:rPr>
          <w:rFonts w:ascii="Arial" w:cs="Arial" w:eastAsia="Arial" w:hAnsi="Arial"/>
          <w:sz w:val="22"/>
          <w:szCs w:val="22"/>
          <w:color w:val="auto"/>
        </w:rPr>
        <w:t>The Company hereby represents and agrees that it has not assigned or transferred, or attempted to have assigned or transfer, to any person or entity, any of the Claims that it is releasing in this Agreement.</w:t>
      </w:r>
    </w:p>
    <w:p>
      <w:pPr>
        <w:spacing w:after="0" w:line="173" w:lineRule="exact"/>
        <w:rPr>
          <w:sz w:val="20"/>
          <w:szCs w:val="20"/>
          <w:color w:val="auto"/>
        </w:rPr>
      </w:pPr>
    </w:p>
    <w:p>
      <w:pPr>
        <w:ind w:right="400" w:firstLine="1297"/>
        <w:spacing w:after="0" w:line="238" w:lineRule="auto"/>
        <w:rPr>
          <w:sz w:val="20"/>
          <w:szCs w:val="20"/>
          <w:color w:val="auto"/>
        </w:rPr>
      </w:pPr>
      <w:r>
        <w:rPr>
          <w:rFonts w:ascii="Arial" w:cs="Arial" w:eastAsia="Arial" w:hAnsi="Arial"/>
          <w:sz w:val="22"/>
          <w:szCs w:val="22"/>
          <w:color w:val="auto"/>
        </w:rPr>
        <w:t>SEVEN: As a further material inducement to the Company to enter into this Agreement, you hereby agree to indemnify and hold each of the Releasees harmless from all loss, costs, damages, or expenses, including without limitation, attorneys’ fees incurred by the Releasees, arising out of any breach of this Agreement by you or the fact that any representation made in this Agreement by you was false when made.</w:t>
      </w:r>
    </w:p>
    <w:p>
      <w:pPr>
        <w:spacing w:after="0" w:line="185" w:lineRule="exact"/>
        <w:rPr>
          <w:sz w:val="20"/>
          <w:szCs w:val="20"/>
          <w:color w:val="auto"/>
        </w:rPr>
      </w:pPr>
    </w:p>
    <w:p>
      <w:pPr>
        <w:ind w:right="140" w:firstLine="1297"/>
        <w:spacing w:after="0" w:line="238" w:lineRule="auto"/>
        <w:rPr>
          <w:sz w:val="20"/>
          <w:szCs w:val="20"/>
          <w:color w:val="auto"/>
        </w:rPr>
      </w:pPr>
      <w:r>
        <w:rPr>
          <w:rFonts w:ascii="Arial" w:cs="Arial" w:eastAsia="Arial" w:hAnsi="Arial"/>
          <w:sz w:val="22"/>
          <w:szCs w:val="22"/>
          <w:color w:val="auto"/>
        </w:rPr>
        <w:t>As a further material inducement to you to enter into this Agreement, the Company hereby agrees to indemnify and hold each of the Releasees harmless from all loss, costs, damages, or expenses, including without limitation, attorneys’ fees incurred by the Releasees, arising out of any breach of this Agreement by it or the fact that any representation made in this Agreement by it was knowingly false when made.</w:t>
      </w:r>
    </w:p>
    <w:p>
      <w:pPr>
        <w:spacing w:after="0" w:line="185" w:lineRule="exact"/>
        <w:rPr>
          <w:sz w:val="20"/>
          <w:szCs w:val="20"/>
          <w:color w:val="auto"/>
        </w:rPr>
      </w:pPr>
    </w:p>
    <w:p>
      <w:pPr>
        <w:ind w:right="40" w:firstLine="1297"/>
        <w:spacing w:after="0" w:line="251" w:lineRule="auto"/>
        <w:rPr>
          <w:sz w:val="20"/>
          <w:szCs w:val="20"/>
          <w:color w:val="auto"/>
        </w:rPr>
      </w:pPr>
      <w:r>
        <w:rPr>
          <w:rFonts w:ascii="Arial" w:cs="Arial" w:eastAsia="Arial" w:hAnsi="Arial"/>
          <w:sz w:val="22"/>
          <w:szCs w:val="22"/>
          <w:color w:val="auto"/>
        </w:rPr>
        <w:t>EIGHT: You and the Company represent and acknowledge that in executing this Agreement, neither is relying upon any representation or statement not set forth in this Agreement or the Severance Agreement.</w:t>
      </w:r>
    </w:p>
    <w:p>
      <w:pPr>
        <w:spacing w:after="0" w:line="160" w:lineRule="exact"/>
        <w:rPr>
          <w:sz w:val="20"/>
          <w:szCs w:val="20"/>
          <w:color w:val="auto"/>
        </w:rPr>
      </w:pPr>
    </w:p>
    <w:p>
      <w:pPr>
        <w:ind w:right="60" w:firstLine="1297"/>
        <w:spacing w:after="0" w:line="235" w:lineRule="auto"/>
        <w:rPr>
          <w:sz w:val="20"/>
          <w:szCs w:val="20"/>
          <w:color w:val="auto"/>
        </w:rPr>
      </w:pPr>
      <w:r>
        <w:rPr>
          <w:rFonts w:ascii="Arial" w:cs="Arial" w:eastAsia="Arial" w:hAnsi="Arial"/>
          <w:sz w:val="22"/>
          <w:szCs w:val="22"/>
          <w:color w:val="auto"/>
        </w:rPr>
        <w:t>NINE: (a) This Agreement shall not in any way be construed as an admission by the Company that it has acted wrongfully with respect to you or any other person, or that you have any rights whatsoever against the Company, and the Company specifically disclaims any liability to or wrongful acts against you or any other person, on the part of itself, its employees or its agents. This Agreement shall not in any way be construed as an admission by you that you have acted wrongfully with respect to the Company, or that you failed to perform your duties or negligently performed or breached your duties, or that the Company had good cause to terminate your employment.</w:t>
      </w:r>
    </w:p>
    <w:p>
      <w:pPr>
        <w:spacing w:after="0" w:line="188" w:lineRule="exact"/>
        <w:rPr>
          <w:sz w:val="20"/>
          <w:szCs w:val="20"/>
          <w:color w:val="auto"/>
        </w:rPr>
      </w:pPr>
    </w:p>
    <w:p>
      <w:pPr>
        <w:ind w:right="60" w:firstLine="1953"/>
        <w:spacing w:after="0" w:line="279" w:lineRule="auto"/>
        <w:tabs>
          <w:tab w:leader="none" w:pos="2593" w:val="left"/>
        </w:tabs>
        <w:numPr>
          <w:ilvl w:val="0"/>
          <w:numId w:val="127"/>
        </w:numPr>
        <w:rPr>
          <w:rFonts w:ascii="Arial" w:cs="Arial" w:eastAsia="Arial" w:hAnsi="Arial"/>
          <w:sz w:val="19"/>
          <w:szCs w:val="19"/>
          <w:color w:val="auto"/>
        </w:rPr>
      </w:pPr>
      <w:r>
        <w:rPr>
          <w:rFonts w:ascii="Arial" w:cs="Arial" w:eastAsia="Arial" w:hAnsi="Arial"/>
          <w:sz w:val="19"/>
          <w:szCs w:val="19"/>
          <w:color w:val="auto"/>
        </w:rPr>
        <w:t xml:space="preserve">If you are a party or are threatened to be made a party to any proceeding by reason of the fact that you were an officer or director of the Company, the Company shall indemnify you against any expenses (including reasonable attorneys’ fees;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counsel has been approved by the Company prior to retention, which approval shall not be unreasonably withheld), judgments, fines, settlements and other amounts actually or reasonably incurred by you in connection with that proceeding; </w:t>
      </w:r>
      <w:r>
        <w:rPr>
          <w:rFonts w:ascii="Arial" w:cs="Arial" w:eastAsia="Arial" w:hAnsi="Arial"/>
          <w:sz w:val="19"/>
          <w:szCs w:val="19"/>
          <w:i w:val="1"/>
          <w:iCs w:val="1"/>
          <w:color w:val="auto"/>
        </w:rPr>
        <w:t>provided</w:t>
      </w:r>
      <w:r>
        <w:rPr>
          <w:rFonts w:ascii="Arial" w:cs="Arial" w:eastAsia="Arial" w:hAnsi="Arial"/>
          <w:sz w:val="19"/>
          <w:szCs w:val="19"/>
          <w:color w:val="auto"/>
        </w:rPr>
        <w:t>, that you acted in good faith and in a manner you reasonably believed to be in the best interest of the Company. The limitations of California Corporations Code Section 317 shall apply to this assurance of indemnification.</w:t>
      </w:r>
    </w:p>
    <w:p>
      <w:pPr>
        <w:spacing w:after="0" w:line="137" w:lineRule="exact"/>
        <w:rPr>
          <w:rFonts w:ascii="Arial" w:cs="Arial" w:eastAsia="Arial" w:hAnsi="Arial"/>
          <w:sz w:val="19"/>
          <w:szCs w:val="19"/>
          <w:color w:val="auto"/>
        </w:rPr>
      </w:pPr>
    </w:p>
    <w:p>
      <w:pPr>
        <w:ind w:right="100" w:firstLine="1953"/>
        <w:spacing w:after="0" w:line="282" w:lineRule="auto"/>
        <w:tabs>
          <w:tab w:leader="none" w:pos="2593" w:val="left"/>
        </w:tabs>
        <w:numPr>
          <w:ilvl w:val="0"/>
          <w:numId w:val="127"/>
        </w:numPr>
        <w:rPr>
          <w:rFonts w:ascii="Arial" w:cs="Arial" w:eastAsia="Arial" w:hAnsi="Arial"/>
          <w:sz w:val="19"/>
          <w:szCs w:val="19"/>
          <w:color w:val="auto"/>
        </w:rPr>
      </w:pPr>
      <w:r>
        <w:rPr>
          <w:rFonts w:ascii="Arial" w:cs="Arial" w:eastAsia="Arial" w:hAnsi="Arial"/>
          <w:sz w:val="19"/>
          <w:szCs w:val="19"/>
          <w:color w:val="auto"/>
        </w:rPr>
        <w:t>You agree to cooperate with the Company and its designated attorneys, representatives and agents in connection with any actual or threatened judicial, administrative or other legal or equitable proceeding in which the Company is or may become involved. Upon reasonable notice, you agree to meet with and provide to the Company or its designated attorneys, representatives or agents all information and knowledge you have relating to the subject matter of any such proceeding. The Company agrees to reimburse you for any reasonable costs you incur in providing such cooperation.</w:t>
      </w:r>
    </w:p>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TEN: This Agreement is entered into in California and shall be governed by substantive California law, except as provided in this section. If any dispute arises between you and the Company, including but not limited to, disputes relating to this Agreement, or if you prosecute a claim you purported to release by means of this Agreement (“Arbitrable Dispute”), you and the Company agree to resolve that Arbitrable Dispute through final and binding arbitration under this section. You also agree to arbitrate any Arbitrable Dispute which also involves any other released party who offers or agrees to arbitrate the dispute under this section. Your agreement to arbitrate applies, for example, to disputes about the validity, interpretation, or effect of this Agreement or alleged violations of it, claims of discrimination under federal or state law, or other statutory violation claims.</w:t>
      </w:r>
    </w:p>
    <w:p>
      <w:pPr>
        <w:spacing w:after="0" w:line="45" w:lineRule="exact"/>
        <w:rPr>
          <w:sz w:val="20"/>
          <w:szCs w:val="20"/>
          <w:color w:val="auto"/>
        </w:rPr>
      </w:pPr>
    </w:p>
    <w:p>
      <w:pPr>
        <w:ind w:right="300" w:firstLine="648"/>
        <w:spacing w:after="0" w:line="238" w:lineRule="auto"/>
        <w:rPr>
          <w:sz w:val="20"/>
          <w:szCs w:val="20"/>
          <w:color w:val="auto"/>
        </w:rPr>
      </w:pPr>
      <w:r>
        <w:rPr>
          <w:rFonts w:ascii="Arial" w:cs="Arial" w:eastAsia="Arial" w:hAnsi="Arial"/>
          <w:sz w:val="22"/>
          <w:szCs w:val="22"/>
          <w:color w:val="auto"/>
        </w:rPr>
        <w:t>As to any Arbitrable Dispute, you and the Company waive any right to a jury trial or a court bench trial. You and the Company also waive the right to bring, maintain, or participate in any class, collective, or representative proceeding, whether in arbitration or otherwise. Further, Arbitrable Disputes must be brought in the individual capacity of the party asserting the claim, and cannot be maintained on a class, collective, or representative basis.</w:t>
      </w:r>
    </w:p>
    <w:p>
      <w:pPr>
        <w:spacing w:after="0" w:line="77"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Arbitration shall take place in San Diego, California under the employment dispute resolution rules of the Judicial Arbitration and Mediation Service (“JAMS”), (or, if you are employed outside of California at the time of the termination of your</w:t>
      </w:r>
    </w:p>
    <w:p>
      <w:pPr>
        <w:sectPr>
          <w:pgSz w:w="11900" w:h="16852" w:orient="portrait"/>
          <w:cols w:equalWidth="0" w:num="1">
            <w:col w:w="11420"/>
          </w:cols>
          <w:pgMar w:left="240" w:top="118" w:right="239" w:bottom="0" w:gutter="0" w:footer="0" w:header="0"/>
        </w:sectPr>
      </w:pPr>
    </w:p>
    <w:bookmarkStart w:id="91" w:name="page92"/>
    <w:bookmarkEnd w:id="91"/>
    <w:p>
      <w:pPr>
        <w:jc w:val="both"/>
        <w:spacing w:after="0" w:line="272" w:lineRule="auto"/>
        <w:rPr>
          <w:sz w:val="20"/>
          <w:szCs w:val="20"/>
          <w:color w:val="auto"/>
        </w:rPr>
      </w:pPr>
      <w:r>
        <w:rPr>
          <w:rFonts w:ascii="Arial" w:cs="Arial" w:eastAsia="Arial" w:hAnsi="Arial"/>
          <w:sz w:val="19"/>
          <w:szCs w:val="19"/>
          <w:color w:val="auto"/>
        </w:rPr>
        <w:t>employment, at the nearest location of the American Arbitration Association and in accordance with the AAA rules), before an experienced employment arbitrator selected in accordance with those rules. The arbitrator may not modify or change this Agreement in any way. The Company will be responsible for paying any filing fee and the fees and costs of the Arbitrator; provided, however, that if you are the party initiating the claim, you will contribute an amount equal to the filing fee to initiate a claim in the court of general jurisdiction in the state in which you are employed by the Company. Each party shall pay for its own costs and attorneys’ fees, if any. However if any party prevails on a statutory claim which affords the prevailing party attorneys’ fees and costs, or if there is a written agreement providing for attorneys’ fees and/or costs, the Arbitrator may award reasonable attorney’s fees and/or costs to the prevailing party, applying the same standards a court would apply under the law applicable to the claim. The Arbitrator shall apply the Federal Rules of Evidence and shall have the authority to entertain a motion to dismiss or a motion for summary judgment by any party and shall apply the standards governing such motions under the Federal Rules of Civil Procedure. The Federal Arbitration Act shall govern the arbitration and shall govern the interpretation or enforcement of this section or any arbitration award. The arbitrator will not have the authority to consider, certify, or hear an arbitration as a class action, collective action, or any other type of representative action.</w:t>
      </w:r>
    </w:p>
    <w:p>
      <w:pPr>
        <w:spacing w:after="0" w:line="29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To the extent that the Federal Arbitration Act is inapplicable, California law pertaining to arbitration agreements shall apply. Arbitration in this manner shall be the exclusive remedy for any Arbitrable Dispute. Except as prohibited by the ADEA, should you or the Company attempt to resolve an Arbitrable Dispute by any method other than arbitration pursuant to this section, the responding party will be entitled to recover from the initiating party all damages, expenses, and attorneys’ fees incurred as a result of this breach. This Section TEN supersedes any existing arbitration agreement between the Company and me as to any Arbitrable Dispute. Notwithstanding anything in this Section TEN to the contrary, a claim for benefits under an ERISA-covered plan shall not be an Arbitrable Dispute.</w:t>
      </w:r>
    </w:p>
    <w:p>
      <w:pPr>
        <w:spacing w:after="0" w:line="57" w:lineRule="exact"/>
        <w:rPr>
          <w:sz w:val="20"/>
          <w:szCs w:val="20"/>
          <w:color w:val="auto"/>
        </w:rPr>
      </w:pPr>
    </w:p>
    <w:p>
      <w:pPr>
        <w:ind w:right="80" w:firstLine="1297"/>
        <w:spacing w:after="0" w:line="272" w:lineRule="auto"/>
        <w:rPr>
          <w:sz w:val="20"/>
          <w:szCs w:val="20"/>
          <w:color w:val="auto"/>
        </w:rPr>
      </w:pPr>
      <w:r>
        <w:rPr>
          <w:rFonts w:ascii="Arial" w:cs="Arial" w:eastAsia="Arial" w:hAnsi="Arial"/>
          <w:sz w:val="19"/>
          <w:szCs w:val="19"/>
          <w:color w:val="auto"/>
        </w:rPr>
        <w:t>ELEVEN: Both you and the Company understand that this Agreement is final and binding eight (8) days after its execution and return. Should you nevertheless attempt to challenge the enforceability of this Agreement as provided in Paragraph TEN or, in violation of that Paragraph, through litigation, as a further limitation on any right to make such a challenge, you shall initially tender to the Company, by certified check delivered to the Company, all monies received pursuant to Sections 4 or 5 of the Severance Pay Agreement, as applicable, plus interest, and invite the Company to retain such monies and agree with you to cancel this Agreement and void the Company’s obligations under Section 14(d) of the Severance Pay Agreement. In the event the Company accepts this offer, the Company shall retain such monies and this Agreement shall be canceled and the Company shall have no obligation under the Severance Pay Agreement. In the event the Company does not accept such offer, the Company shall so notify you and shall place such monies in an interest-bearing escrow account pending resolution of the dispute between you and the Company as to whether or not this Agreement and the Company’s obligations under the Severance Pay Agreement shall be set aside and/or otherwise rendered voidable or unenforceable. Additionally, any consulting agreement then in effect between you and the Company shall be immediately rescinded with no requirement of notice.</w:t>
      </w:r>
    </w:p>
    <w:p>
      <w:pPr>
        <w:spacing w:after="0" w:line="162" w:lineRule="exact"/>
        <w:rPr>
          <w:sz w:val="20"/>
          <w:szCs w:val="20"/>
          <w:color w:val="auto"/>
        </w:rPr>
      </w:pPr>
    </w:p>
    <w:p>
      <w:pPr>
        <w:ind w:right="360" w:firstLine="1297"/>
        <w:spacing w:after="0" w:line="251" w:lineRule="auto"/>
        <w:rPr>
          <w:sz w:val="20"/>
          <w:szCs w:val="20"/>
          <w:color w:val="auto"/>
        </w:rPr>
      </w:pPr>
      <w:r>
        <w:rPr>
          <w:rFonts w:ascii="Arial" w:cs="Arial" w:eastAsia="Arial" w:hAnsi="Arial"/>
          <w:sz w:val="22"/>
          <w:szCs w:val="22"/>
          <w:color w:val="auto"/>
        </w:rPr>
        <w:t>TWELVE: Any notices required to be given under this Agreement shall be delivered either personally or by first class United States mail, postage prepaid, addressed to the respective parties as follows:</w:t>
      </w:r>
    </w:p>
    <w:p>
      <w:pPr>
        <w:spacing w:after="0" w:line="160"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22"/>
          <w:szCs w:val="22"/>
          <w:color w:val="auto"/>
        </w:rPr>
        <w:t>To Company:</w:t>
      </w:r>
      <w:r>
        <w:rPr>
          <w:sz w:val="20"/>
          <w:szCs w:val="20"/>
          <w:color w:val="auto"/>
        </w:rPr>
        <w:tab/>
      </w:r>
      <w:r>
        <w:rPr>
          <w:rFonts w:ascii="Arial" w:cs="Arial" w:eastAsia="Arial" w:hAnsi="Arial"/>
          <w:sz w:val="21"/>
          <w:szCs w:val="21"/>
          <w:color w:val="auto"/>
        </w:rPr>
        <w:t>[TO COME]</w:t>
      </w:r>
    </w:p>
    <w:p>
      <w:pPr>
        <w:spacing w:after="0" w:line="206"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Attn: [TO COME]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You:</w:t>
      </w:r>
    </w:p>
    <w:p>
      <w:pPr>
        <w:spacing w:after="0" w:line="206"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______________________</w:t>
      </w:r>
    </w:p>
    <w:p>
      <w:pPr>
        <w:spacing w:after="0" w:line="206"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______________________</w:t>
      </w:r>
    </w:p>
    <w:p>
      <w:pPr>
        <w:spacing w:after="0" w:line="206"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______________________</w:t>
      </w:r>
    </w:p>
    <w:p>
      <w:pPr>
        <w:spacing w:after="0" w:line="206" w:lineRule="exact"/>
        <w:rPr>
          <w:sz w:val="20"/>
          <w:szCs w:val="20"/>
          <w:color w:val="auto"/>
        </w:rPr>
      </w:pPr>
    </w:p>
    <w:p>
      <w:pPr>
        <w:ind w:right="60" w:firstLine="1297"/>
        <w:spacing w:after="0" w:line="275" w:lineRule="auto"/>
        <w:rPr>
          <w:sz w:val="20"/>
          <w:szCs w:val="20"/>
          <w:color w:val="auto"/>
        </w:rPr>
      </w:pPr>
      <w:r>
        <w:rPr>
          <w:rFonts w:ascii="Arial" w:cs="Arial" w:eastAsia="Arial" w:hAnsi="Arial"/>
          <w:sz w:val="19"/>
          <w:szCs w:val="19"/>
          <w:color w:val="auto"/>
        </w:rPr>
        <w:t>THIRTEEN: You understand and acknowledge that you have been given a period of forty-five (45) days to review and consider this Agreement (as well as statistical data on the persons eligible for similar benefits) before signing it and may use as much of this forty-five (45) day period as you wish prior to signing. You are encouraged, at your personal expense, to consult with an attorney before signing this Agreement. You understand and acknowledge that whether or not you do so is your decision. You may revoke this Agreement within seven (7) days of signing it. If you wish to revoke, the Company’s Vice President, Human Resources must receive written notice from you no later than the close of business on the seventh (7th) day after you have signed the Agreement. If revoked, this Agreement shall not be effective and enforceable, and you will not receive payments or benefits under Sections 4 or 5, and Section 14 of the Severance Pay Agreement, as applicable.</w:t>
      </w:r>
    </w:p>
    <w:p>
      <w:pPr>
        <w:spacing w:after="0" w:line="158" w:lineRule="exact"/>
        <w:rPr>
          <w:sz w:val="20"/>
          <w:szCs w:val="20"/>
          <w:color w:val="auto"/>
        </w:rPr>
      </w:pPr>
    </w:p>
    <w:p>
      <w:pPr>
        <w:ind w:firstLine="1297"/>
        <w:spacing w:after="0" w:line="297" w:lineRule="auto"/>
        <w:rPr>
          <w:sz w:val="20"/>
          <w:szCs w:val="20"/>
          <w:color w:val="auto"/>
        </w:rPr>
      </w:pPr>
      <w:r>
        <w:rPr>
          <w:rFonts w:ascii="Arial" w:cs="Arial" w:eastAsia="Arial" w:hAnsi="Arial"/>
          <w:sz w:val="19"/>
          <w:szCs w:val="19"/>
          <w:color w:val="auto"/>
        </w:rPr>
        <w:t>FOURTEEN: This Agreement constitutes the entire agreement of the parties hereto and supersedes any and all other agreements (except the Severance Pay Agreement) with respect to the subject matter of this Agreement, whether written or oral, between you and the Company. All modifications and amendments to this Agreement must be in writing and signed by the parties.</w:t>
      </w:r>
    </w:p>
    <w:p>
      <w:pPr>
        <w:spacing w:after="0" w:line="134" w:lineRule="exact"/>
        <w:rPr>
          <w:sz w:val="20"/>
          <w:szCs w:val="20"/>
          <w:color w:val="auto"/>
        </w:rPr>
      </w:pPr>
    </w:p>
    <w:p>
      <w:pPr>
        <w:ind w:right="20" w:firstLine="1297"/>
        <w:spacing w:after="0" w:line="328" w:lineRule="auto"/>
        <w:rPr>
          <w:sz w:val="20"/>
          <w:szCs w:val="20"/>
          <w:color w:val="auto"/>
        </w:rPr>
      </w:pPr>
      <w:r>
        <w:rPr>
          <w:rFonts w:ascii="Arial" w:cs="Arial" w:eastAsia="Arial" w:hAnsi="Arial"/>
          <w:sz w:val="19"/>
          <w:szCs w:val="19"/>
          <w:color w:val="auto"/>
        </w:rPr>
        <w:t>FIFTEEN: Each party agrees, without further consideration, to sign or cause to be signed, and to deliver to the other party, any other documents and to take any other action as may be necessary to fulfill the obligations under this Agreement.</w:t>
      </w:r>
    </w:p>
    <w:p>
      <w:pPr>
        <w:spacing w:after="0" w:line="105" w:lineRule="exact"/>
        <w:rPr>
          <w:sz w:val="20"/>
          <w:szCs w:val="20"/>
          <w:color w:val="auto"/>
        </w:rPr>
      </w:pPr>
    </w:p>
    <w:p>
      <w:pPr>
        <w:ind w:right="360" w:firstLine="1297"/>
        <w:spacing w:after="0"/>
        <w:rPr>
          <w:sz w:val="20"/>
          <w:szCs w:val="20"/>
          <w:color w:val="auto"/>
        </w:rPr>
      </w:pPr>
      <w:r>
        <w:rPr>
          <w:rFonts w:ascii="Arial" w:cs="Arial" w:eastAsia="Arial" w:hAnsi="Arial"/>
          <w:sz w:val="22"/>
          <w:szCs w:val="22"/>
          <w:color w:val="auto"/>
        </w:rPr>
        <w:t>SIXTEEN: If any provision of this Agreement or the application thereof is held invalid, the invalidity shall not affect other provisions or applications of the Agreement which can be given effect without the invalid provisions or application; and to this end the provisions of this Agreement are declared to be severable.</w:t>
      </w:r>
    </w:p>
    <w:p>
      <w:pPr>
        <w:sectPr>
          <w:pgSz w:w="11900" w:h="16838" w:orient="portrait"/>
          <w:cols w:equalWidth="0" w:num="1">
            <w:col w:w="11420"/>
          </w:cols>
          <w:pgMar w:left="240" w:top="118" w:right="239" w:bottom="0" w:gutter="0" w:footer="0" w:header="0"/>
        </w:sectPr>
      </w:pPr>
    </w:p>
    <w:bookmarkStart w:id="92" w:name="page93"/>
    <w:bookmarkEnd w:id="92"/>
    <w:p>
      <w:pPr>
        <w:ind w:left="1300"/>
        <w:spacing w:after="0"/>
        <w:rPr>
          <w:sz w:val="20"/>
          <w:szCs w:val="20"/>
          <w:color w:val="auto"/>
        </w:rPr>
      </w:pPr>
      <w:r>
        <w:rPr>
          <w:rFonts w:ascii="Arial" w:cs="Arial" w:eastAsia="Arial" w:hAnsi="Arial"/>
          <w:sz w:val="22"/>
          <w:szCs w:val="22"/>
          <w:color w:val="auto"/>
        </w:rPr>
        <w:t>SEVENTEEN: This Agreement may be executed in counterparts.</w:t>
      </w:r>
    </w:p>
    <w:p>
      <w:pPr>
        <w:spacing w:after="0" w:line="207" w:lineRule="exact"/>
        <w:rPr>
          <w:sz w:val="20"/>
          <w:szCs w:val="20"/>
          <w:color w:val="auto"/>
        </w:rPr>
      </w:pPr>
    </w:p>
    <w:p>
      <w:pPr>
        <w:ind w:firstLine="1297"/>
        <w:spacing w:after="0" w:line="328" w:lineRule="auto"/>
        <w:rPr>
          <w:sz w:val="20"/>
          <w:szCs w:val="20"/>
          <w:color w:val="auto"/>
        </w:rPr>
      </w:pPr>
      <w:r>
        <w:rPr>
          <w:rFonts w:ascii="Arial" w:cs="Arial" w:eastAsia="Arial" w:hAnsi="Arial"/>
          <w:sz w:val="19"/>
          <w:szCs w:val="19"/>
          <w:color w:val="auto"/>
        </w:rPr>
        <w:t>I have read the foregoing General Release, and I accept and agree to the provisions it contains and hereby execute it voluntarily and with full understanding of its consequences. I am aware it includes a release of all known or unknown claims.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w:t>
      </w: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__________________________________________</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w:t>
      </w: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__________________________________________</w:t>
      </w:r>
    </w:p>
    <w:p>
      <w:pPr>
        <w:spacing w:after="0" w:line="20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You acknowledge that you first received this Agreement on [date].</w:t>
      </w:r>
    </w:p>
    <w:p>
      <w:pPr>
        <w:spacing w:after="0" w:line="20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320"/>
          </w:cols>
          <w:pgMar w:left="240" w:top="118"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25"/>
          <w:szCs w:val="25"/>
          <w:b w:val="1"/>
          <w:bCs w:val="1"/>
          <w:color w:val="auto"/>
        </w:rPr>
        <w:t>Exhibit 10.2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SEMPRA ENERGY</w:t>
      </w:r>
    </w:p>
    <w:p>
      <w:pPr>
        <w:jc w:val="center"/>
        <w:spacing w:after="0"/>
        <w:rPr>
          <w:sz w:val="20"/>
          <w:szCs w:val="20"/>
          <w:color w:val="auto"/>
        </w:rPr>
      </w:pPr>
      <w:r>
        <w:rPr>
          <w:rFonts w:ascii="Arial" w:cs="Arial" w:eastAsia="Arial" w:hAnsi="Arial"/>
          <w:sz w:val="22"/>
          <w:szCs w:val="22"/>
          <w:b w:val="1"/>
          <w:bCs w:val="1"/>
          <w:color w:val="auto"/>
        </w:rPr>
        <w:t>SEVERANCE PAY AGREEMENT</w:t>
      </w:r>
    </w:p>
    <w:p>
      <w:pPr>
        <w:spacing w:after="0" w:line="182" w:lineRule="exact"/>
        <w:rPr>
          <w:sz w:val="20"/>
          <w:szCs w:val="20"/>
          <w:color w:val="auto"/>
        </w:rPr>
      </w:pPr>
    </w:p>
    <w:p>
      <w:pPr>
        <w:ind w:right="360" w:firstLine="1297"/>
        <w:spacing w:after="0" w:line="280" w:lineRule="auto"/>
        <w:rPr>
          <w:sz w:val="20"/>
          <w:szCs w:val="20"/>
          <w:color w:val="auto"/>
        </w:rPr>
      </w:pPr>
      <w:r>
        <w:rPr>
          <w:rFonts w:ascii="Arial" w:cs="Arial" w:eastAsia="Arial" w:hAnsi="Arial"/>
          <w:sz w:val="21"/>
          <w:szCs w:val="21"/>
          <w:b w:val="1"/>
          <w:bCs w:val="1"/>
          <w:color w:val="auto"/>
        </w:rPr>
        <w:t xml:space="preserve">THIS AGREEMENT </w:t>
      </w:r>
      <w:r>
        <w:rPr>
          <w:rFonts w:ascii="Arial" w:cs="Arial" w:eastAsia="Arial" w:hAnsi="Arial"/>
          <w:sz w:val="21"/>
          <w:szCs w:val="21"/>
          <w:color w:val="auto"/>
        </w:rPr>
        <w:t>(this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 February 18, 2013 (the “</w:t>
      </w:r>
      <w:r>
        <w:rPr>
          <w:rFonts w:ascii="Arial" w:cs="Arial" w:eastAsia="Arial" w:hAnsi="Arial"/>
          <w:sz w:val="21"/>
          <w:szCs w:val="21"/>
          <w:u w:val="single" w:color="auto"/>
          <w:color w:val="auto"/>
        </w:rPr>
        <w:t>Effective Date</w:t>
      </w:r>
      <w:r>
        <w:rPr>
          <w:rFonts w:ascii="Arial" w:cs="Arial" w:eastAsia="Arial" w:hAnsi="Arial"/>
          <w:sz w:val="21"/>
          <w:szCs w:val="21"/>
          <w:color w:val="auto"/>
        </w:rPr>
        <w:t>”), is made by and</w:t>
      </w:r>
      <w:r>
        <w:rPr>
          <w:rFonts w:ascii="Arial" w:cs="Arial" w:eastAsia="Arial" w:hAnsi="Arial"/>
          <w:sz w:val="21"/>
          <w:szCs w:val="21"/>
          <w:b w:val="1"/>
          <w:bCs w:val="1"/>
          <w:color w:val="auto"/>
        </w:rPr>
        <w:t xml:space="preserve"> </w:t>
      </w:r>
      <w:r>
        <w:rPr>
          <w:rFonts w:ascii="Arial" w:cs="Arial" w:eastAsia="Arial" w:hAnsi="Arial"/>
          <w:sz w:val="21"/>
          <w:szCs w:val="21"/>
          <w:color w:val="auto"/>
        </w:rPr>
        <w:t>between SEMPRA ENERGY, a California corporation (“</w:t>
      </w:r>
      <w:r>
        <w:rPr>
          <w:rFonts w:ascii="Arial" w:cs="Arial" w:eastAsia="Arial" w:hAnsi="Arial"/>
          <w:sz w:val="21"/>
          <w:szCs w:val="21"/>
          <w:u w:val="single" w:color="auto"/>
          <w:color w:val="auto"/>
        </w:rPr>
        <w:t>Sempra Energy</w:t>
      </w:r>
      <w:r>
        <w:rPr>
          <w:rFonts w:ascii="Arial" w:cs="Arial" w:eastAsia="Arial" w:hAnsi="Arial"/>
          <w:sz w:val="21"/>
          <w:szCs w:val="21"/>
          <w:color w:val="auto"/>
        </w:rPr>
        <w:t>”), and James P. Avery (the “</w:t>
      </w:r>
      <w:r>
        <w:rPr>
          <w:rFonts w:ascii="Arial" w:cs="Arial" w:eastAsia="Arial" w:hAnsi="Arial"/>
          <w:sz w:val="21"/>
          <w:szCs w:val="21"/>
          <w:u w:val="single" w:color="auto"/>
          <w:color w:val="auto"/>
        </w:rPr>
        <w:t>Executive</w:t>
      </w:r>
      <w:r>
        <w:rPr>
          <w:rFonts w:ascii="Arial" w:cs="Arial" w:eastAsia="Arial" w:hAnsi="Arial"/>
          <w:sz w:val="21"/>
          <w:szCs w:val="21"/>
          <w:color w:val="auto"/>
        </w:rPr>
        <w:t>”).</w:t>
      </w:r>
    </w:p>
    <w:p>
      <w:pPr>
        <w:spacing w:after="0" w:line="139" w:lineRule="exact"/>
        <w:rPr>
          <w:sz w:val="20"/>
          <w:szCs w:val="20"/>
          <w:color w:val="auto"/>
        </w:rPr>
      </w:pPr>
    </w:p>
    <w:p>
      <w:pPr>
        <w:jc w:val="both"/>
        <w:ind w:right="300" w:firstLine="1297"/>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Executive is currently employed by Sempra Energy or a direct or indirect subsidiary of Sempra</w:t>
      </w:r>
      <w:r>
        <w:rPr>
          <w:rFonts w:ascii="Arial" w:cs="Arial" w:eastAsia="Arial" w:hAnsi="Arial"/>
          <w:sz w:val="22"/>
          <w:szCs w:val="22"/>
          <w:b w:val="1"/>
          <w:bCs w:val="1"/>
          <w:color w:val="auto"/>
        </w:rPr>
        <w:t xml:space="preserve"> </w:t>
      </w:r>
      <w:r>
        <w:rPr>
          <w:rFonts w:ascii="Arial" w:cs="Arial" w:eastAsia="Arial" w:hAnsi="Arial"/>
          <w:sz w:val="22"/>
          <w:szCs w:val="22"/>
          <w:color w:val="auto"/>
        </w:rPr>
        <w:t>Energy (Sempra Energy and its subsidiaries are hereinafter collectively referred to as the “</w:t>
      </w:r>
      <w:r>
        <w:rPr>
          <w:rFonts w:ascii="Arial" w:cs="Arial" w:eastAsia="Arial" w:hAnsi="Arial"/>
          <w:sz w:val="22"/>
          <w:szCs w:val="22"/>
          <w:u w:val="single" w:color="auto"/>
          <w:color w:val="auto"/>
        </w:rPr>
        <w:t>Company</w:t>
      </w:r>
      <w:r>
        <w:rPr>
          <w:rFonts w:ascii="Arial" w:cs="Arial" w:eastAsia="Arial" w:hAnsi="Arial"/>
          <w:sz w:val="22"/>
          <w:szCs w:val="22"/>
          <w:color w:val="auto"/>
        </w:rPr>
        <w:t>”) as Senior Vice President, Power Supply; and</w:t>
      </w:r>
    </w:p>
    <w:p>
      <w:pPr>
        <w:spacing w:after="0" w:line="177" w:lineRule="exact"/>
        <w:rPr>
          <w:sz w:val="20"/>
          <w:szCs w:val="20"/>
          <w:color w:val="auto"/>
        </w:rPr>
      </w:pPr>
    </w:p>
    <w:p>
      <w:pPr>
        <w:ind w:left="1300" w:right="1360"/>
        <w:spacing w:after="0" w:line="504"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Sempra Energy and the Executive desire to enter into this Agreement; and</w:t>
      </w:r>
      <w:r>
        <w:rPr>
          <w:rFonts w:ascii="Arial" w:cs="Arial" w:eastAsia="Arial" w:hAnsi="Arial"/>
          <w:sz w:val="19"/>
          <w:szCs w:val="19"/>
          <w:b w:val="1"/>
          <w:bCs w:val="1"/>
          <w:color w:val="auto"/>
        </w:rPr>
        <w:t xml:space="preserve"> WHEREAS</w:t>
      </w:r>
      <w:r>
        <w:rPr>
          <w:rFonts w:ascii="Arial" w:cs="Arial" w:eastAsia="Arial" w:hAnsi="Arial"/>
          <w:sz w:val="19"/>
          <w:szCs w:val="19"/>
          <w:color w:val="auto"/>
        </w:rPr>
        <w:t>, the Board of Directors of Sempra Energy (the “</w:t>
      </w:r>
      <w:r>
        <w:rPr>
          <w:rFonts w:ascii="Arial" w:cs="Arial" w:eastAsia="Arial" w:hAnsi="Arial"/>
          <w:sz w:val="19"/>
          <w:szCs w:val="19"/>
          <w:u w:val="single" w:color="auto"/>
          <w:color w:val="auto"/>
        </w:rPr>
        <w:t>Board</w:t>
      </w:r>
      <w:r>
        <w:rPr>
          <w:rFonts w:ascii="Arial" w:cs="Arial" w:eastAsia="Arial" w:hAnsi="Arial"/>
          <w:sz w:val="19"/>
          <w:szCs w:val="19"/>
          <w:color w:val="auto"/>
        </w:rPr>
        <w:t>”) has authorized this Agreement.</w:t>
      </w:r>
    </w:p>
    <w:p>
      <w:pPr>
        <w:spacing w:after="0" w:line="1" w:lineRule="exact"/>
        <w:rPr>
          <w:sz w:val="20"/>
          <w:szCs w:val="20"/>
          <w:color w:val="auto"/>
        </w:rPr>
      </w:pPr>
    </w:p>
    <w:p>
      <w:pPr>
        <w:ind w:right="200" w:firstLine="1297"/>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mutual covenants herein contained, the Company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Executive hereby agree as follows:</w:t>
      </w:r>
    </w:p>
    <w:p>
      <w:pPr>
        <w:spacing w:after="0" w:line="15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this Agreement, the following capitalized terms have the meanings set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forth below:</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Accounting Firm</w:t>
      </w:r>
      <w:r>
        <w:rPr>
          <w:rFonts w:ascii="Arial" w:cs="Arial" w:eastAsia="Arial" w:hAnsi="Arial"/>
          <w:sz w:val="22"/>
          <w:szCs w:val="22"/>
          <w:color w:val="auto"/>
        </w:rPr>
        <w:t>” has the meaning assigned thereto in Section 8(d) hereof.</w:t>
      </w:r>
    </w:p>
    <w:p>
      <w:pPr>
        <w:spacing w:after="0" w:line="206" w:lineRule="exact"/>
        <w:rPr>
          <w:sz w:val="20"/>
          <w:szCs w:val="20"/>
          <w:color w:val="auto"/>
        </w:rPr>
      </w:pPr>
    </w:p>
    <w:p>
      <w:pPr>
        <w:ind w:right="140" w:firstLine="12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Accrued Obligations</w:t>
      </w:r>
      <w:r>
        <w:rPr>
          <w:rFonts w:ascii="Arial" w:cs="Arial" w:eastAsia="Arial" w:hAnsi="Arial"/>
          <w:sz w:val="22"/>
          <w:szCs w:val="22"/>
          <w:color w:val="auto"/>
        </w:rPr>
        <w:t>” means the sum of (A) the Executive’s Annual Base Salary through the Date of Termination to the extent not theretofore paid, (B) an amount equal to any annual Incentive Compensation Awards earned with respect to fiscal years ended prior to the year that includes the Date of Termination to the extent not theretofore paid, (C) any accrued and unpaid vacation, if any, and (D) reimbursement for unreimbursed business expenses, if any, properly incurred by the Executive in the performance of his duties in accordance with policies established from time to time by the Board, in each case to the extent not theretofore paid.</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has the meaning set forth in Rule 12b-2 promulgated under the Exchange Act.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Base Salary</w:t>
      </w:r>
      <w:r>
        <w:rPr>
          <w:rFonts w:ascii="Arial" w:cs="Arial" w:eastAsia="Arial" w:hAnsi="Arial"/>
          <w:sz w:val="22"/>
          <w:szCs w:val="22"/>
          <w:color w:val="auto"/>
        </w:rPr>
        <w:t>” means the Executive’s annual base salary from the Company.</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Purchaser</w:t>
      </w:r>
      <w:r>
        <w:rPr>
          <w:rFonts w:ascii="Arial" w:cs="Arial" w:eastAsia="Arial" w:hAnsi="Arial"/>
          <w:sz w:val="22"/>
          <w:szCs w:val="22"/>
          <w:color w:val="auto"/>
        </w:rPr>
        <w:t>” has the meaning assigned thereto in Section 16(e).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Sale</w:t>
      </w:r>
      <w:r>
        <w:rPr>
          <w:rFonts w:ascii="Arial" w:cs="Arial" w:eastAsia="Arial" w:hAnsi="Arial"/>
          <w:sz w:val="22"/>
          <w:szCs w:val="22"/>
          <w:color w:val="auto"/>
        </w:rPr>
        <w:t>” has the meaning assigned thereto in Section 16(e).</w:t>
      </w:r>
    </w:p>
    <w:p>
      <w:pPr>
        <w:spacing w:after="0" w:line="206" w:lineRule="exact"/>
        <w:rPr>
          <w:sz w:val="20"/>
          <w:szCs w:val="20"/>
          <w:color w:val="auto"/>
        </w:rPr>
      </w:pPr>
    </w:p>
    <w:p>
      <w:pPr>
        <w:ind w:right="60" w:firstLine="129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Average Annual Bonus</w:t>
      </w:r>
      <w:r>
        <w:rPr>
          <w:rFonts w:ascii="Arial" w:cs="Arial" w:eastAsia="Arial" w:hAnsi="Arial"/>
          <w:sz w:val="19"/>
          <w:szCs w:val="19"/>
          <w:color w:val="auto"/>
        </w:rPr>
        <w:t>” means the average of the annual bonuses from the Company earned by the Executive with respect to the three (3) fiscal years of the Company immediately preceding the Date of Termination (the “</w:t>
      </w:r>
      <w:r>
        <w:rPr>
          <w:rFonts w:ascii="Arial" w:cs="Arial" w:eastAsia="Arial" w:hAnsi="Arial"/>
          <w:sz w:val="19"/>
          <w:szCs w:val="19"/>
          <w:u w:val="single" w:color="auto"/>
          <w:color w:val="auto"/>
        </w:rPr>
        <w:t>Bonus Fiscal Years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if the Executive was employed by the Company for less than three (3) Bonus Fiscal Years, “</w:t>
      </w:r>
      <w:r>
        <w:rPr>
          <w:rFonts w:ascii="Arial" w:cs="Arial" w:eastAsia="Arial" w:hAnsi="Arial"/>
          <w:sz w:val="19"/>
          <w:szCs w:val="19"/>
          <w:u w:val="single" w:color="auto"/>
          <w:color w:val="auto"/>
        </w:rPr>
        <w:t>Average</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Annual Bonus</w:t>
      </w:r>
      <w:r>
        <w:rPr>
          <w:rFonts w:ascii="Arial" w:cs="Arial" w:eastAsia="Arial" w:hAnsi="Arial"/>
          <w:sz w:val="19"/>
          <w:szCs w:val="19"/>
          <w:color w:val="auto"/>
        </w:rPr>
        <w:t xml:space="preserve">” means the average of the annual bonuses (if any) from the Company earned by the Executive with respect to the Bonus Fiscal Years during which the Executive was employed by the Company;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if the Executive was not employed by the Company during any of the Bonus Fiscal Years, “</w:t>
      </w:r>
      <w:r>
        <w:rPr>
          <w:rFonts w:ascii="Arial" w:cs="Arial" w:eastAsia="Arial" w:hAnsi="Arial"/>
          <w:sz w:val="19"/>
          <w:szCs w:val="19"/>
          <w:u w:val="single" w:color="auto"/>
          <w:color w:val="auto"/>
        </w:rPr>
        <w:t>Average Annual Bonus</w:t>
      </w:r>
      <w:r>
        <w:rPr>
          <w:rFonts w:ascii="Arial" w:cs="Arial" w:eastAsia="Arial" w:hAnsi="Arial"/>
          <w:sz w:val="19"/>
          <w:szCs w:val="19"/>
          <w:color w:val="auto"/>
        </w:rPr>
        <w:t>” means zero.</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means:</w:t>
      </w:r>
    </w:p>
    <w:p>
      <w:pPr>
        <w:spacing w:after="0" w:line="206" w:lineRule="exact"/>
        <w:rPr>
          <w:sz w:val="20"/>
          <w:szCs w:val="20"/>
          <w:color w:val="auto"/>
        </w:rPr>
      </w:pPr>
    </w:p>
    <w:p>
      <w:pPr>
        <w:ind w:right="20" w:firstLine="1305"/>
        <w:spacing w:after="0" w:line="276" w:lineRule="auto"/>
        <w:tabs>
          <w:tab w:leader="none" w:pos="1945" w:val="left"/>
        </w:tabs>
        <w:numPr>
          <w:ilvl w:val="1"/>
          <w:numId w:val="128"/>
        </w:numPr>
        <w:rPr>
          <w:rFonts w:ascii="Arial" w:cs="Arial" w:eastAsia="Arial" w:hAnsi="Arial"/>
          <w:sz w:val="19"/>
          <w:szCs w:val="19"/>
          <w:color w:val="auto"/>
        </w:rPr>
      </w:pPr>
      <w:r>
        <w:rPr>
          <w:rFonts w:ascii="Arial" w:cs="Arial" w:eastAsia="Arial" w:hAnsi="Arial"/>
          <w:sz w:val="19"/>
          <w:szCs w:val="19"/>
          <w:color w:val="auto"/>
        </w:rPr>
        <w:t>Prior to a Change in Control, (i) the willful failure by the Executive to substantially perform the Executive’s duties with the Company (other than any such failure resulting from the Executive’s incapacity due to physical or mental illness,</w:t>
      </w:r>
    </w:p>
    <w:p>
      <w:pPr>
        <w:spacing w:after="0" w:line="1" w:lineRule="exact"/>
        <w:rPr>
          <w:rFonts w:ascii="Arial" w:cs="Arial" w:eastAsia="Arial" w:hAnsi="Arial"/>
          <w:sz w:val="19"/>
          <w:szCs w:val="19"/>
          <w:color w:val="auto"/>
        </w:rPr>
      </w:pPr>
    </w:p>
    <w:p>
      <w:pPr>
        <w:ind w:right="20" w:firstLine="8"/>
        <w:spacing w:after="0" w:line="275" w:lineRule="auto"/>
        <w:tabs>
          <w:tab w:leader="none" w:pos="318" w:val="left"/>
        </w:tabs>
        <w:numPr>
          <w:ilvl w:val="0"/>
          <w:numId w:val="129"/>
        </w:numPr>
        <w:rPr>
          <w:rFonts w:ascii="Arial" w:cs="Arial" w:eastAsia="Arial" w:hAnsi="Arial"/>
          <w:sz w:val="19"/>
          <w:szCs w:val="19"/>
          <w:color w:val="auto"/>
        </w:rPr>
      </w:pPr>
      <w:r>
        <w:rPr>
          <w:rFonts w:ascii="Arial" w:cs="Arial" w:eastAsia="Arial" w:hAnsi="Arial"/>
          <w:sz w:val="19"/>
          <w:szCs w:val="19"/>
          <w:color w:val="auto"/>
        </w:rPr>
        <w:t>the grossly negligent performance of such obligations referenced in clause (i) of this definition, (iii) the Executive’s gross insubordination; and/or (iv) the Executive’s commission of one or more acts of moral turpitude that constitute a violation of applicable law (including but not limited to a felony) which have or result in an adverse effect on the Company, monetarily or otherwise, or one or more significant acts of dishonesty. For purposes of clause (i) of this subsection (a), no act, or failure to act, on the Executive’s part shall be deemed “</w:t>
      </w:r>
      <w:r>
        <w:rPr>
          <w:rFonts w:ascii="Arial" w:cs="Arial" w:eastAsia="Arial" w:hAnsi="Arial"/>
          <w:sz w:val="19"/>
          <w:szCs w:val="19"/>
          <w:u w:val="single" w:color="auto"/>
          <w:color w:val="auto"/>
        </w:rPr>
        <w:t>willful</w:t>
      </w:r>
      <w:r>
        <w:rPr>
          <w:rFonts w:ascii="Arial" w:cs="Arial" w:eastAsia="Arial" w:hAnsi="Arial"/>
          <w:sz w:val="19"/>
          <w:szCs w:val="19"/>
          <w:color w:val="auto"/>
        </w:rPr>
        <w:t>” unless done, or omitted to be done, by the Executive not in good faith and without reasonable belief that the Executive’s act, or failure to act, was in the best interests of the Company.</w:t>
      </w:r>
    </w:p>
    <w:p>
      <w:pPr>
        <w:spacing w:after="0" w:line="141" w:lineRule="exact"/>
        <w:rPr>
          <w:rFonts w:ascii="Arial" w:cs="Arial" w:eastAsia="Arial" w:hAnsi="Arial"/>
          <w:sz w:val="19"/>
          <w:szCs w:val="19"/>
          <w:color w:val="auto"/>
        </w:rPr>
      </w:pPr>
    </w:p>
    <w:p>
      <w:pPr>
        <w:ind w:right="20" w:firstLine="1305"/>
        <w:spacing w:after="0" w:line="269" w:lineRule="auto"/>
        <w:tabs>
          <w:tab w:leader="none" w:pos="1945" w:val="left"/>
        </w:tabs>
        <w:numPr>
          <w:ilvl w:val="1"/>
          <w:numId w:val="129"/>
        </w:numPr>
        <w:rPr>
          <w:rFonts w:ascii="Arial" w:cs="Arial" w:eastAsia="Arial" w:hAnsi="Arial"/>
          <w:sz w:val="19"/>
          <w:szCs w:val="19"/>
          <w:color w:val="auto"/>
        </w:rPr>
      </w:pPr>
      <w:r>
        <w:rPr>
          <w:rFonts w:ascii="Arial" w:cs="Arial" w:eastAsia="Arial" w:hAnsi="Arial"/>
          <w:sz w:val="19"/>
          <w:szCs w:val="19"/>
          <w:color w:val="auto"/>
        </w:rPr>
        <w:t>From and after a Change in Control, (i) the willful and continued failure by the Executive to substantially perform the Executive’s duties with the Company (other than any such failure resulting from the Executive’s incapacity due to physical or mental illness or any such actual or anticipated failure after the issuance of a Notice of Termination for Good Reason by the Executive pursuant to Section 2 hereof) and/or (ii) the Executive’s commission of one or more acts of moral turpitude that constitute a violation of applicable law (including but not limited to a felony) which have or result in an adverse effect on the Company, monetarily or otherwise, or one or more significant acts of dishonesty. For purposes of clause (i) of this subsection (b), no act, or failure to act, on the Executive’s part shall be deemed “</w:t>
      </w:r>
      <w:r>
        <w:rPr>
          <w:rFonts w:ascii="Arial" w:cs="Arial" w:eastAsia="Arial" w:hAnsi="Arial"/>
          <w:sz w:val="19"/>
          <w:szCs w:val="19"/>
          <w:u w:val="single" w:color="auto"/>
          <w:color w:val="auto"/>
        </w:rPr>
        <w:t>willful</w:t>
      </w:r>
      <w:r>
        <w:rPr>
          <w:rFonts w:ascii="Arial" w:cs="Arial" w:eastAsia="Arial" w:hAnsi="Arial"/>
          <w:sz w:val="19"/>
          <w:szCs w:val="19"/>
          <w:color w:val="auto"/>
        </w:rPr>
        <w:t>” unless done, or omitted to be done, by the Executive not in good faith and without reasonable belief that the Executive’s act, or failure to act, was in the best interests of the Company. Notwithstanding the foregoing, the Executive shall not be deemed terminated for Cause pursuant to clause (i) of this subsection</w:t>
      </w:r>
    </w:p>
    <w:p>
      <w:pPr>
        <w:spacing w:after="0" w:line="1" w:lineRule="exact"/>
        <w:rPr>
          <w:rFonts w:ascii="Arial" w:cs="Arial" w:eastAsia="Arial" w:hAnsi="Arial"/>
          <w:sz w:val="19"/>
          <w:szCs w:val="19"/>
          <w:color w:val="auto"/>
        </w:rPr>
      </w:pPr>
    </w:p>
    <w:p>
      <w:pPr>
        <w:ind w:right="180" w:firstLine="8"/>
        <w:spacing w:after="0" w:line="308" w:lineRule="auto"/>
        <w:tabs>
          <w:tab w:leader="none" w:pos="306" w:val="left"/>
        </w:tabs>
        <w:numPr>
          <w:ilvl w:val="0"/>
          <w:numId w:val="130"/>
        </w:numPr>
        <w:rPr>
          <w:rFonts w:ascii="Arial" w:cs="Arial" w:eastAsia="Arial" w:hAnsi="Arial"/>
          <w:sz w:val="19"/>
          <w:szCs w:val="19"/>
          <w:color w:val="auto"/>
        </w:rPr>
      </w:pPr>
      <w:r>
        <w:rPr>
          <w:rFonts w:ascii="Arial" w:cs="Arial" w:eastAsia="Arial" w:hAnsi="Arial"/>
          <w:sz w:val="19"/>
          <w:szCs w:val="19"/>
          <w:color w:val="auto"/>
        </w:rPr>
        <w:t>unless and until the Executive shall have been provided with reasonable notice of and, if possible, a reasonable opportunity to cure the facts and circumstances claimed to provide a basis for termination of the Executive’s employment for Cause.</w:t>
      </w:r>
    </w:p>
    <w:p>
      <w:pPr>
        <w:sectPr>
          <w:pgSz w:w="11900" w:h="16838" w:orient="portrait"/>
          <w:cols w:equalWidth="0" w:num="1">
            <w:col w:w="11420"/>
          </w:cols>
          <w:pgMar w:left="240" w:top="117" w:right="239" w:bottom="194" w:gutter="0" w:footer="0" w:header="0"/>
        </w:sectPr>
      </w:pPr>
    </w:p>
    <w:bookmarkStart w:id="94" w:name="page95"/>
    <w:bookmarkEnd w:id="94"/>
    <w:p>
      <w:pPr>
        <w:ind w:firstLine="1297"/>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shall be deemed to have occurred on the date that a change in the ownership of Sempra Energy, a change in the effective control of Sempra Energy, or a change in the ownership of a substantial portion of assets of Sempra Energy occurs (each, as defined in subsection (a) below), except as otherwise provided in subsections (b), (c) and (d) below:</w:t>
      </w:r>
    </w:p>
    <w:p>
      <w:pPr>
        <w:spacing w:after="0" w:line="119" w:lineRule="exact"/>
        <w:rPr>
          <w:sz w:val="20"/>
          <w:szCs w:val="20"/>
          <w:color w:val="auto"/>
        </w:rPr>
      </w:pPr>
    </w:p>
    <w:p>
      <w:pPr>
        <w:ind w:firstLine="1305"/>
        <w:spacing w:after="0" w:line="297" w:lineRule="auto"/>
        <w:tabs>
          <w:tab w:leader="none" w:pos="1945" w:val="left"/>
        </w:tabs>
        <w:numPr>
          <w:ilvl w:val="0"/>
          <w:numId w:val="131"/>
        </w:numPr>
        <w:rPr>
          <w:rFonts w:ascii="Arial" w:cs="Arial" w:eastAsia="Arial" w:hAnsi="Arial"/>
          <w:sz w:val="19"/>
          <w:szCs w:val="19"/>
          <w:color w:val="auto"/>
        </w:rPr>
      </w:pPr>
      <w:r>
        <w:rPr>
          <w:rFonts w:ascii="Arial" w:cs="Arial" w:eastAsia="Arial" w:hAnsi="Arial"/>
          <w:sz w:val="19"/>
          <w:szCs w:val="19"/>
          <w:color w:val="auto"/>
        </w:rPr>
        <w:t>(i) a “</w:t>
      </w:r>
      <w:r>
        <w:rPr>
          <w:rFonts w:ascii="Arial" w:cs="Arial" w:eastAsia="Arial" w:hAnsi="Arial"/>
          <w:sz w:val="19"/>
          <w:szCs w:val="19"/>
          <w:u w:val="single" w:color="auto"/>
          <w:color w:val="auto"/>
        </w:rPr>
        <w:t>change in the ownership of Sempra Energy</w:t>
      </w:r>
      <w:r>
        <w:rPr>
          <w:rFonts w:ascii="Arial" w:cs="Arial" w:eastAsia="Arial" w:hAnsi="Arial"/>
          <w:sz w:val="19"/>
          <w:szCs w:val="19"/>
          <w:color w:val="auto"/>
        </w:rPr>
        <w:t>” occurs on the date that any one person, or more than one person acting as a group, acquires ownership of stock of Sempra Energy that, together with stock held by such person or group, constitutes more than fifty percent (50%) of the total fair market value or total voting power of the stock of Sempra Energy,</w:t>
      </w:r>
    </w:p>
    <w:p>
      <w:pPr>
        <w:spacing w:after="0" w:line="120" w:lineRule="exact"/>
        <w:rPr>
          <w:rFonts w:ascii="Arial" w:cs="Arial" w:eastAsia="Arial" w:hAnsi="Arial"/>
          <w:sz w:val="19"/>
          <w:szCs w:val="19"/>
          <w:color w:val="auto"/>
        </w:rPr>
      </w:pPr>
    </w:p>
    <w:p>
      <w:pPr>
        <w:ind w:left="2600" w:hanging="647"/>
        <w:spacing w:after="0"/>
        <w:tabs>
          <w:tab w:leader="none" w:pos="2600" w:val="left"/>
        </w:tabs>
        <w:numPr>
          <w:ilvl w:val="1"/>
          <w:numId w:val="131"/>
        </w:numPr>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u w:val="single" w:color="auto"/>
          <w:color w:val="auto"/>
        </w:rPr>
        <w:t>change in the effective control of Sempra Energy</w:t>
      </w:r>
      <w:r>
        <w:rPr>
          <w:rFonts w:ascii="Arial" w:cs="Arial" w:eastAsia="Arial" w:hAnsi="Arial"/>
          <w:sz w:val="19"/>
          <w:szCs w:val="19"/>
          <w:color w:val="auto"/>
        </w:rPr>
        <w:t>” occurs only on either of the following dates:</w:t>
      </w:r>
    </w:p>
    <w:p>
      <w:pPr>
        <w:spacing w:after="0" w:line="227" w:lineRule="exact"/>
        <w:rPr>
          <w:rFonts w:ascii="Arial" w:cs="Arial" w:eastAsia="Arial" w:hAnsi="Arial"/>
          <w:sz w:val="19"/>
          <w:szCs w:val="19"/>
          <w:color w:val="auto"/>
        </w:rPr>
      </w:pPr>
    </w:p>
    <w:p>
      <w:pPr>
        <w:ind w:right="80" w:firstLine="2601"/>
        <w:spacing w:after="0" w:line="297" w:lineRule="auto"/>
        <w:tabs>
          <w:tab w:leader="none" w:pos="3241" w:val="left"/>
        </w:tabs>
        <w:numPr>
          <w:ilvl w:val="2"/>
          <w:numId w:val="131"/>
        </w:numPr>
        <w:rPr>
          <w:rFonts w:ascii="Arial" w:cs="Arial" w:eastAsia="Arial" w:hAnsi="Arial"/>
          <w:sz w:val="19"/>
          <w:szCs w:val="19"/>
          <w:color w:val="auto"/>
        </w:rPr>
      </w:pPr>
      <w:r>
        <w:rPr>
          <w:rFonts w:ascii="Arial" w:cs="Arial" w:eastAsia="Arial" w:hAnsi="Arial"/>
          <w:sz w:val="19"/>
          <w:szCs w:val="19"/>
          <w:color w:val="auto"/>
        </w:rPr>
        <w:t>the date any one person, or more than one person acting as a group, acquires (or has acquired during the twelve (12) month period ending on the date of the most recent acquisition by such person or persons) ownership of stock of Sempra Energy possessing thirty percent (30%) or more of the total voting power of the stock of Sempra Energy, or</w:t>
      </w:r>
    </w:p>
    <w:p>
      <w:pPr>
        <w:spacing w:after="0" w:line="134" w:lineRule="exact"/>
        <w:rPr>
          <w:rFonts w:ascii="Arial" w:cs="Arial" w:eastAsia="Arial" w:hAnsi="Arial"/>
          <w:sz w:val="19"/>
          <w:szCs w:val="19"/>
          <w:color w:val="auto"/>
        </w:rPr>
      </w:pPr>
    </w:p>
    <w:p>
      <w:pPr>
        <w:jc w:val="both"/>
        <w:ind w:right="360" w:firstLine="2601"/>
        <w:spacing w:after="0"/>
        <w:tabs>
          <w:tab w:leader="none" w:pos="3241" w:val="left"/>
        </w:tabs>
        <w:numPr>
          <w:ilvl w:val="2"/>
          <w:numId w:val="131"/>
        </w:numPr>
        <w:rPr>
          <w:rFonts w:ascii="Arial" w:cs="Arial" w:eastAsia="Arial" w:hAnsi="Arial"/>
          <w:sz w:val="22"/>
          <w:szCs w:val="22"/>
          <w:color w:val="auto"/>
        </w:rPr>
      </w:pPr>
      <w:r>
        <w:rPr>
          <w:rFonts w:ascii="Arial" w:cs="Arial" w:eastAsia="Arial" w:hAnsi="Arial"/>
          <w:sz w:val="22"/>
          <w:szCs w:val="22"/>
          <w:color w:val="auto"/>
        </w:rPr>
        <w:t>the date a majority of the members of the Board is replaced during any twelve (12) month period by directors whose appointment or election is not endorsed by a majority of the members of the Board before the date of appointment or election, and</w:t>
      </w:r>
    </w:p>
    <w:p>
      <w:pPr>
        <w:spacing w:after="0" w:line="172" w:lineRule="exact"/>
        <w:rPr>
          <w:rFonts w:ascii="Arial" w:cs="Arial" w:eastAsia="Arial" w:hAnsi="Arial"/>
          <w:sz w:val="22"/>
          <w:szCs w:val="22"/>
          <w:color w:val="auto"/>
        </w:rPr>
      </w:pPr>
    </w:p>
    <w:p>
      <w:pPr>
        <w:ind w:right="80" w:firstLine="1953"/>
        <w:spacing w:after="0" w:line="236" w:lineRule="auto"/>
        <w:tabs>
          <w:tab w:leader="none" w:pos="2593" w:val="left"/>
        </w:tabs>
        <w:numPr>
          <w:ilvl w:val="1"/>
          <w:numId w:val="131"/>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change in the ownership of a substantial portion of assets of Sempra Energy</w:t>
      </w:r>
      <w:r>
        <w:rPr>
          <w:rFonts w:ascii="Arial" w:cs="Arial" w:eastAsia="Arial" w:hAnsi="Arial"/>
          <w:sz w:val="22"/>
          <w:szCs w:val="22"/>
          <w:color w:val="auto"/>
        </w:rPr>
        <w:t>” occurs on the date any one person, or more than one person acting as a group, acquires (or has acquired during the twelve (12) month period ending on the date of the most recent acquisition by such person or persons) assets from Sempra Energy that have a total gross fair market value equal to or more than eighty-five percent (85%) of the total gross fair market value of all of the assets of Sempra Energy immediately before such acquisition or acquisitions.</w:t>
      </w:r>
    </w:p>
    <w:p>
      <w:pPr>
        <w:spacing w:after="0" w:line="174" w:lineRule="exact"/>
        <w:rPr>
          <w:rFonts w:ascii="Arial" w:cs="Arial" w:eastAsia="Arial" w:hAnsi="Arial"/>
          <w:sz w:val="22"/>
          <w:szCs w:val="22"/>
          <w:color w:val="auto"/>
        </w:rPr>
      </w:pPr>
    </w:p>
    <w:p>
      <w:pPr>
        <w:ind w:right="420" w:firstLine="1305"/>
        <w:spacing w:after="0" w:line="251" w:lineRule="auto"/>
        <w:tabs>
          <w:tab w:leader="none" w:pos="1945" w:val="left"/>
        </w:tabs>
        <w:numPr>
          <w:ilvl w:val="0"/>
          <w:numId w:val="131"/>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change in the ownership of Sempra Energy</w:t>
      </w:r>
      <w:r>
        <w:rPr>
          <w:rFonts w:ascii="Arial" w:cs="Arial" w:eastAsia="Arial" w:hAnsi="Arial"/>
          <w:sz w:val="22"/>
          <w:szCs w:val="22"/>
          <w:color w:val="auto"/>
        </w:rPr>
        <w:t>” or “</w:t>
      </w:r>
      <w:r>
        <w:rPr>
          <w:rFonts w:ascii="Arial" w:cs="Arial" w:eastAsia="Arial" w:hAnsi="Arial"/>
          <w:sz w:val="22"/>
          <w:szCs w:val="22"/>
          <w:u w:val="single" w:color="auto"/>
          <w:color w:val="auto"/>
        </w:rPr>
        <w:t>a change in the effective control of Sempra Energy</w:t>
      </w:r>
      <w:r>
        <w:rPr>
          <w:rFonts w:ascii="Arial" w:cs="Arial" w:eastAsia="Arial" w:hAnsi="Arial"/>
          <w:sz w:val="22"/>
          <w:szCs w:val="22"/>
          <w:color w:val="auto"/>
        </w:rPr>
        <w:t>” shall not occur under clause (a)(i) or (a)(ii) by reason of any of the following:</w:t>
      </w:r>
    </w:p>
    <w:p>
      <w:pPr>
        <w:spacing w:after="0" w:line="173" w:lineRule="exact"/>
        <w:rPr>
          <w:rFonts w:ascii="Arial" w:cs="Arial" w:eastAsia="Arial" w:hAnsi="Arial"/>
          <w:sz w:val="22"/>
          <w:szCs w:val="22"/>
          <w:color w:val="auto"/>
        </w:rPr>
      </w:pPr>
    </w:p>
    <w:p>
      <w:pPr>
        <w:ind w:right="80" w:firstLine="1953"/>
        <w:spacing w:after="0" w:line="251" w:lineRule="auto"/>
        <w:tabs>
          <w:tab w:leader="none" w:pos="2593" w:val="left"/>
        </w:tabs>
        <w:numPr>
          <w:ilvl w:val="1"/>
          <w:numId w:val="132"/>
        </w:numPr>
        <w:rPr>
          <w:rFonts w:ascii="Arial" w:cs="Arial" w:eastAsia="Arial" w:hAnsi="Arial"/>
          <w:sz w:val="22"/>
          <w:szCs w:val="22"/>
          <w:color w:val="auto"/>
        </w:rPr>
      </w:pPr>
      <w:r>
        <w:rPr>
          <w:rFonts w:ascii="Arial" w:cs="Arial" w:eastAsia="Arial" w:hAnsi="Arial"/>
          <w:sz w:val="22"/>
          <w:szCs w:val="22"/>
          <w:color w:val="auto"/>
        </w:rPr>
        <w:t>an acquisition of ownership of stock of Sempra Energy directly from Sempra Energy or its Affiliates other than in connection with the acquisition by Sempra Energy or its Affiliates of a business,</w:t>
      </w:r>
    </w:p>
    <w:p>
      <w:pPr>
        <w:spacing w:after="0" w:line="159" w:lineRule="exact"/>
        <w:rPr>
          <w:rFonts w:ascii="Arial" w:cs="Arial" w:eastAsia="Arial" w:hAnsi="Arial"/>
          <w:sz w:val="22"/>
          <w:szCs w:val="22"/>
          <w:color w:val="auto"/>
        </w:rPr>
      </w:pPr>
    </w:p>
    <w:p>
      <w:pPr>
        <w:ind w:right="60" w:firstLine="1953"/>
        <w:spacing w:after="0" w:line="235" w:lineRule="auto"/>
        <w:tabs>
          <w:tab w:leader="none" w:pos="2593" w:val="left"/>
        </w:tabs>
        <w:numPr>
          <w:ilvl w:val="1"/>
          <w:numId w:val="132"/>
        </w:numPr>
        <w:rPr>
          <w:rFonts w:ascii="Arial" w:cs="Arial" w:eastAsia="Arial" w:hAnsi="Arial"/>
          <w:sz w:val="22"/>
          <w:szCs w:val="22"/>
          <w:color w:val="auto"/>
        </w:rPr>
      </w:pPr>
      <w:r>
        <w:rPr>
          <w:rFonts w:ascii="Arial" w:cs="Arial" w:eastAsia="Arial" w:hAnsi="Arial"/>
          <w:sz w:val="22"/>
          <w:szCs w:val="22"/>
          <w:color w:val="auto"/>
        </w:rPr>
        <w:t>a merger or consolidation which would result in the voting securities of Sempra Energy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at least sixty percent (60%) of the combined voting power of the securities of Sempra Energy or such surviving entity or any parent thereof outstanding immediately after such merger or consolidation, or</w:t>
      </w:r>
    </w:p>
    <w:p>
      <w:pPr>
        <w:spacing w:after="0" w:line="174" w:lineRule="exact"/>
        <w:rPr>
          <w:rFonts w:ascii="Arial" w:cs="Arial" w:eastAsia="Arial" w:hAnsi="Arial"/>
          <w:sz w:val="22"/>
          <w:szCs w:val="22"/>
          <w:color w:val="auto"/>
        </w:rPr>
      </w:pPr>
    </w:p>
    <w:p>
      <w:pPr>
        <w:ind w:right="40" w:firstLine="1953"/>
        <w:spacing w:after="0" w:line="235" w:lineRule="auto"/>
        <w:tabs>
          <w:tab w:leader="none" w:pos="2593" w:val="left"/>
        </w:tabs>
        <w:numPr>
          <w:ilvl w:val="1"/>
          <w:numId w:val="132"/>
        </w:numPr>
        <w:rPr>
          <w:rFonts w:ascii="Arial" w:cs="Arial" w:eastAsia="Arial" w:hAnsi="Arial"/>
          <w:sz w:val="22"/>
          <w:szCs w:val="22"/>
          <w:color w:val="auto"/>
        </w:rPr>
      </w:pPr>
      <w:r>
        <w:rPr>
          <w:rFonts w:ascii="Arial" w:cs="Arial" w:eastAsia="Arial" w:hAnsi="Arial"/>
          <w:sz w:val="22"/>
          <w:szCs w:val="22"/>
          <w:color w:val="auto"/>
        </w:rPr>
        <w:t>a merger or consolidation effected to implement a recapitalization of Sempra Energy (or similar transaction) in which no Person is or becomes the Beneficial Owner (within the meaning of Rule 13d-3 promulgated under the Exchange Act), directly or indirectly, of securities of Sempra Energy (not including the securities beneficially owned by such Person any securities acquired directly from Sempra Energy or its Affiliates other than in connection with the acquisition by Sempra Energy or its Affiliates of a business) representing twenty percent (20%) or more of the combined voting power of Sempra Energy’s then outstanding securities.</w:t>
      </w:r>
    </w:p>
    <w:p>
      <w:pPr>
        <w:spacing w:after="0" w:line="188" w:lineRule="exact"/>
        <w:rPr>
          <w:rFonts w:ascii="Arial" w:cs="Arial" w:eastAsia="Arial" w:hAnsi="Arial"/>
          <w:sz w:val="22"/>
          <w:szCs w:val="22"/>
          <w:color w:val="auto"/>
        </w:rPr>
      </w:pPr>
    </w:p>
    <w:p>
      <w:pPr>
        <w:jc w:val="both"/>
        <w:ind w:firstLine="1305"/>
        <w:spacing w:after="0" w:line="252" w:lineRule="auto"/>
        <w:tabs>
          <w:tab w:leader="none" w:pos="1945" w:val="left"/>
        </w:tabs>
        <w:numPr>
          <w:ilvl w:val="0"/>
          <w:numId w:val="133"/>
        </w:numPr>
        <w:rPr>
          <w:rFonts w:ascii="Arial" w:cs="Arial" w:eastAsia="Arial" w:hAnsi="Arial"/>
          <w:sz w:val="21"/>
          <w:szCs w:val="21"/>
          <w:color w:val="auto"/>
        </w:rPr>
      </w:pPr>
      <w:r>
        <w:rPr>
          <w:rFonts w:ascii="Arial" w:cs="Arial" w:eastAsia="Arial" w:hAnsi="Arial"/>
          <w:sz w:val="21"/>
          <w:szCs w:val="21"/>
          <w:color w:val="auto"/>
        </w:rPr>
        <w:t>A “</w:t>
      </w:r>
      <w:r>
        <w:rPr>
          <w:rFonts w:ascii="Arial" w:cs="Arial" w:eastAsia="Arial" w:hAnsi="Arial"/>
          <w:sz w:val="21"/>
          <w:szCs w:val="21"/>
          <w:u w:val="single" w:color="auto"/>
          <w:color w:val="auto"/>
        </w:rPr>
        <w:t>change in the ownership of a substantial portion of assets of Sempra Energy</w:t>
      </w:r>
      <w:r>
        <w:rPr>
          <w:rFonts w:ascii="Arial" w:cs="Arial" w:eastAsia="Arial" w:hAnsi="Arial"/>
          <w:sz w:val="21"/>
          <w:szCs w:val="21"/>
          <w:color w:val="auto"/>
        </w:rPr>
        <w:t>” shall not occur under clause (a)(iii) by reason of a sale or disposition by Sempra Energy of the assets of Sempra Energy to an entity, at least sixty percent (60%) of the combined voting power of the voting securities of which are owned by shareholders of Sempra Energy in substantially the same proportions as their ownership of Sempra Energy immediately prior to such sale.</w:t>
      </w:r>
    </w:p>
    <w:p>
      <w:pPr>
        <w:spacing w:after="0" w:line="160" w:lineRule="exact"/>
        <w:rPr>
          <w:rFonts w:ascii="Arial" w:cs="Arial" w:eastAsia="Arial" w:hAnsi="Arial"/>
          <w:sz w:val="21"/>
          <w:szCs w:val="21"/>
          <w:color w:val="auto"/>
        </w:rPr>
      </w:pPr>
    </w:p>
    <w:p>
      <w:pPr>
        <w:ind w:right="100" w:firstLine="1305"/>
        <w:spacing w:after="0" w:line="238" w:lineRule="auto"/>
        <w:tabs>
          <w:tab w:leader="none" w:pos="1945"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This definition of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be limited to the definition of a “change in control event” relating to Sempra Energy under Treasury Regulation Section 1.409A-3(i)(5). A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only occur if there is a “change in control event” relating to Sempra Energy under Treasury Regulation Section 1.409A-3(i)(5) with respect to the Executive.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 Date</w:t>
      </w:r>
      <w:r>
        <w:rPr>
          <w:rFonts w:ascii="Arial" w:cs="Arial" w:eastAsia="Arial" w:hAnsi="Arial"/>
          <w:sz w:val="22"/>
          <w:szCs w:val="22"/>
          <w:color w:val="auto"/>
        </w:rPr>
        <w:t>” means the date on which a Change in Control occurs.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Compensation Committee</w:t>
      </w:r>
      <w:r>
        <w:rPr>
          <w:rFonts w:ascii="Arial" w:cs="Arial" w:eastAsia="Arial" w:hAnsi="Arial"/>
          <w:sz w:val="22"/>
          <w:szCs w:val="22"/>
          <w:color w:val="auto"/>
        </w:rPr>
        <w:t>” means the compensation committee of the Board.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Consulting Payment</w:t>
      </w:r>
      <w:r>
        <w:rPr>
          <w:rFonts w:ascii="Arial" w:cs="Arial" w:eastAsia="Arial" w:hAnsi="Arial"/>
          <w:sz w:val="22"/>
          <w:szCs w:val="22"/>
          <w:color w:val="auto"/>
        </w:rPr>
        <w:t>” has the meaning assigned thereto in Section 14(d)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Consulting Period</w:t>
      </w:r>
      <w:r>
        <w:rPr>
          <w:rFonts w:ascii="Arial" w:cs="Arial" w:eastAsia="Arial" w:hAnsi="Arial"/>
          <w:sz w:val="22"/>
          <w:szCs w:val="22"/>
          <w:color w:val="auto"/>
        </w:rPr>
        <w:t>” has the meaning assigned thereto in Section 14(e)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Date of Termination</w:t>
      </w:r>
      <w:r>
        <w:rPr>
          <w:rFonts w:ascii="Arial" w:cs="Arial" w:eastAsia="Arial" w:hAnsi="Arial"/>
          <w:sz w:val="22"/>
          <w:szCs w:val="22"/>
          <w:color w:val="auto"/>
        </w:rPr>
        <w:t>” has the meaning assigned thereto in Section 2(b)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Compensation Plan</w:t>
      </w:r>
      <w:r>
        <w:rPr>
          <w:rFonts w:ascii="Arial" w:cs="Arial" w:eastAsia="Arial" w:hAnsi="Arial"/>
          <w:sz w:val="22"/>
          <w:szCs w:val="22"/>
          <w:color w:val="auto"/>
        </w:rPr>
        <w:t>” has the meaning assigned thereto in Section 4(f) hereof.</w:t>
      </w:r>
    </w:p>
    <w:p>
      <w:pPr>
        <w:spacing w:after="0" w:line="206" w:lineRule="exact"/>
        <w:rPr>
          <w:sz w:val="20"/>
          <w:szCs w:val="20"/>
          <w:color w:val="auto"/>
        </w:rPr>
      </w:pPr>
    </w:p>
    <w:p>
      <w:pPr>
        <w:ind w:right="12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xml:space="preserve">” has the meaning set forth in the Company’s long-term disability plan or its successor;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Board may not terminate the Executive’s employment hereunder by reason of Disability unless (i) at the time of</w:t>
      </w:r>
    </w:p>
    <w:p>
      <w:pPr>
        <w:sectPr>
          <w:pgSz w:w="11900" w:h="16838" w:orient="portrait"/>
          <w:cols w:equalWidth="0" w:num="1">
            <w:col w:w="11380"/>
          </w:cols>
          <w:pgMar w:left="240" w:top="118" w:right="279" w:bottom="0" w:gutter="0" w:footer="0" w:header="0"/>
        </w:sectPr>
      </w:pPr>
    </w:p>
    <w:bookmarkStart w:id="95" w:name="page96"/>
    <w:bookmarkEnd w:id="95"/>
    <w:p>
      <w:pPr>
        <w:ind w:right="280"/>
        <w:spacing w:after="0" w:line="251" w:lineRule="auto"/>
        <w:rPr>
          <w:sz w:val="20"/>
          <w:szCs w:val="20"/>
          <w:color w:val="auto"/>
        </w:rPr>
      </w:pPr>
      <w:r>
        <w:rPr>
          <w:rFonts w:ascii="Arial" w:cs="Arial" w:eastAsia="Arial" w:hAnsi="Arial"/>
          <w:sz w:val="22"/>
          <w:szCs w:val="22"/>
          <w:color w:val="auto"/>
        </w:rPr>
        <w:t>such termination there is no reasonable expectation that the Executive will return to work within the next ninety (90) day period and (ii) such termination is permitted by all applicable disability laws.</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means the Securities Exchange Act of 1934, as amended, and the applicable rulings and regulations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thereunder.</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Excise Tax</w:t>
      </w:r>
      <w:r>
        <w:rPr>
          <w:rFonts w:ascii="Arial" w:cs="Arial" w:eastAsia="Arial" w:hAnsi="Arial"/>
          <w:sz w:val="22"/>
          <w:szCs w:val="22"/>
          <w:color w:val="auto"/>
        </w:rPr>
        <w:t>” has the meaning assigned thereto in Section 8(a)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 Reason</w:t>
      </w:r>
      <w:r>
        <w:rPr>
          <w:rFonts w:ascii="Arial" w:cs="Arial" w:eastAsia="Arial" w:hAnsi="Arial"/>
          <w:sz w:val="22"/>
          <w:szCs w:val="22"/>
          <w:color w:val="auto"/>
        </w:rPr>
        <w:t>” means:</w:t>
      </w:r>
    </w:p>
    <w:p>
      <w:pPr>
        <w:spacing w:after="0" w:line="193" w:lineRule="exact"/>
        <w:rPr>
          <w:sz w:val="20"/>
          <w:szCs w:val="20"/>
          <w:color w:val="auto"/>
        </w:rPr>
      </w:pPr>
    </w:p>
    <w:p>
      <w:pPr>
        <w:jc w:val="both"/>
        <w:ind w:right="100" w:firstLine="1305"/>
        <w:spacing w:after="0"/>
        <w:tabs>
          <w:tab w:leader="none" w:pos="1945" w:val="left"/>
        </w:tabs>
        <w:numPr>
          <w:ilvl w:val="0"/>
          <w:numId w:val="134"/>
        </w:numPr>
        <w:rPr>
          <w:rFonts w:ascii="Arial" w:cs="Arial" w:eastAsia="Arial" w:hAnsi="Arial"/>
          <w:sz w:val="22"/>
          <w:szCs w:val="22"/>
          <w:color w:val="auto"/>
        </w:rPr>
      </w:pPr>
      <w:r>
        <w:rPr>
          <w:rFonts w:ascii="Arial" w:cs="Arial" w:eastAsia="Arial" w:hAnsi="Arial"/>
          <w:sz w:val="22"/>
          <w:szCs w:val="22"/>
          <w:color w:val="auto"/>
        </w:rPr>
        <w:t>Prior to a Change in Control, the occurrence of any of the following without the prior written consent of the Executive, unless such act or failure to act is corrected by the Company prior to the Date of Termination specified in the Notice of Termination (as required under Section 2 hereof):</w:t>
      </w:r>
    </w:p>
    <w:p>
      <w:pPr>
        <w:spacing w:after="0" w:line="186" w:lineRule="exact"/>
        <w:rPr>
          <w:rFonts w:ascii="Arial" w:cs="Arial" w:eastAsia="Arial" w:hAnsi="Arial"/>
          <w:sz w:val="22"/>
          <w:szCs w:val="22"/>
          <w:color w:val="auto"/>
        </w:rPr>
      </w:pPr>
    </w:p>
    <w:p>
      <w:pPr>
        <w:ind w:right="340" w:firstLine="1953"/>
        <w:spacing w:after="0"/>
        <w:tabs>
          <w:tab w:leader="none" w:pos="2593" w:val="left"/>
        </w:tabs>
        <w:numPr>
          <w:ilvl w:val="1"/>
          <w:numId w:val="134"/>
        </w:numPr>
        <w:rPr>
          <w:rFonts w:ascii="Arial" w:cs="Arial" w:eastAsia="Arial" w:hAnsi="Arial"/>
          <w:sz w:val="22"/>
          <w:szCs w:val="22"/>
          <w:color w:val="auto"/>
        </w:rPr>
      </w:pPr>
      <w:r>
        <w:rPr>
          <w:rFonts w:ascii="Arial" w:cs="Arial" w:eastAsia="Arial" w:hAnsi="Arial"/>
          <w:sz w:val="22"/>
          <w:szCs w:val="22"/>
          <w:color w:val="auto"/>
        </w:rPr>
        <w:t>the assignment to the Executive of any duties materially inconsistent with the range of duties and responsibilities appropriate to a senior Executive within the Company (such range determined by reference to past, current and reasonable practices within the Company);</w:t>
      </w:r>
    </w:p>
    <w:p>
      <w:pPr>
        <w:spacing w:after="0" w:line="172" w:lineRule="exact"/>
        <w:rPr>
          <w:rFonts w:ascii="Arial" w:cs="Arial" w:eastAsia="Arial" w:hAnsi="Arial"/>
          <w:sz w:val="22"/>
          <w:szCs w:val="22"/>
          <w:color w:val="auto"/>
        </w:rPr>
      </w:pPr>
    </w:p>
    <w:p>
      <w:pPr>
        <w:ind w:right="60" w:firstLine="1953"/>
        <w:spacing w:after="0"/>
        <w:tabs>
          <w:tab w:leader="none" w:pos="2593" w:val="left"/>
        </w:tabs>
        <w:numPr>
          <w:ilvl w:val="1"/>
          <w:numId w:val="134"/>
        </w:numPr>
        <w:rPr>
          <w:rFonts w:ascii="Arial" w:cs="Arial" w:eastAsia="Arial" w:hAnsi="Arial"/>
          <w:sz w:val="22"/>
          <w:szCs w:val="22"/>
          <w:color w:val="auto"/>
        </w:rPr>
      </w:pPr>
      <w:r>
        <w:rPr>
          <w:rFonts w:ascii="Arial" w:cs="Arial" w:eastAsia="Arial" w:hAnsi="Arial"/>
          <w:sz w:val="22"/>
          <w:szCs w:val="22"/>
          <w:color w:val="auto"/>
        </w:rPr>
        <w:t>a material reduction in the Executive’s overall standing and responsibilities within the Company, but not including (A) a mere change in title or (B) a transfer within the Company, which, in the case of both (A) and (B), does not adversely affect the Executive’s overall status within the Company;</w:t>
      </w:r>
    </w:p>
    <w:p>
      <w:pPr>
        <w:spacing w:after="0" w:line="172" w:lineRule="exact"/>
        <w:rPr>
          <w:rFonts w:ascii="Arial" w:cs="Arial" w:eastAsia="Arial" w:hAnsi="Arial"/>
          <w:sz w:val="22"/>
          <w:szCs w:val="22"/>
          <w:color w:val="auto"/>
        </w:rPr>
      </w:pPr>
    </w:p>
    <w:p>
      <w:pPr>
        <w:ind w:right="340" w:firstLine="1953"/>
        <w:spacing w:after="0" w:line="238" w:lineRule="auto"/>
        <w:tabs>
          <w:tab w:leader="none" w:pos="2593" w:val="left"/>
        </w:tabs>
        <w:numPr>
          <w:ilvl w:val="1"/>
          <w:numId w:val="134"/>
        </w:numPr>
        <w:rPr>
          <w:rFonts w:ascii="Arial" w:cs="Arial" w:eastAsia="Arial" w:hAnsi="Arial"/>
          <w:sz w:val="22"/>
          <w:szCs w:val="22"/>
          <w:color w:val="auto"/>
        </w:rPr>
      </w:pPr>
      <w:r>
        <w:rPr>
          <w:rFonts w:ascii="Arial" w:cs="Arial" w:eastAsia="Arial" w:hAnsi="Arial"/>
          <w:sz w:val="22"/>
          <w:szCs w:val="22"/>
          <w:color w:val="auto"/>
        </w:rPr>
        <w:t>a material reduction by the Company in the Executive’s aggregate annualized compensation and benefits opportunities, except for across-the-board reductions (or modifications of benefit plans) similarly affecting all similarly situated executives (both of the Company and of any Person then in control of the Company) of comparable rank with the Executive;</w:t>
      </w:r>
    </w:p>
    <w:p>
      <w:pPr>
        <w:spacing w:after="0" w:line="185" w:lineRule="exact"/>
        <w:rPr>
          <w:rFonts w:ascii="Arial" w:cs="Arial" w:eastAsia="Arial" w:hAnsi="Arial"/>
          <w:sz w:val="22"/>
          <w:szCs w:val="22"/>
          <w:color w:val="auto"/>
        </w:rPr>
      </w:pPr>
    </w:p>
    <w:p>
      <w:pPr>
        <w:ind w:right="80" w:firstLine="1953"/>
        <w:spacing w:after="0"/>
        <w:tabs>
          <w:tab w:leader="none" w:pos="2593" w:val="left"/>
        </w:tabs>
        <w:numPr>
          <w:ilvl w:val="1"/>
          <w:numId w:val="134"/>
        </w:numPr>
        <w:rPr>
          <w:rFonts w:ascii="Arial" w:cs="Arial" w:eastAsia="Arial" w:hAnsi="Arial"/>
          <w:sz w:val="22"/>
          <w:szCs w:val="22"/>
          <w:color w:val="auto"/>
        </w:rPr>
      </w:pPr>
      <w:r>
        <w:rPr>
          <w:rFonts w:ascii="Arial" w:cs="Arial" w:eastAsia="Arial" w:hAnsi="Arial"/>
          <w:sz w:val="22"/>
          <w:szCs w:val="22"/>
          <w:color w:val="auto"/>
        </w:rPr>
        <w:t>the failure by the Company to pay to the Executive any portion of the Executive’s current compensation and benefits or any portion of an installment of deferred compensation under any deferred compensation program of the Company within thirty (30) days of the date such compensation is due;</w:t>
      </w:r>
    </w:p>
    <w:p>
      <w:pPr>
        <w:spacing w:after="0" w:line="172" w:lineRule="exact"/>
        <w:rPr>
          <w:rFonts w:ascii="Arial" w:cs="Arial" w:eastAsia="Arial" w:hAnsi="Arial"/>
          <w:sz w:val="22"/>
          <w:szCs w:val="22"/>
          <w:color w:val="auto"/>
        </w:rPr>
      </w:pPr>
    </w:p>
    <w:p>
      <w:pPr>
        <w:jc w:val="both"/>
        <w:ind w:firstLine="1953"/>
        <w:spacing w:after="0"/>
        <w:tabs>
          <w:tab w:leader="none" w:pos="2593" w:val="left"/>
        </w:tabs>
        <w:numPr>
          <w:ilvl w:val="1"/>
          <w:numId w:val="134"/>
        </w:numPr>
        <w:rPr>
          <w:rFonts w:ascii="Arial" w:cs="Arial" w:eastAsia="Arial" w:hAnsi="Arial"/>
          <w:sz w:val="22"/>
          <w:szCs w:val="22"/>
          <w:color w:val="auto"/>
        </w:rPr>
      </w:pPr>
      <w:r>
        <w:rPr>
          <w:rFonts w:ascii="Arial" w:cs="Arial" w:eastAsia="Arial" w:hAnsi="Arial"/>
          <w:sz w:val="22"/>
          <w:szCs w:val="22"/>
          <w:color w:val="auto"/>
        </w:rPr>
        <w:t>any purported termination of the Executive’s employment that is not effected pursuant to a Notice of Termination satisfying the requirements of Section 2 hereof; for purposes of this Agreement, no such purported termination shall be effective;</w:t>
      </w:r>
    </w:p>
    <w:p>
      <w:pPr>
        <w:spacing w:after="0" w:line="172" w:lineRule="exact"/>
        <w:rPr>
          <w:rFonts w:ascii="Arial" w:cs="Arial" w:eastAsia="Arial" w:hAnsi="Arial"/>
          <w:sz w:val="22"/>
          <w:szCs w:val="22"/>
          <w:color w:val="auto"/>
        </w:rPr>
      </w:pPr>
    </w:p>
    <w:p>
      <w:pPr>
        <w:ind w:left="2600" w:hanging="647"/>
        <w:spacing w:after="0"/>
        <w:tabs>
          <w:tab w:leader="none" w:pos="2600" w:val="left"/>
        </w:tabs>
        <w:numPr>
          <w:ilvl w:val="1"/>
          <w:numId w:val="134"/>
        </w:numPr>
        <w:rPr>
          <w:rFonts w:ascii="Arial" w:cs="Arial" w:eastAsia="Arial" w:hAnsi="Arial"/>
          <w:sz w:val="21"/>
          <w:szCs w:val="21"/>
          <w:color w:val="auto"/>
        </w:rPr>
      </w:pPr>
      <w:r>
        <w:rPr>
          <w:rFonts w:ascii="Arial" w:cs="Arial" w:eastAsia="Arial" w:hAnsi="Arial"/>
          <w:sz w:val="21"/>
          <w:szCs w:val="21"/>
          <w:color w:val="auto"/>
        </w:rPr>
        <w:t>the failure by Sempra Energy to perform its obligations under Section 16(c), (d) or (e) hereof;</w:t>
      </w:r>
    </w:p>
    <w:p>
      <w:pPr>
        <w:spacing w:after="0" w:line="217" w:lineRule="exact"/>
        <w:rPr>
          <w:rFonts w:ascii="Arial" w:cs="Arial" w:eastAsia="Arial" w:hAnsi="Arial"/>
          <w:sz w:val="21"/>
          <w:szCs w:val="21"/>
          <w:color w:val="auto"/>
        </w:rPr>
      </w:pPr>
    </w:p>
    <w:p>
      <w:pPr>
        <w:ind w:right="80" w:firstLine="1953"/>
        <w:spacing w:after="0" w:line="251" w:lineRule="auto"/>
        <w:tabs>
          <w:tab w:leader="none" w:pos="2593" w:val="left"/>
        </w:tabs>
        <w:numPr>
          <w:ilvl w:val="1"/>
          <w:numId w:val="134"/>
        </w:numPr>
        <w:rPr>
          <w:rFonts w:ascii="Arial" w:cs="Arial" w:eastAsia="Arial" w:hAnsi="Arial"/>
          <w:sz w:val="22"/>
          <w:szCs w:val="22"/>
          <w:color w:val="auto"/>
        </w:rPr>
      </w:pPr>
      <w:r>
        <w:rPr>
          <w:rFonts w:ascii="Arial" w:cs="Arial" w:eastAsia="Arial" w:hAnsi="Arial"/>
          <w:sz w:val="22"/>
          <w:szCs w:val="22"/>
          <w:color w:val="auto"/>
        </w:rPr>
        <w:t>the failure by the Company to provide the indemnification and D&amp;O insurance protection Section 10 of this Agreement requires it to provide; or</w:t>
      </w:r>
    </w:p>
    <w:p>
      <w:pPr>
        <w:spacing w:after="0" w:line="159" w:lineRule="exact"/>
        <w:rPr>
          <w:rFonts w:ascii="Arial" w:cs="Arial" w:eastAsia="Arial" w:hAnsi="Arial"/>
          <w:sz w:val="22"/>
          <w:szCs w:val="22"/>
          <w:color w:val="auto"/>
        </w:rPr>
      </w:pPr>
    </w:p>
    <w:p>
      <w:pPr>
        <w:ind w:left="2600" w:hanging="647"/>
        <w:spacing w:after="0"/>
        <w:tabs>
          <w:tab w:leader="none" w:pos="2600" w:val="left"/>
        </w:tabs>
        <w:numPr>
          <w:ilvl w:val="1"/>
          <w:numId w:val="134"/>
        </w:numPr>
        <w:rPr>
          <w:rFonts w:ascii="Arial" w:cs="Arial" w:eastAsia="Arial" w:hAnsi="Arial"/>
          <w:sz w:val="22"/>
          <w:szCs w:val="22"/>
          <w:color w:val="auto"/>
        </w:rPr>
      </w:pPr>
      <w:r>
        <w:rPr>
          <w:rFonts w:ascii="Arial" w:cs="Arial" w:eastAsia="Arial" w:hAnsi="Arial"/>
          <w:sz w:val="22"/>
          <w:szCs w:val="22"/>
          <w:color w:val="auto"/>
        </w:rPr>
        <w:t>the failure by Sempra Energy to comply with any material provision of this Agreement.</w:t>
      </w:r>
    </w:p>
    <w:p>
      <w:pPr>
        <w:spacing w:after="0" w:line="192" w:lineRule="exact"/>
        <w:rPr>
          <w:rFonts w:ascii="Arial" w:cs="Arial" w:eastAsia="Arial" w:hAnsi="Arial"/>
          <w:sz w:val="22"/>
          <w:szCs w:val="22"/>
          <w:color w:val="auto"/>
        </w:rPr>
      </w:pPr>
    </w:p>
    <w:p>
      <w:pPr>
        <w:ind w:right="60" w:firstLine="1305"/>
        <w:spacing w:after="0"/>
        <w:tabs>
          <w:tab w:leader="none" w:pos="1945" w:val="left"/>
        </w:tabs>
        <w:numPr>
          <w:ilvl w:val="0"/>
          <w:numId w:val="134"/>
        </w:numPr>
        <w:rPr>
          <w:rFonts w:ascii="Arial" w:cs="Arial" w:eastAsia="Arial" w:hAnsi="Arial"/>
          <w:sz w:val="22"/>
          <w:szCs w:val="22"/>
          <w:color w:val="auto"/>
        </w:rPr>
      </w:pPr>
      <w:r>
        <w:rPr>
          <w:rFonts w:ascii="Arial" w:cs="Arial" w:eastAsia="Arial" w:hAnsi="Arial"/>
          <w:sz w:val="22"/>
          <w:szCs w:val="22"/>
          <w:color w:val="auto"/>
        </w:rPr>
        <w:t>From and after a Change in Control, the occurrence of any of the following without the prior written consent of the Executive, unless such act or failure to act is corrected by the Company prior to the Date of Termination specified in the Notice of Termination (as required under Section 2 hereof):</w:t>
      </w:r>
    </w:p>
    <w:p>
      <w:pPr>
        <w:spacing w:after="0" w:line="186" w:lineRule="exact"/>
        <w:rPr>
          <w:rFonts w:ascii="Arial" w:cs="Arial" w:eastAsia="Arial" w:hAnsi="Arial"/>
          <w:sz w:val="22"/>
          <w:szCs w:val="22"/>
          <w:color w:val="auto"/>
        </w:rPr>
      </w:pPr>
    </w:p>
    <w:p>
      <w:pPr>
        <w:ind w:right="260" w:firstLine="1953"/>
        <w:spacing w:after="0" w:line="251" w:lineRule="auto"/>
        <w:tabs>
          <w:tab w:leader="none" w:pos="2593" w:val="left"/>
        </w:tabs>
        <w:numPr>
          <w:ilvl w:val="1"/>
          <w:numId w:val="134"/>
        </w:numPr>
        <w:rPr>
          <w:rFonts w:ascii="Arial" w:cs="Arial" w:eastAsia="Arial" w:hAnsi="Arial"/>
          <w:sz w:val="22"/>
          <w:szCs w:val="22"/>
          <w:color w:val="auto"/>
        </w:rPr>
      </w:pPr>
      <w:r>
        <w:rPr>
          <w:rFonts w:ascii="Arial" w:cs="Arial" w:eastAsia="Arial" w:hAnsi="Arial"/>
          <w:sz w:val="22"/>
          <w:szCs w:val="22"/>
          <w:color w:val="auto"/>
        </w:rPr>
        <w:t>an adverse change in the Executive’s title, authority, duties, responsibilities or reporting lines as in effect immediately prior to the Change in Control;</w:t>
      </w:r>
    </w:p>
    <w:p>
      <w:pPr>
        <w:spacing w:after="0" w:line="159" w:lineRule="exact"/>
        <w:rPr>
          <w:rFonts w:ascii="Arial" w:cs="Arial" w:eastAsia="Arial" w:hAnsi="Arial"/>
          <w:sz w:val="22"/>
          <w:szCs w:val="22"/>
          <w:color w:val="auto"/>
        </w:rPr>
      </w:pPr>
    </w:p>
    <w:p>
      <w:pPr>
        <w:ind w:right="20" w:firstLine="1953"/>
        <w:spacing w:after="0" w:line="245" w:lineRule="auto"/>
        <w:tabs>
          <w:tab w:leader="none" w:pos="2593" w:val="left"/>
        </w:tabs>
        <w:numPr>
          <w:ilvl w:val="1"/>
          <w:numId w:val="134"/>
        </w:numPr>
        <w:rPr>
          <w:rFonts w:ascii="Arial" w:cs="Arial" w:eastAsia="Arial" w:hAnsi="Arial"/>
          <w:sz w:val="21"/>
          <w:szCs w:val="21"/>
          <w:color w:val="auto"/>
        </w:rPr>
      </w:pPr>
      <w:r>
        <w:rPr>
          <w:rFonts w:ascii="Arial" w:cs="Arial" w:eastAsia="Arial" w:hAnsi="Arial"/>
          <w:sz w:val="21"/>
          <w:szCs w:val="21"/>
          <w:color w:val="auto"/>
        </w:rPr>
        <w:t>a reduction by the Company in the Executive’s aggregate annualized compensation opportunities, except for across-the-board reductions in base salaries, annual bonus opportunities or long-term incentive compensation opportunities of less than ten percent (10%) similarly affecting all similarly situated executives (both of the Company and of any Person then in control of the Company) of comparable rank with the Executive; or the failure by the Company to continue in effect any material benefit plan in which the Executive participates immediately prior to the Change in Control, unless an equitable arrangement (embodied in an ongoing substitute or alternative plan) has been made with respect to such plan, or the failure by the Company to continue the Executive's participation therein (or in such substitute or alternative plan) on a basis not materially less favorable, both in terms of the amount of benefits provided and the level of the Executive's participation relative to other participants, as existed at the time of the Change in Control;</w:t>
      </w:r>
    </w:p>
    <w:p>
      <w:pPr>
        <w:spacing w:after="0" w:line="171" w:lineRule="exact"/>
        <w:rPr>
          <w:rFonts w:ascii="Arial" w:cs="Arial" w:eastAsia="Arial" w:hAnsi="Arial"/>
          <w:sz w:val="21"/>
          <w:szCs w:val="21"/>
          <w:color w:val="auto"/>
        </w:rPr>
      </w:pPr>
    </w:p>
    <w:p>
      <w:pPr>
        <w:ind w:right="40" w:firstLine="1953"/>
        <w:spacing w:after="0" w:line="234" w:lineRule="auto"/>
        <w:tabs>
          <w:tab w:leader="none" w:pos="2593" w:val="left"/>
        </w:tabs>
        <w:numPr>
          <w:ilvl w:val="1"/>
          <w:numId w:val="134"/>
        </w:numPr>
        <w:rPr>
          <w:rFonts w:ascii="Arial" w:cs="Arial" w:eastAsia="Arial" w:hAnsi="Arial"/>
          <w:sz w:val="22"/>
          <w:szCs w:val="22"/>
          <w:color w:val="auto"/>
        </w:rPr>
      </w:pPr>
      <w:r>
        <w:rPr>
          <w:rFonts w:ascii="Arial" w:cs="Arial" w:eastAsia="Arial" w:hAnsi="Arial"/>
          <w:sz w:val="22"/>
          <w:szCs w:val="22"/>
          <w:color w:val="auto"/>
        </w:rPr>
        <w:t>the relocation of the Executive’s principal place of employment immediately prior to the Change in Control Date (the “</w:t>
      </w:r>
      <w:r>
        <w:rPr>
          <w:rFonts w:ascii="Arial" w:cs="Arial" w:eastAsia="Arial" w:hAnsi="Arial"/>
          <w:sz w:val="22"/>
          <w:szCs w:val="22"/>
          <w:u w:val="single" w:color="auto"/>
          <w:color w:val="auto"/>
        </w:rPr>
        <w:t>Principal Location</w:t>
      </w:r>
      <w:r>
        <w:rPr>
          <w:rFonts w:ascii="Arial" w:cs="Arial" w:eastAsia="Arial" w:hAnsi="Arial"/>
          <w:sz w:val="22"/>
          <w:szCs w:val="22"/>
          <w:color w:val="auto"/>
        </w:rPr>
        <w:t>”) to a location which is both further away from the Executive’s residence and more than thirty (30) miles from such Principal Location, or the Company’s requiring the Executive to be based anywhere other than such Principal Location (or permitted relocation thereof), or a substantial increase in the Executive’s business travel obligations outside of the Southern California area as of the Effective Date other than any such increase that (A) arises in connection with extraordinary business activities of the Company of limited duration and (B) is understood not to be part of the Executive’s regular duties with the Company;</w:t>
      </w:r>
    </w:p>
    <w:p>
      <w:pPr>
        <w:spacing w:after="0" w:line="191" w:lineRule="exact"/>
        <w:rPr>
          <w:rFonts w:ascii="Arial" w:cs="Arial" w:eastAsia="Arial" w:hAnsi="Arial"/>
          <w:sz w:val="22"/>
          <w:szCs w:val="22"/>
          <w:color w:val="auto"/>
        </w:rPr>
      </w:pPr>
    </w:p>
    <w:p>
      <w:pPr>
        <w:ind w:right="80" w:firstLine="1953"/>
        <w:spacing w:after="0"/>
        <w:tabs>
          <w:tab w:leader="none" w:pos="2593" w:val="left"/>
        </w:tabs>
        <w:numPr>
          <w:ilvl w:val="1"/>
          <w:numId w:val="134"/>
        </w:numPr>
        <w:rPr>
          <w:rFonts w:ascii="Arial" w:cs="Arial" w:eastAsia="Arial" w:hAnsi="Arial"/>
          <w:sz w:val="22"/>
          <w:szCs w:val="22"/>
          <w:color w:val="auto"/>
        </w:rPr>
      </w:pPr>
      <w:r>
        <w:rPr>
          <w:rFonts w:ascii="Arial" w:cs="Arial" w:eastAsia="Arial" w:hAnsi="Arial"/>
          <w:sz w:val="22"/>
          <w:szCs w:val="22"/>
          <w:color w:val="auto"/>
        </w:rPr>
        <w:t>the failure by the Company to pay to the Executive any portion of the Executive’s current compensation and benefits or any portion of an installment of deferred compensation under any deferred compensation program of the Company within thirty (30) days of the date such compensation is due;</w:t>
      </w:r>
    </w:p>
    <w:p>
      <w:pPr>
        <w:sectPr>
          <w:pgSz w:w="11900" w:h="16838" w:orient="portrait"/>
          <w:cols w:equalWidth="0" w:num="1">
            <w:col w:w="11400"/>
          </w:cols>
          <w:pgMar w:left="240" w:top="118" w:right="259" w:bottom="0" w:gutter="0" w:footer="0" w:header="0"/>
        </w:sectPr>
      </w:pPr>
    </w:p>
    <w:bookmarkStart w:id="96" w:name="page97"/>
    <w:bookmarkEnd w:id="96"/>
    <w:p>
      <w:pPr>
        <w:jc w:val="both"/>
        <w:ind w:right="20" w:firstLine="1953"/>
        <w:spacing w:after="0" w:line="241" w:lineRule="auto"/>
        <w:tabs>
          <w:tab w:leader="none" w:pos="2593" w:val="left"/>
        </w:tabs>
        <w:numPr>
          <w:ilvl w:val="0"/>
          <w:numId w:val="135"/>
        </w:numPr>
        <w:rPr>
          <w:rFonts w:ascii="Arial" w:cs="Arial" w:eastAsia="Arial" w:hAnsi="Arial"/>
          <w:sz w:val="22"/>
          <w:szCs w:val="22"/>
          <w:color w:val="auto"/>
        </w:rPr>
      </w:pPr>
      <w:r>
        <w:rPr>
          <w:rFonts w:ascii="Arial" w:cs="Arial" w:eastAsia="Arial" w:hAnsi="Arial"/>
          <w:sz w:val="22"/>
          <w:szCs w:val="22"/>
          <w:color w:val="auto"/>
        </w:rPr>
        <w:t>any purported termination of the Executive’s employment that is not effected pursuant to a Notice of Termination satisfying the requirements of Section 2 hereof; for purposes of this Agreement, no such purported termination shall be effective;</w:t>
      </w:r>
    </w:p>
    <w:p>
      <w:pPr>
        <w:spacing w:after="0" w:line="170" w:lineRule="exact"/>
        <w:rPr>
          <w:rFonts w:ascii="Arial" w:cs="Arial" w:eastAsia="Arial" w:hAnsi="Arial"/>
          <w:sz w:val="22"/>
          <w:szCs w:val="22"/>
          <w:color w:val="auto"/>
        </w:rPr>
      </w:pPr>
    </w:p>
    <w:p>
      <w:pPr>
        <w:ind w:left="2600" w:hanging="647"/>
        <w:spacing w:after="0"/>
        <w:tabs>
          <w:tab w:leader="none" w:pos="2600" w:val="left"/>
        </w:tabs>
        <w:numPr>
          <w:ilvl w:val="0"/>
          <w:numId w:val="135"/>
        </w:numPr>
        <w:rPr>
          <w:rFonts w:ascii="Arial" w:cs="Arial" w:eastAsia="Arial" w:hAnsi="Arial"/>
          <w:sz w:val="21"/>
          <w:szCs w:val="21"/>
          <w:color w:val="auto"/>
        </w:rPr>
      </w:pPr>
      <w:r>
        <w:rPr>
          <w:rFonts w:ascii="Arial" w:cs="Arial" w:eastAsia="Arial" w:hAnsi="Arial"/>
          <w:sz w:val="21"/>
          <w:szCs w:val="21"/>
          <w:color w:val="auto"/>
        </w:rPr>
        <w:t>the failure by Sempra Energy to perform its obligations under Section 16(c), (d) or (e) hereof;</w:t>
      </w:r>
    </w:p>
    <w:p>
      <w:pPr>
        <w:spacing w:after="0" w:line="217" w:lineRule="exact"/>
        <w:rPr>
          <w:rFonts w:ascii="Arial" w:cs="Arial" w:eastAsia="Arial" w:hAnsi="Arial"/>
          <w:sz w:val="21"/>
          <w:szCs w:val="21"/>
          <w:color w:val="auto"/>
        </w:rPr>
      </w:pPr>
    </w:p>
    <w:p>
      <w:pPr>
        <w:ind w:right="100" w:firstLine="1953"/>
        <w:spacing w:after="0" w:line="251" w:lineRule="auto"/>
        <w:tabs>
          <w:tab w:leader="none" w:pos="2593"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failure by the Company to provide the indemnification and D&amp;O insurance protection Section 10 of this Agreement requires it to provide; or</w:t>
      </w:r>
    </w:p>
    <w:p>
      <w:pPr>
        <w:spacing w:after="0" w:line="159" w:lineRule="exact"/>
        <w:rPr>
          <w:rFonts w:ascii="Arial" w:cs="Arial" w:eastAsia="Arial" w:hAnsi="Arial"/>
          <w:sz w:val="22"/>
          <w:szCs w:val="22"/>
          <w:color w:val="auto"/>
        </w:rPr>
      </w:pPr>
    </w:p>
    <w:p>
      <w:pPr>
        <w:ind w:left="2600" w:hanging="647"/>
        <w:spacing w:after="0"/>
        <w:tabs>
          <w:tab w:leader="none" w:pos="260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failure by Sempra Energy to comply with any material provision of this Agreement.</w:t>
      </w:r>
    </w:p>
    <w:p>
      <w:pPr>
        <w:spacing w:after="0" w:line="206" w:lineRule="exact"/>
        <w:rPr>
          <w:sz w:val="20"/>
          <w:szCs w:val="20"/>
          <w:color w:val="auto"/>
        </w:rPr>
      </w:pPr>
    </w:p>
    <w:p>
      <w:pPr>
        <w:ind w:right="160" w:firstLine="1297"/>
        <w:spacing w:after="0" w:line="282" w:lineRule="auto"/>
        <w:rPr>
          <w:sz w:val="20"/>
          <w:szCs w:val="20"/>
          <w:color w:val="auto"/>
        </w:rPr>
      </w:pPr>
      <w:r>
        <w:rPr>
          <w:rFonts w:ascii="Arial" w:cs="Arial" w:eastAsia="Arial" w:hAnsi="Arial"/>
          <w:sz w:val="19"/>
          <w:szCs w:val="19"/>
          <w:color w:val="auto"/>
        </w:rPr>
        <w:t>Following a Change in Control, the Executive’s determination that an act or failure to act constitutes Good Reason shall be presumed to be valid unless such determination is deemed to be unreasonable by an arbitrator pursuant to the procedure described in Section 13 hereof. The Executive’s right to terminate the Executive’s employment for Good Reason shall not be affected by the Executive’s incapacity due to physical or mental illness. The Executive’s continued employment shall not constitute consent to, or a waiver of rights with respect to, any act or failure to act constituting Good Reason hereunder.</w:t>
      </w:r>
    </w:p>
    <w:p>
      <w:pPr>
        <w:spacing w:after="0" w:line="148" w:lineRule="exact"/>
        <w:rPr>
          <w:sz w:val="20"/>
          <w:szCs w:val="20"/>
          <w:color w:val="auto"/>
        </w:rPr>
      </w:pPr>
    </w:p>
    <w:p>
      <w:pPr>
        <w:ind w:left="60" w:right="700" w:firstLine="1243"/>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Incentive Compensation Awards</w:t>
      </w:r>
      <w:r>
        <w:rPr>
          <w:rFonts w:ascii="Arial" w:cs="Arial" w:eastAsia="Arial" w:hAnsi="Arial"/>
          <w:sz w:val="19"/>
          <w:szCs w:val="19"/>
          <w:color w:val="auto"/>
        </w:rPr>
        <w:t>” means awards granted under Incentive Compensation Plans providing the Executive with the opportunity to earn, on a year-by-year basis, annual and long-term incentive compensation.</w:t>
      </w:r>
    </w:p>
    <w:p>
      <w:pPr>
        <w:spacing w:after="0" w:line="105"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Incentive Compensation Plans</w:t>
      </w:r>
      <w:r>
        <w:rPr>
          <w:rFonts w:ascii="Arial" w:cs="Arial" w:eastAsia="Arial" w:hAnsi="Arial"/>
          <w:sz w:val="22"/>
          <w:szCs w:val="22"/>
          <w:color w:val="auto"/>
        </w:rPr>
        <w:t>” means annual incentive compensation plans and long-term incentive compensation plans of the Company, which long-term incentive compensation plans may include plans offering stock options, restricted stock and other long-term incentive compensation.</w:t>
      </w:r>
    </w:p>
    <w:p>
      <w:pPr>
        <w:spacing w:after="0" w:line="186" w:lineRule="exact"/>
        <w:rPr>
          <w:sz w:val="20"/>
          <w:szCs w:val="20"/>
          <w:color w:val="auto"/>
        </w:rPr>
      </w:pPr>
    </w:p>
    <w:p>
      <w:pPr>
        <w:ind w:right="56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Involuntary Termination</w:t>
      </w:r>
      <w:r>
        <w:rPr>
          <w:rFonts w:ascii="Arial" w:cs="Arial" w:eastAsia="Arial" w:hAnsi="Arial"/>
          <w:sz w:val="22"/>
          <w:szCs w:val="22"/>
          <w:color w:val="auto"/>
        </w:rPr>
        <w:t>” means (a) the Executive’s Separation from Service by reason other than for Cause, death, or Disability, or Mandatory Retirement, or (b) the Executive’s Separation from Service by reason of resignation of employment for Good Reason.</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JAMS Rules</w:t>
      </w:r>
      <w:r>
        <w:rPr>
          <w:rFonts w:ascii="Arial" w:cs="Arial" w:eastAsia="Arial" w:hAnsi="Arial"/>
          <w:sz w:val="22"/>
          <w:szCs w:val="22"/>
          <w:color w:val="auto"/>
        </w:rPr>
        <w:t>” has the meaning assigned thereto in Section 13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Mandatory Retirement</w:t>
      </w:r>
      <w:r>
        <w:rPr>
          <w:rFonts w:ascii="Arial" w:cs="Arial" w:eastAsia="Arial" w:hAnsi="Arial"/>
          <w:sz w:val="19"/>
          <w:szCs w:val="19"/>
          <w:color w:val="auto"/>
        </w:rPr>
        <w:t>” means termination of employment pursuant to the Company’s mandatory retirement policy.</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Termination</w:t>
      </w:r>
      <w:r>
        <w:rPr>
          <w:rFonts w:ascii="Arial" w:cs="Arial" w:eastAsia="Arial" w:hAnsi="Arial"/>
          <w:sz w:val="22"/>
          <w:szCs w:val="22"/>
          <w:color w:val="auto"/>
        </w:rPr>
        <w:t>” has the meaning assigned thereto in Section 2(a)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w:t>
      </w:r>
      <w:r>
        <w:rPr>
          <w:rFonts w:ascii="Arial" w:cs="Arial" w:eastAsia="Arial" w:hAnsi="Arial"/>
          <w:sz w:val="22"/>
          <w:szCs w:val="22"/>
          <w:color w:val="auto"/>
        </w:rPr>
        <w:t>” has the meaning assigned thereto in Section 8(a)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in Lieu of Notice</w:t>
      </w:r>
      <w:r>
        <w:rPr>
          <w:rFonts w:ascii="Arial" w:cs="Arial" w:eastAsia="Arial" w:hAnsi="Arial"/>
          <w:sz w:val="22"/>
          <w:szCs w:val="22"/>
          <w:color w:val="auto"/>
        </w:rPr>
        <w:t>” has the meaning assigned thereto in Section 2(b) hereof.</w:t>
      </w:r>
    </w:p>
    <w:p>
      <w:pPr>
        <w:spacing w:after="0" w:line="206" w:lineRule="exact"/>
        <w:rPr>
          <w:sz w:val="20"/>
          <w:szCs w:val="20"/>
          <w:color w:val="auto"/>
        </w:rPr>
      </w:pPr>
    </w:p>
    <w:p>
      <w:pPr>
        <w:ind w:right="160" w:firstLine="12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has the meaning set forth in section 3(a)(9) of the Exchange Act, as modified and used in sections 13(d) and 14(d) thereof, except that such term shall not include (i) the Company or any of its Affiliates, (ii) a trustee or other fiduciary holding securities under an employee benefit plan of the Company or any of its Affiliates, (iii) an underwriter temporarily holding securities pursuant to an offering of such securities, (iv) a corporation owned, directly or indirectly, by the shareholders of the Company in substantially the same proportions as their ownership of stock of the Company, or (v) a person or group as used in Rule 13d-1(b) promulgated under the Exchange Act.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Post-Change in Control Severance Payment</w:t>
      </w:r>
      <w:r>
        <w:rPr>
          <w:rFonts w:ascii="Arial" w:cs="Arial" w:eastAsia="Arial" w:hAnsi="Arial"/>
          <w:sz w:val="22"/>
          <w:szCs w:val="22"/>
          <w:color w:val="auto"/>
        </w:rPr>
        <w:t>” has the meaning assigned thereto in Section 5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Pre-Change in Control Severance Payment</w:t>
      </w:r>
      <w:r>
        <w:rPr>
          <w:rFonts w:ascii="Arial" w:cs="Arial" w:eastAsia="Arial" w:hAnsi="Arial"/>
          <w:sz w:val="22"/>
          <w:szCs w:val="22"/>
          <w:color w:val="auto"/>
        </w:rPr>
        <w:t>” has the meaning assigned thereto in Section 4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Principal Location</w:t>
      </w:r>
      <w:r>
        <w:rPr>
          <w:rFonts w:ascii="Arial" w:cs="Arial" w:eastAsia="Arial" w:hAnsi="Arial"/>
          <w:sz w:val="19"/>
          <w:szCs w:val="19"/>
          <w:color w:val="auto"/>
        </w:rPr>
        <w:t>” has the meaning assigned thereto in clause (b)(iii) of the definition of Good Reason, above.</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Proprietary Information</w:t>
      </w:r>
      <w:r>
        <w:rPr>
          <w:rFonts w:ascii="Arial" w:cs="Arial" w:eastAsia="Arial" w:hAnsi="Arial"/>
          <w:sz w:val="22"/>
          <w:szCs w:val="22"/>
          <w:color w:val="auto"/>
        </w:rPr>
        <w:t>” has the meaning assigned thereto in Section 14(a)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 Rata Bonus</w:t>
      </w:r>
      <w:r>
        <w:rPr>
          <w:rFonts w:ascii="Arial" w:cs="Arial" w:eastAsia="Arial" w:hAnsi="Arial"/>
          <w:sz w:val="22"/>
          <w:szCs w:val="22"/>
          <w:color w:val="auto"/>
        </w:rPr>
        <w:t>” has the meaning assigned thereto in Section 5(b)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has the meaning assigned thereto in Section 4 hereof.</w:t>
      </w:r>
    </w:p>
    <w:p>
      <w:pPr>
        <w:spacing w:after="0" w:line="206" w:lineRule="exact"/>
        <w:rPr>
          <w:sz w:val="20"/>
          <w:szCs w:val="20"/>
          <w:color w:val="auto"/>
        </w:rPr>
      </w:pPr>
    </w:p>
    <w:p>
      <w:pPr>
        <w:ind w:right="40" w:firstLine="12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Section 409A Payments</w:t>
      </w:r>
      <w:r>
        <w:rPr>
          <w:rFonts w:ascii="Arial" w:cs="Arial" w:eastAsia="Arial" w:hAnsi="Arial"/>
          <w:sz w:val="19"/>
          <w:szCs w:val="19"/>
          <w:color w:val="auto"/>
        </w:rPr>
        <w:t>” means any of the following: (a) the Payment in Lieu of Notice; (b) the Pre-Change in Control Severance Payment; (c) the Post-Change in Control Severance Payment; (d) the Pro Rata Bonus; (e) the Consulting Payment; (f) the payment under Section 5(c); (g) the financial planning services and the related payments provided under Sections 4(e) and 5(g); (h) the legal fees and expenses reimbursed under Section 15; and (i) any other payment that the Company determines in its sole discretion is subject to Section 409A of the Code as non-qualified deferred compensation.</w:t>
      </w:r>
    </w:p>
    <w:p>
      <w:pPr>
        <w:spacing w:after="0" w:line="148" w:lineRule="exact"/>
        <w:rPr>
          <w:sz w:val="20"/>
          <w:szCs w:val="20"/>
          <w:color w:val="auto"/>
        </w:rPr>
      </w:pPr>
    </w:p>
    <w:p>
      <w:pPr>
        <w:ind w:right="66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Sempra Energy Control Group</w:t>
      </w:r>
      <w:r>
        <w:rPr>
          <w:rFonts w:ascii="Arial" w:cs="Arial" w:eastAsia="Arial" w:hAnsi="Arial"/>
          <w:sz w:val="19"/>
          <w:szCs w:val="19"/>
          <w:color w:val="auto"/>
        </w:rPr>
        <w:t>” means Sempra Energy and all persons with whom Sempra Energy would be considered a single employer under Section 414(b) or 414(c) of the Code, as determined from time to time.</w:t>
      </w:r>
    </w:p>
    <w:p>
      <w:pPr>
        <w:spacing w:after="0" w:line="105" w:lineRule="exact"/>
        <w:rPr>
          <w:sz w:val="20"/>
          <w:szCs w:val="20"/>
          <w:color w:val="auto"/>
        </w:rPr>
      </w:pPr>
    </w:p>
    <w:p>
      <w:pPr>
        <w:ind w:right="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Separation from Service</w:t>
      </w:r>
      <w:r>
        <w:rPr>
          <w:rFonts w:ascii="Arial" w:cs="Arial" w:eastAsia="Arial" w:hAnsi="Arial"/>
          <w:sz w:val="22"/>
          <w:szCs w:val="22"/>
          <w:color w:val="auto"/>
        </w:rPr>
        <w:t>” has the meaning set forth in Treasury Regulation Section 1.409A-1(h), with respect to the Service Recipient.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SERP</w:t>
      </w:r>
      <w:r>
        <w:rPr>
          <w:rFonts w:ascii="Arial" w:cs="Arial" w:eastAsia="Arial" w:hAnsi="Arial"/>
          <w:sz w:val="22"/>
          <w:szCs w:val="22"/>
          <w:color w:val="auto"/>
        </w:rPr>
        <w:t>” has the meaning assigned thereto in Section 5(c) hereof.</w:t>
      </w:r>
    </w:p>
    <w:p>
      <w:pPr>
        <w:sectPr>
          <w:pgSz w:w="11900" w:h="16838" w:orient="portrait"/>
          <w:cols w:equalWidth="0" w:num="1">
            <w:col w:w="11420"/>
          </w:cols>
          <w:pgMar w:left="240" w:top="118" w:right="239" w:bottom="0" w:gutter="0" w:footer="0" w:header="0"/>
        </w:sectPr>
      </w:pPr>
    </w:p>
    <w:bookmarkStart w:id="97" w:name="page98"/>
    <w:bookmarkEnd w:id="97"/>
    <w:p>
      <w:pPr>
        <w:ind w:right="2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Employee</w:t>
      </w:r>
      <w:r>
        <w:rPr>
          <w:rFonts w:ascii="Arial" w:cs="Arial" w:eastAsia="Arial" w:hAnsi="Arial"/>
          <w:sz w:val="22"/>
          <w:szCs w:val="22"/>
          <w:color w:val="auto"/>
        </w:rPr>
        <w:t>” shall be determined in accordance with Section 409A(a)(2)(B)(i) of the Code and Treasury Regulation 1.409A-1(i).</w:t>
      </w:r>
    </w:p>
    <w:p>
      <w:pPr>
        <w:spacing w:after="0" w:line="174" w:lineRule="exact"/>
        <w:rPr>
          <w:sz w:val="20"/>
          <w:szCs w:val="20"/>
          <w:color w:val="auto"/>
        </w:rPr>
      </w:pPr>
    </w:p>
    <w:p>
      <w:pPr>
        <w:ind w:right="60" w:firstLine="1297"/>
        <w:spacing w:after="0" w:line="251" w:lineRule="auto"/>
        <w:rPr>
          <w:sz w:val="20"/>
          <w:szCs w:val="20"/>
          <w:color w:val="auto"/>
        </w:rPr>
      </w:pPr>
      <w:r>
        <w:rPr>
          <w:rFonts w:ascii="Arial" w:cs="Arial" w:eastAsia="Arial" w:hAnsi="Arial"/>
          <w:sz w:val="22"/>
          <w:szCs w:val="22"/>
          <w:color w:val="auto"/>
        </w:rPr>
        <w:t>For purposes of this Agreement, references to any “</w:t>
      </w:r>
      <w:r>
        <w:rPr>
          <w:rFonts w:ascii="Arial" w:cs="Arial" w:eastAsia="Arial" w:hAnsi="Arial"/>
          <w:sz w:val="22"/>
          <w:szCs w:val="22"/>
          <w:u w:val="single" w:color="auto"/>
          <w:color w:val="auto"/>
        </w:rPr>
        <w:t>Treasury Regulation</w:t>
      </w:r>
      <w:r>
        <w:rPr>
          <w:rFonts w:ascii="Arial" w:cs="Arial" w:eastAsia="Arial" w:hAnsi="Arial"/>
          <w:sz w:val="22"/>
          <w:szCs w:val="22"/>
          <w:color w:val="auto"/>
        </w:rPr>
        <w:t>” shall mean such Treasury Regulation as in effect on the date hereof.</w:t>
      </w:r>
    </w:p>
    <w:p>
      <w:pPr>
        <w:spacing w:after="0" w:line="16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19"/>
          <w:szCs w:val="19"/>
          <w:u w:val="single" w:color="auto"/>
          <w:color w:val="auto"/>
        </w:rPr>
        <w:t>Notice and Date of Termination</w:t>
      </w:r>
      <w:r>
        <w:rPr>
          <w:rFonts w:ascii="Arial" w:cs="Arial" w:eastAsia="Arial" w:hAnsi="Arial"/>
          <w:sz w:val="19"/>
          <w:szCs w:val="19"/>
          <w:color w:val="auto"/>
        </w:rPr>
        <w:t>.</w:t>
      </w:r>
    </w:p>
    <w:p>
      <w:pPr>
        <w:spacing w:after="0" w:line="206" w:lineRule="exact"/>
        <w:rPr>
          <w:sz w:val="20"/>
          <w:szCs w:val="20"/>
          <w:color w:val="auto"/>
        </w:rPr>
      </w:pPr>
    </w:p>
    <w:p>
      <w:pPr>
        <w:ind w:right="100" w:firstLine="1305"/>
        <w:spacing w:after="0" w:line="279" w:lineRule="auto"/>
        <w:tabs>
          <w:tab w:leader="none" w:pos="1945" w:val="left"/>
        </w:tabs>
        <w:numPr>
          <w:ilvl w:val="0"/>
          <w:numId w:val="136"/>
        </w:numPr>
        <w:rPr>
          <w:rFonts w:ascii="Arial" w:cs="Arial" w:eastAsia="Arial" w:hAnsi="Arial"/>
          <w:sz w:val="19"/>
          <w:szCs w:val="19"/>
          <w:color w:val="auto"/>
        </w:rPr>
      </w:pPr>
      <w:r>
        <w:rPr>
          <w:rFonts w:ascii="Arial" w:cs="Arial" w:eastAsia="Arial" w:hAnsi="Arial"/>
          <w:sz w:val="19"/>
          <w:szCs w:val="19"/>
          <w:color w:val="auto"/>
        </w:rPr>
        <w:t>Any termination of the Executive’s employment by the Company or by the Executive shall be communicated by a written notice of termination to the other party (the “</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Where applicable, the Notice of Termination shall indicate the specific termination provision in this Agreement relied upon and shall set forth in reasonable detail the facts and circumstances claimed to provide a basis for termination of the Executive’s employment under the provision so indicated. Unless the Board determines otherwise, a Notice of Termination by the Executive alleging a termination for Good Reason must be made within 180 days of the act or failure to act that the Executive alleges to constitute Good Reason.</w:t>
      </w:r>
    </w:p>
    <w:p>
      <w:pPr>
        <w:spacing w:after="0" w:line="137" w:lineRule="exact"/>
        <w:rPr>
          <w:rFonts w:ascii="Arial" w:cs="Arial" w:eastAsia="Arial" w:hAnsi="Arial"/>
          <w:sz w:val="19"/>
          <w:szCs w:val="19"/>
          <w:color w:val="auto"/>
        </w:rPr>
      </w:pPr>
    </w:p>
    <w:p>
      <w:pPr>
        <w:ind w:right="40" w:firstLine="1305"/>
        <w:spacing w:after="0" w:line="244" w:lineRule="auto"/>
        <w:tabs>
          <w:tab w:leader="none" w:pos="1945" w:val="left"/>
        </w:tabs>
        <w:numPr>
          <w:ilvl w:val="0"/>
          <w:numId w:val="136"/>
        </w:numPr>
        <w:rPr>
          <w:rFonts w:ascii="Arial" w:cs="Arial" w:eastAsia="Arial" w:hAnsi="Arial"/>
          <w:sz w:val="21"/>
          <w:szCs w:val="21"/>
          <w:color w:val="auto"/>
        </w:rPr>
      </w:pPr>
      <w:r>
        <w:rPr>
          <w:rFonts w:ascii="Arial" w:cs="Arial" w:eastAsia="Arial" w:hAnsi="Arial"/>
          <w:sz w:val="21"/>
          <w:szCs w:val="21"/>
          <w:color w:val="auto"/>
        </w:rPr>
        <w:t>The date of the Executive’s termination of employment with the Company (the “</w:t>
      </w:r>
      <w:r>
        <w:rPr>
          <w:rFonts w:ascii="Arial" w:cs="Arial" w:eastAsia="Arial" w:hAnsi="Arial"/>
          <w:sz w:val="21"/>
          <w:szCs w:val="21"/>
          <w:u w:val="single" w:color="auto"/>
          <w:color w:val="auto"/>
        </w:rPr>
        <w:t>Date of Termination</w:t>
      </w:r>
      <w:r>
        <w:rPr>
          <w:rFonts w:ascii="Arial" w:cs="Arial" w:eastAsia="Arial" w:hAnsi="Arial"/>
          <w:sz w:val="21"/>
          <w:szCs w:val="21"/>
          <w:color w:val="auto"/>
        </w:rPr>
        <w:t>”) shall be determined as follows: (i) if the Executive’s Separation from Service is at the volition of the Company, the Date of Termination shall be the date specified in the Notice of Termination (which, in the case of a termination by the Company other than for Cause, shall not be less than two (2) weeks from the date such Notice of Termination is given unless the Company elects to pay the Executive, in addition to any other amounts payable hereunder, an amount (the “</w:t>
      </w:r>
      <w:r>
        <w:rPr>
          <w:rFonts w:ascii="Arial" w:cs="Arial" w:eastAsia="Arial" w:hAnsi="Arial"/>
          <w:sz w:val="21"/>
          <w:szCs w:val="21"/>
          <w:u w:val="single" w:color="auto"/>
          <w:color w:val="auto"/>
        </w:rPr>
        <w:t>Payment in Lieu of Notice</w:t>
      </w:r>
      <w:r>
        <w:rPr>
          <w:rFonts w:ascii="Arial" w:cs="Arial" w:eastAsia="Arial" w:hAnsi="Arial"/>
          <w:sz w:val="21"/>
          <w:szCs w:val="21"/>
          <w:color w:val="auto"/>
        </w:rPr>
        <w:t xml:space="preserve">”) equal to two (2) weeks of the Executive’s Annual Base Salary in effect on the Date of Termination), and (ii) if the Executive’s Separation from Service is by the Executive for Good Reason, the Date of Termination shall be determined by the Executive and specified in the Notice of Termination, but shall not in any event be less than fifteen (15) days nor more than sixty (60) days after the date such Notice of Termination is given. The Payment in Lieu of Notice shall be paid on such date as is required by law, but no later than thirty (30) days after the date of the Executive’s Separation from Service; </w:t>
      </w:r>
      <w:r>
        <w:rPr>
          <w:rFonts w:ascii="Arial" w:cs="Arial" w:eastAsia="Arial" w:hAnsi="Arial"/>
          <w:sz w:val="21"/>
          <w:szCs w:val="21"/>
          <w:i w:val="1"/>
          <w:iCs w:val="1"/>
          <w:color w:val="auto"/>
        </w:rPr>
        <w:t>provided, however</w:t>
      </w:r>
      <w:r>
        <w:rPr>
          <w:rFonts w:ascii="Arial" w:cs="Arial" w:eastAsia="Arial" w:hAnsi="Arial"/>
          <w:sz w:val="21"/>
          <w:szCs w:val="21"/>
          <w:color w:val="auto"/>
        </w:rPr>
        <w:t>, that if the Executive is a Specified Employee on the date of his or her Separation from Service, such Payment in Lieu of Notice shall be paid as provided in Section 9 hereof.</w:t>
      </w:r>
    </w:p>
    <w:p>
      <w:pPr>
        <w:spacing w:after="0" w:line="174" w:lineRule="exact"/>
        <w:rPr>
          <w:sz w:val="20"/>
          <w:szCs w:val="20"/>
          <w:color w:val="auto"/>
        </w:rPr>
      </w:pPr>
    </w:p>
    <w:p>
      <w:pPr>
        <w:ind w:right="100" w:firstLine="1297"/>
        <w:spacing w:after="0" w:line="297" w:lineRule="auto"/>
        <w:rPr>
          <w:sz w:val="20"/>
          <w:szCs w:val="20"/>
          <w:color w:val="auto"/>
        </w:rPr>
      </w:pPr>
      <w:r>
        <w:rPr>
          <w:rFonts w:ascii="Arial" w:cs="Arial" w:eastAsia="Arial" w:hAnsi="Arial"/>
          <w:sz w:val="19"/>
          <w:szCs w:val="19"/>
          <w:b w:val="1"/>
          <w:bCs w:val="1"/>
          <w:color w:val="auto"/>
        </w:rPr>
        <w:t xml:space="preserve">Section 3. </w:t>
      </w:r>
      <w:r>
        <w:rPr>
          <w:rFonts w:ascii="Arial" w:cs="Arial" w:eastAsia="Arial" w:hAnsi="Arial"/>
          <w:sz w:val="19"/>
          <w:szCs w:val="19"/>
          <w:u w:val="single" w:color="auto"/>
          <w:color w:val="auto"/>
        </w:rPr>
        <w:t>Termination from the Board</w:t>
      </w:r>
      <w:r>
        <w:rPr>
          <w:rFonts w:ascii="Arial" w:cs="Arial" w:eastAsia="Arial" w:hAnsi="Arial"/>
          <w:sz w:val="19"/>
          <w:szCs w:val="19"/>
          <w:color w:val="auto"/>
        </w:rPr>
        <w:t>. Upon the termination of the Executive’s employment for any reason,</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Executive’s membership on the Board, the board of directors of any of the Company’s Affiliates, any committees of the Board and any committees of the board of directors of any of the Company’s Affiliates, if applicable, shall be automatically terminated.</w:t>
      </w:r>
    </w:p>
    <w:p>
      <w:pPr>
        <w:spacing w:after="0" w:line="128" w:lineRule="exact"/>
        <w:rPr>
          <w:sz w:val="20"/>
          <w:szCs w:val="20"/>
          <w:color w:val="auto"/>
        </w:rPr>
      </w:pPr>
    </w:p>
    <w:p>
      <w:pPr>
        <w:ind w:firstLine="1297"/>
        <w:spacing w:after="0" w:line="271" w:lineRule="auto"/>
        <w:rPr>
          <w:sz w:val="20"/>
          <w:szCs w:val="20"/>
          <w:color w:val="auto"/>
        </w:rPr>
      </w:pPr>
      <w:r>
        <w:rPr>
          <w:rFonts w:ascii="Arial" w:cs="Arial" w:eastAsia="Arial" w:hAnsi="Arial"/>
          <w:sz w:val="19"/>
          <w:szCs w:val="19"/>
          <w:b w:val="1"/>
          <w:bCs w:val="1"/>
          <w:color w:val="auto"/>
        </w:rPr>
        <w:t xml:space="preserve">Section 4. </w:t>
      </w:r>
      <w:r>
        <w:rPr>
          <w:rFonts w:ascii="Arial" w:cs="Arial" w:eastAsia="Arial" w:hAnsi="Arial"/>
          <w:sz w:val="19"/>
          <w:szCs w:val="19"/>
          <w:u w:val="single" w:color="auto"/>
          <w:color w:val="auto"/>
        </w:rPr>
        <w:t>Severance Benefits upon Involuntary Termination Prior to Change in Control</w:t>
      </w:r>
      <w:r>
        <w:rPr>
          <w:rFonts w:ascii="Arial" w:cs="Arial" w:eastAsia="Arial" w:hAnsi="Arial"/>
          <w:sz w:val="19"/>
          <w:szCs w:val="19"/>
          <w:color w:val="auto"/>
        </w:rPr>
        <w:t>. Except as provided in</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5(h) and Section 19(i) hereof, in the event of the Involuntary Termination of the Executive prior to a Change in Control, the Company shall pay the Executive, in one lump sum cash payment, an amount (the “</w:t>
      </w:r>
      <w:r>
        <w:rPr>
          <w:rFonts w:ascii="Arial" w:cs="Arial" w:eastAsia="Arial" w:hAnsi="Arial"/>
          <w:sz w:val="19"/>
          <w:szCs w:val="19"/>
          <w:u w:val="single" w:color="auto"/>
          <w:color w:val="auto"/>
        </w:rPr>
        <w:t>Pre-Change in Control Severance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Payment</w:t>
      </w:r>
      <w:r>
        <w:rPr>
          <w:rFonts w:ascii="Arial" w:cs="Arial" w:eastAsia="Arial" w:hAnsi="Arial"/>
          <w:sz w:val="19"/>
          <w:szCs w:val="19"/>
          <w:color w:val="auto"/>
        </w:rPr>
        <w:t>”) equal to one-half (0.5) times the greater of: (X) 150% of the Executive’s Annual Base Salary as in effect on the Date of Termination, and (Y) the Executive’s Annual Base Salary as in effect on the Date of Termination, plus the Executive’s Average Annual Bonus. In addition to the Pre-Change in Control Severance Payment, the Executive shall be entitled to the following additional benefits specified in subsections (a) through (e). The Company's obligation to pay the Pre-Change in Control Severance Payment or provide the benefits set forth in subsections (c), (d) and (e) are subject to and conditioned upon the Executive executing a release (the “</w:t>
      </w: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of all claims substantially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within fifty (50) days after the date of Involuntary Termination and Executive not revoking such Release in accordance with the terms thereof. Except as provided in Section 4(f), the Pre-Change in Control Severance Payment shall be paid on such date as is determined by the Company within sixty (60) days after the date of the Involuntary Termination; but not before the Release becomes effective and irrevocable. If the fifty (50) day period in which the Release could become effective spans more than one taxable year, then the Pre-Change in Control Severance Payment shall not be made until the later taxable year. Notwithstanding the foregoing, if the Executive is a Specified Employee on the date of the Executive’s Involuntary Termination, the Pre-Change in Control Severance Payment and the financial planning services and the related payments provided under Section 4(e) shall be paid as provided in Section 9 hereof.</w:t>
      </w:r>
    </w:p>
    <w:p>
      <w:pPr>
        <w:spacing w:after="0" w:line="151" w:lineRule="exact"/>
        <w:rPr>
          <w:sz w:val="20"/>
          <w:szCs w:val="20"/>
          <w:color w:val="auto"/>
        </w:rPr>
      </w:pPr>
    </w:p>
    <w:p>
      <w:pPr>
        <w:ind w:right="660" w:firstLine="1305"/>
        <w:spacing w:after="0" w:line="251" w:lineRule="auto"/>
        <w:tabs>
          <w:tab w:leader="none" w:pos="1945"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Accrued Obligations</w:t>
      </w:r>
      <w:r>
        <w:rPr>
          <w:rFonts w:ascii="Arial" w:cs="Arial" w:eastAsia="Arial" w:hAnsi="Arial"/>
          <w:sz w:val="22"/>
          <w:szCs w:val="22"/>
          <w:color w:val="auto"/>
        </w:rPr>
        <w:t>. The Company shall pay the Executive a lump sum amount in cash equal to the Accrued Obligations within the time required by law.</w:t>
      </w:r>
    </w:p>
    <w:p>
      <w:pPr>
        <w:spacing w:after="0" w:line="159" w:lineRule="exact"/>
        <w:rPr>
          <w:rFonts w:ascii="Arial" w:cs="Arial" w:eastAsia="Arial" w:hAnsi="Arial"/>
          <w:sz w:val="22"/>
          <w:szCs w:val="22"/>
          <w:color w:val="auto"/>
        </w:rPr>
      </w:pPr>
    </w:p>
    <w:p>
      <w:pPr>
        <w:ind w:right="20" w:firstLine="1305"/>
        <w:spacing w:after="0" w:line="251" w:lineRule="auto"/>
        <w:tabs>
          <w:tab w:leader="none" w:pos="1945"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Equity Based Compensation</w:t>
      </w:r>
      <w:r>
        <w:rPr>
          <w:rFonts w:ascii="Arial" w:cs="Arial" w:eastAsia="Arial" w:hAnsi="Arial"/>
          <w:sz w:val="22"/>
          <w:szCs w:val="22"/>
          <w:color w:val="auto"/>
        </w:rPr>
        <w:t>. The Executive shall retain all rights to any equity-based compensation awards to the extent set forth in the applicable plan and/or award agreement.</w:t>
      </w:r>
    </w:p>
    <w:p>
      <w:pPr>
        <w:spacing w:after="0" w:line="173" w:lineRule="exact"/>
        <w:rPr>
          <w:rFonts w:ascii="Arial" w:cs="Arial" w:eastAsia="Arial" w:hAnsi="Arial"/>
          <w:sz w:val="22"/>
          <w:szCs w:val="22"/>
          <w:color w:val="auto"/>
        </w:rPr>
      </w:pPr>
    </w:p>
    <w:p>
      <w:pPr>
        <w:ind w:right="60" w:firstLine="1305"/>
        <w:spacing w:after="0" w:line="271" w:lineRule="auto"/>
        <w:tabs>
          <w:tab w:leader="none" w:pos="1945"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Welfare Benefits</w:t>
      </w:r>
      <w:r>
        <w:rPr>
          <w:rFonts w:ascii="Arial" w:cs="Arial" w:eastAsia="Arial" w:hAnsi="Arial"/>
          <w:sz w:val="19"/>
          <w:szCs w:val="19"/>
          <w:color w:val="auto"/>
        </w:rPr>
        <w:t xml:space="preserve">. Subject to Section 12 below, for a period of six (6) months following the date of the Involuntary Termination (and an additional twelve (12) months if the Executive provides consulting services under Section 14(e) hereof), the Executive and his dependents shall be provided with health insurance benefits substantially similar to those provided to the Executive and his dependents immediately prior to the date of the Involuntary Termination;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such benefits shall be provided on substantially the same terms and conditions and at the same cost to the Executive as in effect immediately prior to the date of the Involuntary Termination. Such benefits shall be provided through insurance maintained by the Company under the Company’s benefit plans. Such benefits shall be provided in a manner that complies with Treasury Regulation Section 1.409A-1(a)(5). Notwithstanding the foregoing, if the Company determines in its sole discretion that it cannot provide the foregoing benefit without potentially violating applicable law (including, without limitation, Section 2716 of the Public Health Service Act), the Company shall in lieu thereof provide to the Executive a taxable monthly payment in an amount equal to the monthly premium that the Executive would be required to pay to continue the Executive’s and his covered dependents’ group insurance coverages under COBRA as in effect on the Date of Termination (which amount shall be based on the premiums for the first month of COBRA coverage);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the Executive is a Specified Employee on the Date of Termination, then such payments shall be paid as provided in Section 9 hereof.</w:t>
      </w:r>
    </w:p>
    <w:p>
      <w:pPr>
        <w:sectPr>
          <w:pgSz w:w="11900" w:h="16838" w:orient="portrait"/>
          <w:cols w:equalWidth="0" w:num="1">
            <w:col w:w="11400"/>
          </w:cols>
          <w:pgMar w:left="240" w:top="118" w:right="259" w:bottom="0" w:gutter="0" w:footer="0" w:header="0"/>
        </w:sectPr>
      </w:pPr>
    </w:p>
    <w:bookmarkStart w:id="98" w:name="page99"/>
    <w:bookmarkEnd w:id="98"/>
    <w:p>
      <w:pPr>
        <w:spacing w:after="0" w:line="91" w:lineRule="exact"/>
        <w:rPr>
          <w:sz w:val="20"/>
          <w:szCs w:val="20"/>
          <w:color w:val="auto"/>
        </w:rPr>
      </w:pPr>
    </w:p>
    <w:p>
      <w:pPr>
        <w:ind w:right="120" w:firstLine="1305"/>
        <w:spacing w:after="0" w:line="235" w:lineRule="auto"/>
        <w:tabs>
          <w:tab w:leader="none" w:pos="1945"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Outplacement Services</w:t>
      </w:r>
      <w:r>
        <w:rPr>
          <w:rFonts w:ascii="Arial" w:cs="Arial" w:eastAsia="Arial" w:hAnsi="Arial"/>
          <w:sz w:val="22"/>
          <w:szCs w:val="22"/>
          <w:color w:val="auto"/>
        </w:rPr>
        <w:t>. The Executive shall receive reasonable outplacement services, on an in-kind basis, suitable to his position and directly related to the Executive’s Involuntary Termination, for a period of eighteen (18) months following the date of the Involuntary Termination, in an aggregate amount of cost to the Company not to exceed $50,000. Notwithstanding the foregoing, the Executive shall cease to receive outplacement services on the date the Executive accepts employment with a subsequent employer. Such outplacement services shall be provided in a manner that complies with Treasury Regulation Section 1.409A-1(b)(9)(v)(A).</w:t>
      </w:r>
    </w:p>
    <w:p>
      <w:pPr>
        <w:spacing w:after="0" w:line="175" w:lineRule="exact"/>
        <w:rPr>
          <w:rFonts w:ascii="Arial" w:cs="Arial" w:eastAsia="Arial" w:hAnsi="Arial"/>
          <w:sz w:val="22"/>
          <w:szCs w:val="22"/>
          <w:color w:val="auto"/>
        </w:rPr>
      </w:pPr>
    </w:p>
    <w:p>
      <w:pPr>
        <w:ind w:right="80" w:firstLine="1305"/>
        <w:spacing w:after="0" w:line="273" w:lineRule="auto"/>
        <w:tabs>
          <w:tab w:leader="none" w:pos="1945"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Financial Planning Services</w:t>
      </w:r>
      <w:r>
        <w:rPr>
          <w:rFonts w:ascii="Arial" w:cs="Arial" w:eastAsia="Arial" w:hAnsi="Arial"/>
          <w:sz w:val="19"/>
          <w:szCs w:val="19"/>
          <w:color w:val="auto"/>
        </w:rPr>
        <w:t xml:space="preserve">. The Executive shall receive financial planning services, on an in-kind basis, for a period of eighteen (18) months following the Date of Termination. Such financial planning services shall include expert financial and legal resources to assist the Executive with financial planning needs and shall be limited to (i) current investment portfolio management, (ii) tax planning, (iii) tax return preparation, and (iv) estate planning advice and document preparation (including wills and trusts);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Company shall provide such financial planning services during any taxable year of the Executive only to the extent the cost to the Company for such taxable year does not exceed </w:t>
      </w:r>
      <w:r>
        <w:rPr>
          <w:rFonts w:ascii="Arial" w:cs="Arial" w:eastAsia="Arial" w:hAnsi="Arial"/>
          <w:sz w:val="19"/>
          <w:szCs w:val="19"/>
          <w:i w:val="1"/>
          <w:iCs w:val="1"/>
          <w:color w:val="auto"/>
        </w:rPr>
        <w:t>[$25,000</w:t>
      </w:r>
      <w:r>
        <w:rPr>
          <w:rFonts w:ascii="Arial" w:cs="Arial" w:eastAsia="Arial" w:hAnsi="Arial"/>
          <w:sz w:val="19"/>
          <w:szCs w:val="19"/>
          <w:color w:val="auto"/>
        </w:rPr>
        <w:t>]. The Company shall provide such financial planning services through a financial planner selected by the Company, and shall pay the fees for such financial planning services. The financial planning services provided during any taxable year of the Executive shall not affect the financial planning services provided in any other taxable year of the Executive. The Executive’s right to financial planning services shall not be subject to liquidation or exchange for any other benefit. Such financial planning services shall be provided in a manner that complies with Treasury Regulation Section 1.409A-3(i)(1)(iv).</w:t>
      </w:r>
    </w:p>
    <w:p>
      <w:pPr>
        <w:spacing w:after="0" w:line="156" w:lineRule="exact"/>
        <w:rPr>
          <w:rFonts w:ascii="Arial" w:cs="Arial" w:eastAsia="Arial" w:hAnsi="Arial"/>
          <w:sz w:val="19"/>
          <w:szCs w:val="19"/>
          <w:color w:val="auto"/>
        </w:rPr>
      </w:pPr>
    </w:p>
    <w:p>
      <w:pPr>
        <w:jc w:val="both"/>
        <w:ind w:right="620" w:firstLine="1305"/>
        <w:spacing w:after="0" w:line="238" w:lineRule="auto"/>
        <w:tabs>
          <w:tab w:leader="none" w:pos="1945"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Deferral of Payments</w:t>
      </w:r>
      <w:r>
        <w:rPr>
          <w:rFonts w:ascii="Arial" w:cs="Arial" w:eastAsia="Arial" w:hAnsi="Arial"/>
          <w:sz w:val="22"/>
          <w:szCs w:val="22"/>
          <w:color w:val="auto"/>
        </w:rPr>
        <w:t>. The Executive shall have the right to elect to defer the Pre-Change in Control Severance Payment to be received by the Executive pursuant to this Section 4 under the terms and conditions of the Sempra Energy 2005 Deferred Compensation Plan (the “</w:t>
      </w:r>
      <w:r>
        <w:rPr>
          <w:rFonts w:ascii="Arial" w:cs="Arial" w:eastAsia="Arial" w:hAnsi="Arial"/>
          <w:sz w:val="22"/>
          <w:szCs w:val="22"/>
          <w:u w:val="single" w:color="auto"/>
          <w:color w:val="auto"/>
        </w:rPr>
        <w:t>Deferred Compensation Plan</w:t>
      </w:r>
      <w:r>
        <w:rPr>
          <w:rFonts w:ascii="Arial" w:cs="Arial" w:eastAsia="Arial" w:hAnsi="Arial"/>
          <w:sz w:val="22"/>
          <w:szCs w:val="22"/>
          <w:color w:val="auto"/>
        </w:rPr>
        <w:t>”). Any such deferral election shall be made in accordance with Section 18(b) hereof.</w:t>
      </w:r>
    </w:p>
    <w:p>
      <w:pPr>
        <w:spacing w:after="0" w:line="172" w:lineRule="exact"/>
        <w:rPr>
          <w:sz w:val="20"/>
          <w:szCs w:val="20"/>
          <w:color w:val="auto"/>
        </w:rPr>
      </w:pPr>
    </w:p>
    <w:p>
      <w:pPr>
        <w:ind w:firstLine="1297"/>
        <w:spacing w:after="0" w:line="270" w:lineRule="auto"/>
        <w:rPr>
          <w:sz w:val="20"/>
          <w:szCs w:val="20"/>
          <w:color w:val="auto"/>
        </w:rPr>
      </w:pPr>
      <w:r>
        <w:rPr>
          <w:rFonts w:ascii="Arial" w:cs="Arial" w:eastAsia="Arial" w:hAnsi="Arial"/>
          <w:sz w:val="19"/>
          <w:szCs w:val="19"/>
          <w:b w:val="1"/>
          <w:bCs w:val="1"/>
          <w:color w:val="auto"/>
        </w:rPr>
        <w:t xml:space="preserve">Section 5. </w:t>
      </w:r>
      <w:r>
        <w:rPr>
          <w:rFonts w:ascii="Arial" w:cs="Arial" w:eastAsia="Arial" w:hAnsi="Arial"/>
          <w:sz w:val="19"/>
          <w:szCs w:val="19"/>
          <w:u w:val="single" w:color="auto"/>
          <w:color w:val="auto"/>
        </w:rPr>
        <w:t>Severance Benefits upon Involuntary Termination in Connection with and after Change in Control</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the provisions of Section 4 above, and except as provided in Section 19(i) hereof, in the event of the Involuntary Termination of the Executive on or within two (2) years following a Change in Control, in lieu of the payments described in Section 4 above, the Company shall pay the Executive, in one lump sum cash payment, an amount (the “</w:t>
      </w:r>
      <w:r>
        <w:rPr>
          <w:rFonts w:ascii="Arial" w:cs="Arial" w:eastAsia="Arial" w:hAnsi="Arial"/>
          <w:sz w:val="19"/>
          <w:szCs w:val="19"/>
          <w:u w:val="single" w:color="auto"/>
          <w:color w:val="auto"/>
        </w:rPr>
        <w:t>Post-Change in Control</w:t>
      </w:r>
      <w:r>
        <w:rPr>
          <w:rFonts w:ascii="Arial" w:cs="Arial" w:eastAsia="Arial" w:hAnsi="Arial"/>
          <w:sz w:val="19"/>
          <w:szCs w:val="19"/>
          <w:color w:val="auto"/>
        </w:rPr>
        <w:t xml:space="preserve"> </w:t>
      </w:r>
      <w:r>
        <w:rPr>
          <w:rFonts w:ascii="Arial" w:cs="Arial" w:eastAsia="Arial" w:hAnsi="Arial"/>
          <w:sz w:val="19"/>
          <w:szCs w:val="19"/>
          <w:u w:val="single" w:color="auto"/>
          <w:color w:val="auto"/>
        </w:rPr>
        <w:t>Severance Payment</w:t>
      </w:r>
      <w:r>
        <w:rPr>
          <w:rFonts w:ascii="Arial" w:cs="Arial" w:eastAsia="Arial" w:hAnsi="Arial"/>
          <w:sz w:val="19"/>
          <w:szCs w:val="19"/>
          <w:color w:val="auto"/>
        </w:rPr>
        <w:t>”) equal to the greater of: (X) 150% of the Executive’s Annual Base Salary as in effect immediately prior to the Change in Control or the Date of Termination, whichever is greater, and (Y) the Executive’s Annual Base Salary as in effect immediately prior to the Change in Control or on the Date of Termination, whichever is greater, plus the Executive’s Average Annual Bonus. In addition to the Post-Change in Control Severance Payment, the Executive shall be entitled to the following additional benefits specified in subsections (a) through (g). The Company's obligation to pay the Post-Change in Control Severance Payment or provide the benefits set forth in subsections (b),(c), (d), (e), (f) and (g) are subject to and conditioned upon the Executive executing the Release within fifty (50) days after the date of Involuntary Termination and Executive not revoking such Release in accordance with the terms thereof. Except as provided in Sections 5(h) and 5(i), the Post-Change in Control Severance Payment, the Pro Rata Bonus and the payments under Section 6(c) shall be paid on such date as is determined by the Company within sixty (60) days after the date of the Involuntary Termination. If the fifty (50) day period in which the Release could become effective spans more than one taxable year, then the Post-Change in Control Severance Payment, Pro Rata Bonus and payments under Section 5(c) shall not be made until the later taxable year. Notwithstanding the foregoing, if the Executive is a Specified Employee on the date of the Executive’s Involuntary Termination, the Post-Change in Control Severance Payment, the Pro Rata Bonus, the payment under Section 5(c) and the financial planning services and the related payments provided under Section 5(g) shall be paid as provided in Section 9 hereof.</w:t>
      </w:r>
    </w:p>
    <w:p>
      <w:pPr>
        <w:spacing w:after="0" w:line="397" w:lineRule="exact"/>
        <w:rPr>
          <w:sz w:val="20"/>
          <w:szCs w:val="20"/>
          <w:color w:val="auto"/>
        </w:rPr>
      </w:pPr>
    </w:p>
    <w:p>
      <w:pPr>
        <w:ind w:right="740" w:firstLine="1305"/>
        <w:spacing w:after="0" w:line="251" w:lineRule="auto"/>
        <w:tabs>
          <w:tab w:leader="none" w:pos="1945"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Accrued Obligations</w:t>
      </w:r>
      <w:r>
        <w:rPr>
          <w:rFonts w:ascii="Arial" w:cs="Arial" w:eastAsia="Arial" w:hAnsi="Arial"/>
          <w:sz w:val="22"/>
          <w:szCs w:val="22"/>
          <w:color w:val="auto"/>
        </w:rPr>
        <w:t>. The Company shall pay the Executive a lump sum amount in cash equal to the Accrued Obligations within the time required by law.</w:t>
      </w:r>
    </w:p>
    <w:p>
      <w:pPr>
        <w:spacing w:after="0" w:line="173" w:lineRule="exact"/>
        <w:rPr>
          <w:rFonts w:ascii="Arial" w:cs="Arial" w:eastAsia="Arial" w:hAnsi="Arial"/>
          <w:sz w:val="22"/>
          <w:szCs w:val="22"/>
          <w:color w:val="auto"/>
        </w:rPr>
      </w:pPr>
    </w:p>
    <w:p>
      <w:pPr>
        <w:ind w:left="1960" w:hanging="655"/>
        <w:spacing w:after="0"/>
        <w:tabs>
          <w:tab w:leader="none" w:pos="1960"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Pro Rata Bonus</w:t>
      </w:r>
      <w:r>
        <w:rPr>
          <w:rFonts w:ascii="Arial" w:cs="Arial" w:eastAsia="Arial" w:hAnsi="Arial"/>
          <w:sz w:val="19"/>
          <w:szCs w:val="19"/>
          <w:color w:val="auto"/>
        </w:rPr>
        <w:t>. The Company shall pay the Executive a lump sum amount in cash equal to: (i) the greater</w:t>
      </w:r>
    </w:p>
    <w:p>
      <w:pPr>
        <w:spacing w:after="0" w:line="42" w:lineRule="exact"/>
        <w:rPr>
          <w:rFonts w:ascii="Arial" w:cs="Arial" w:eastAsia="Arial" w:hAnsi="Arial"/>
          <w:sz w:val="19"/>
          <w:szCs w:val="19"/>
          <w:color w:val="auto"/>
        </w:rPr>
      </w:pPr>
    </w:p>
    <w:p>
      <w:pPr>
        <w:ind w:right="420"/>
        <w:spacing w:after="0" w:line="233" w:lineRule="auto"/>
        <w:rPr>
          <w:rFonts w:ascii="Arial" w:cs="Arial" w:eastAsia="Arial" w:hAnsi="Arial"/>
          <w:sz w:val="19"/>
          <w:szCs w:val="19"/>
          <w:color w:val="auto"/>
        </w:rPr>
      </w:pPr>
      <w:r>
        <w:rPr>
          <w:rFonts w:ascii="Arial" w:cs="Arial" w:eastAsia="Arial" w:hAnsi="Arial"/>
          <w:sz w:val="22"/>
          <w:szCs w:val="22"/>
          <w:color w:val="auto"/>
        </w:rPr>
        <w:t>of: (X) 50% of the Executive’s Annual Base Salary as in effect immediately prior to the Change in Control or on the Date of Termination, whichever is greater, or (Y) the Executive’s Average Annual Bonus, multiplied by (ii) a fraction, the numerator of which shall be the number of days from the beginning of such fiscal year to and including the Date of Termination and the denominator of which shall be 365 equal to (the “</w:t>
      </w:r>
      <w:r>
        <w:rPr>
          <w:rFonts w:ascii="Arial" w:cs="Arial" w:eastAsia="Arial" w:hAnsi="Arial"/>
          <w:sz w:val="22"/>
          <w:szCs w:val="22"/>
          <w:u w:val="single" w:color="auto"/>
          <w:color w:val="auto"/>
        </w:rPr>
        <w:t>Pro Rata Bonus</w:t>
      </w:r>
      <w:r>
        <w:rPr>
          <w:rFonts w:ascii="Arial" w:cs="Arial" w:eastAsia="Arial" w:hAnsi="Arial"/>
          <w:sz w:val="22"/>
          <w:szCs w:val="22"/>
          <w:color w:val="auto"/>
        </w:rPr>
        <w:t>”).</w:t>
      </w:r>
    </w:p>
    <w:p>
      <w:pPr>
        <w:spacing w:after="0" w:line="174" w:lineRule="exact"/>
        <w:rPr>
          <w:rFonts w:ascii="Arial" w:cs="Arial" w:eastAsia="Arial" w:hAnsi="Arial"/>
          <w:sz w:val="19"/>
          <w:szCs w:val="19"/>
          <w:color w:val="auto"/>
        </w:rPr>
      </w:pPr>
    </w:p>
    <w:p>
      <w:pPr>
        <w:jc w:val="both"/>
        <w:ind w:right="260" w:firstLine="1305"/>
        <w:spacing w:after="0" w:line="273" w:lineRule="auto"/>
        <w:tabs>
          <w:tab w:leader="none" w:pos="1945"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Pension Supplement</w:t>
      </w:r>
      <w:r>
        <w:rPr>
          <w:rFonts w:ascii="Arial" w:cs="Arial" w:eastAsia="Arial" w:hAnsi="Arial"/>
          <w:sz w:val="19"/>
          <w:szCs w:val="19"/>
          <w:color w:val="auto"/>
        </w:rPr>
        <w:t>. The Executive shall be entitled to receive a Supplemental Retirement Benefit under the Sempra Energy Supplemental Executive Retirement Plan, as in effect from time to time (“</w:t>
      </w:r>
      <w:r>
        <w:rPr>
          <w:rFonts w:ascii="Arial" w:cs="Arial" w:eastAsia="Arial" w:hAnsi="Arial"/>
          <w:sz w:val="19"/>
          <w:szCs w:val="19"/>
          <w:u w:val="single" w:color="auto"/>
          <w:color w:val="auto"/>
        </w:rPr>
        <w:t>SERP</w:t>
      </w:r>
      <w:r>
        <w:rPr>
          <w:rFonts w:ascii="Arial" w:cs="Arial" w:eastAsia="Arial" w:hAnsi="Arial"/>
          <w:sz w:val="19"/>
          <w:szCs w:val="19"/>
          <w:color w:val="auto"/>
        </w:rPr>
        <w:t>”), determined in accordance with this Section 5(c), in the event that the Executive is a “Participant” (as defined in the SERP) as of the Date of Termination.</w:t>
      </w:r>
    </w:p>
    <w:p>
      <w:pPr>
        <w:spacing w:after="0" w:line="1" w:lineRule="exact"/>
        <w:rPr>
          <w:rFonts w:ascii="Arial" w:cs="Arial" w:eastAsia="Arial" w:hAnsi="Arial"/>
          <w:sz w:val="19"/>
          <w:szCs w:val="19"/>
          <w:color w:val="auto"/>
        </w:rPr>
      </w:pPr>
    </w:p>
    <w:p>
      <w:pPr>
        <w:ind w:right="20" w:firstLine="54"/>
        <w:spacing w:after="0" w:line="270" w:lineRule="auto"/>
        <w:rPr>
          <w:rFonts w:ascii="Arial" w:cs="Arial" w:eastAsia="Arial" w:hAnsi="Arial"/>
          <w:sz w:val="19"/>
          <w:szCs w:val="19"/>
          <w:color w:val="auto"/>
        </w:rPr>
      </w:pPr>
      <w:r>
        <w:rPr>
          <w:rFonts w:ascii="Arial" w:cs="Arial" w:eastAsia="Arial" w:hAnsi="Arial"/>
          <w:sz w:val="19"/>
          <w:szCs w:val="19"/>
          <w:color w:val="auto"/>
        </w:rPr>
        <w:t>Such Supplemental Retirement Benefit shall be determined by crediting the Executive with additional months of Service (if any) equal to the number of full calendar months from the Date of Termination to the date on which the Executive would have attained age 62. The Executive shall be entitled to receive such Supplemental Retirement Benefit without regard to whether the Executive has attained age 55 or completed five years of “Service” (as defined in the SERP) as of the Date of Termination. The Executive shall be treated as qualified for “Retirement” (as defined in the SERP) as of the Date of Termination, and the Executive’s Vesting Factor with respect to the Supplemental Retirement Benefit shall be 100%. The Executive’s Supplemental Retirement Benefit shall be calculated based on the Executive’s actual age as of the date of commencement of payment of such Supplemental Retirement Benefit (the “</w:t>
      </w:r>
      <w:r>
        <w:rPr>
          <w:rFonts w:ascii="Arial" w:cs="Arial" w:eastAsia="Arial" w:hAnsi="Arial"/>
          <w:sz w:val="19"/>
          <w:szCs w:val="19"/>
          <w:u w:val="single" w:color="auto"/>
          <w:color w:val="auto"/>
        </w:rPr>
        <w:t>SERP Distribution Date</w:t>
      </w:r>
      <w:r>
        <w:rPr>
          <w:rFonts w:ascii="Arial" w:cs="Arial" w:eastAsia="Arial" w:hAnsi="Arial"/>
          <w:sz w:val="19"/>
          <w:szCs w:val="19"/>
          <w:color w:val="auto"/>
        </w:rPr>
        <w:t>”), and by applying the applicable early retirement factors under the SERP, if the Executive has not attained age 62 but has attained age 55 as of the SERP Distribution Date. If the Executive has not attained age 55 as of the SERP Distribution Date, the Executive’s Supplemental Retirement Benefit shall be calculated by applying the applicable early retirement factor under the SERP for age 55, and the Supplemental Retirement Benefit otherwise payable at age 55 shall be actuarially adjusted to the Executive’s actual age as of the SERP Distribution Date using the following actuarial assumptions: (i) the applicable mortality table promulgated by the Internal Revenue Service under Section 417(e)(3) of the Code, as in effect on the</w:t>
      </w:r>
    </w:p>
    <w:p>
      <w:pPr>
        <w:sectPr>
          <w:pgSz w:w="11900" w:h="16929" w:orient="portrait"/>
          <w:cols w:equalWidth="0" w:num="1">
            <w:col w:w="11420"/>
          </w:cols>
          <w:pgMar w:left="240" w:top="118" w:right="239" w:bottom="0" w:gutter="0" w:footer="0" w:header="0"/>
        </w:sectPr>
      </w:pPr>
    </w:p>
    <w:bookmarkStart w:id="99" w:name="page100"/>
    <w:bookmarkEnd w:id="99"/>
    <w:p>
      <w:pPr>
        <w:spacing w:after="0" w:line="149" w:lineRule="exact"/>
        <w:rPr>
          <w:sz w:val="20"/>
          <w:szCs w:val="20"/>
          <w:color w:val="auto"/>
        </w:rPr>
      </w:pPr>
    </w:p>
    <w:p>
      <w:pPr>
        <w:ind w:right="60"/>
        <w:spacing w:after="0" w:line="247" w:lineRule="auto"/>
        <w:rPr>
          <w:sz w:val="20"/>
          <w:szCs w:val="20"/>
          <w:color w:val="auto"/>
        </w:rPr>
      </w:pPr>
      <w:r>
        <w:rPr>
          <w:rFonts w:ascii="Arial" w:cs="Arial" w:eastAsia="Arial" w:hAnsi="Arial"/>
          <w:sz w:val="21"/>
          <w:szCs w:val="21"/>
          <w:color w:val="auto"/>
        </w:rPr>
        <w:t>first day of the calendar year in which the SERP Distribution Date occurs, and (ii) the applicable interest rate promulgated by the Internal Revenue Service under Section 417(a)(3) of the Code for the November next preceding the first day of the calendar year in which the SERP Distribution Date occurs. The Executive’s Supplemental Retirement Benefit shall be determined in accordance with this Section 5(c), notwithstanding any contrary provisions of the SERP and, to the extent subject to Section 409A of the Code, shall be paid in accordance with Treasury Regulation Section 1.409A-3(c)(1). The Supplemental Retirement Benefit paid to or on behalf of the Executive in accordance with this Section 5(c) shall be in full satisfaction of any and all of the benefits payable to or on behalf of the Executive under the SERP.</w:t>
      </w:r>
    </w:p>
    <w:p>
      <w:pPr>
        <w:spacing w:after="0" w:line="165" w:lineRule="exact"/>
        <w:rPr>
          <w:sz w:val="20"/>
          <w:szCs w:val="20"/>
          <w:color w:val="auto"/>
        </w:rPr>
      </w:pPr>
    </w:p>
    <w:p>
      <w:pPr>
        <w:ind w:right="20" w:firstLine="1305"/>
        <w:spacing w:after="0" w:line="272" w:lineRule="auto"/>
        <w:tabs>
          <w:tab w:leader="none" w:pos="1945"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Equity-Based Compensation</w:t>
      </w:r>
      <w:r>
        <w:rPr>
          <w:rFonts w:ascii="Arial" w:cs="Arial" w:eastAsia="Arial" w:hAnsi="Arial"/>
          <w:sz w:val="19"/>
          <w:szCs w:val="19"/>
          <w:color w:val="auto"/>
        </w:rPr>
        <w:t xml:space="preserve">. Notwithstanding the provisions of any applicable equity-compensation plan or award agreement to the contrary, all equity-based Incentive Compensation Awards (including, without limitation, stock options, stock appreciation rights, restricted stock awards, restricted stock units, performance share awards, awards covered under Section 162(m) of the Code, and dividend equivalents) held by the Executive shall immediately vest and become exercisable or payable, as the case may be, as of the Date of Termination, to be exercised or paid, as the case may be, in accordance with the terms of the applicable Incentive Compensation Plan and Incentive Compensation Award agreement, and any restrictions on any such Incentive Compensation Awards shall automatically lapse; </w:t>
      </w:r>
      <w:r>
        <w:rPr>
          <w:rFonts w:ascii="Arial" w:cs="Arial" w:eastAsia="Arial" w:hAnsi="Arial"/>
          <w:sz w:val="19"/>
          <w:szCs w:val="19"/>
          <w:i w:val="1"/>
          <w:iCs w:val="1"/>
          <w:color w:val="auto"/>
        </w:rPr>
        <w:t>provided, however</w:t>
      </w:r>
      <w:r>
        <w:rPr>
          <w:rFonts w:ascii="Arial" w:cs="Arial" w:eastAsia="Arial" w:hAnsi="Arial"/>
          <w:sz w:val="19"/>
          <w:szCs w:val="19"/>
          <w:color w:val="auto"/>
        </w:rPr>
        <w:t>, that any such stock option or stock appreciation rights awards granted on or after June 26, 1998 shall remain outstanding and exercisable until the earlier of (A) the later of eighteen (18) months following the Date of Termination or the period specified in the applicable Incentive Compensation Award agreements or (B) the expiration of the original term of such Incentive Compensation Award (or, if earlier, the tenth anniversary of the original date of grant) (it being understood that all Incentive Compensation Awards granted prior to or after June 26, 1998 shall remain outstanding and exercisable for a period that is no less than that provided for in the applicable agreement in effect as of the date of grant).</w:t>
      </w:r>
    </w:p>
    <w:p>
      <w:pPr>
        <w:spacing w:after="0" w:line="161" w:lineRule="exact"/>
        <w:rPr>
          <w:rFonts w:ascii="Arial" w:cs="Arial" w:eastAsia="Arial" w:hAnsi="Arial"/>
          <w:sz w:val="19"/>
          <w:szCs w:val="19"/>
          <w:color w:val="auto"/>
        </w:rPr>
      </w:pPr>
    </w:p>
    <w:p>
      <w:pPr>
        <w:ind w:right="100" w:firstLine="1305"/>
        <w:spacing w:after="0" w:line="243" w:lineRule="auto"/>
        <w:tabs>
          <w:tab w:leader="none" w:pos="1945" w:val="left"/>
        </w:tabs>
        <w:numPr>
          <w:ilvl w:val="0"/>
          <w:numId w:val="140"/>
        </w:numPr>
        <w:rPr>
          <w:rFonts w:ascii="Arial" w:cs="Arial" w:eastAsia="Arial" w:hAnsi="Arial"/>
          <w:sz w:val="21"/>
          <w:szCs w:val="21"/>
          <w:color w:val="auto"/>
        </w:rPr>
      </w:pPr>
      <w:r>
        <w:rPr>
          <w:rFonts w:ascii="Arial" w:cs="Arial" w:eastAsia="Arial" w:hAnsi="Arial"/>
          <w:sz w:val="21"/>
          <w:szCs w:val="21"/>
          <w:u w:val="single" w:color="auto"/>
          <w:color w:val="auto"/>
        </w:rPr>
        <w:t>Welfare Benefits</w:t>
      </w:r>
      <w:r>
        <w:rPr>
          <w:rFonts w:ascii="Arial" w:cs="Arial" w:eastAsia="Arial" w:hAnsi="Arial"/>
          <w:sz w:val="21"/>
          <w:szCs w:val="21"/>
          <w:color w:val="auto"/>
        </w:rPr>
        <w:t xml:space="preserve">. Subject to Section 12 below, for a period of twelve (12) months following the date of Involuntary Termination (and an additional twelve (12) months if the Executive provides consulting services under Section 14(e) hereof), the Executive and his dependents shall be provided with life, disability, accident and health insurance benefits substantially similar to those provided to the Executive and his dependents immediately prior to the date of Involuntary Termination or the Change in Control Date, whichever is more favorable to the Executive;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such benefits shall be provided on substantially the same terms and conditions and at the same cost to the Executive as in effect immediately prior to the date of Involuntary Termination or the Change in Control Date, whichever is more favorable to the Executive. Such benefits shall be provided through insurance maintained by the Company under the Company benefit plans. Such benefits shall be provided in a manner that complies with Treasury Regulation Section 1.409A-1(a)(5). Notwithstanding the foregoing, if the Company determines in its sole discretion that it cannot provide the foregoing benefit without potentially violating applicable law (including, without limitation, Section 2716 of the Public Health Service Act), the Company shall in lieu thereof provide to the Executive a taxable monthly payment in an amount equal to the monthly premium that the Executive would be required to pay to continue the Executive’s and his covered dependents’ group insurance coverages under COBRA as in effect on the Date of Termination (which amount shall be based on the premiums for the first month of COBRA coverage);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if the Executive is a Specified Employee on the Date of Termination, then such payments shall be paid as provided in Section 9 hereof.</w:t>
      </w:r>
    </w:p>
    <w:p>
      <w:pPr>
        <w:spacing w:after="0" w:line="180" w:lineRule="exact"/>
        <w:rPr>
          <w:rFonts w:ascii="Arial" w:cs="Arial" w:eastAsia="Arial" w:hAnsi="Arial"/>
          <w:sz w:val="21"/>
          <w:szCs w:val="21"/>
          <w:color w:val="auto"/>
        </w:rPr>
      </w:pPr>
    </w:p>
    <w:p>
      <w:pPr>
        <w:ind w:firstLine="1305"/>
        <w:spacing w:after="0" w:line="247" w:lineRule="auto"/>
        <w:tabs>
          <w:tab w:leader="none" w:pos="1945" w:val="left"/>
        </w:tabs>
        <w:numPr>
          <w:ilvl w:val="0"/>
          <w:numId w:val="140"/>
        </w:numPr>
        <w:rPr>
          <w:rFonts w:ascii="Arial" w:cs="Arial" w:eastAsia="Arial" w:hAnsi="Arial"/>
          <w:sz w:val="21"/>
          <w:szCs w:val="21"/>
          <w:color w:val="auto"/>
        </w:rPr>
      </w:pPr>
      <w:r>
        <w:rPr>
          <w:rFonts w:ascii="Arial" w:cs="Arial" w:eastAsia="Arial" w:hAnsi="Arial"/>
          <w:sz w:val="21"/>
          <w:szCs w:val="21"/>
          <w:u w:val="single" w:color="auto"/>
          <w:color w:val="auto"/>
        </w:rPr>
        <w:t>Outplacement Services</w:t>
      </w:r>
      <w:r>
        <w:rPr>
          <w:rFonts w:ascii="Arial" w:cs="Arial" w:eastAsia="Arial" w:hAnsi="Arial"/>
          <w:sz w:val="21"/>
          <w:szCs w:val="21"/>
          <w:color w:val="auto"/>
        </w:rPr>
        <w:t>. The Executive shall receive reasonable outplacement services, on an in-kind basis, suitable to his position and directly related to the Executive’s Involuntary Termination, for a period of twenty-four (24) months following the date of Involuntary Termination (but in no event beyond the last day of the Executive’s second taxable year following the Executive’s taxable year in which the Involuntary Termination occurs), in the aggregate amount of cost to the Company not to exceed $50,000. Notwithstanding the foregoing, the Executive shall cease to receive outplacement services on the date the Executive accepts employment with a subsequent employer. Such outplacement services shall be provided in a manner that complies with Treasury Regulation Section 1.409A-1(b)(9)(v)(A).</w:t>
      </w:r>
    </w:p>
    <w:p>
      <w:pPr>
        <w:spacing w:after="0" w:line="164" w:lineRule="exact"/>
        <w:rPr>
          <w:rFonts w:ascii="Arial" w:cs="Arial" w:eastAsia="Arial" w:hAnsi="Arial"/>
          <w:sz w:val="21"/>
          <w:szCs w:val="21"/>
          <w:color w:val="auto"/>
        </w:rPr>
      </w:pPr>
    </w:p>
    <w:p>
      <w:pPr>
        <w:ind w:firstLine="1305"/>
        <w:spacing w:after="0" w:line="273" w:lineRule="auto"/>
        <w:tabs>
          <w:tab w:leader="none" w:pos="1945"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Financial Planning Services</w:t>
      </w:r>
      <w:r>
        <w:rPr>
          <w:rFonts w:ascii="Arial" w:cs="Arial" w:eastAsia="Arial" w:hAnsi="Arial"/>
          <w:sz w:val="19"/>
          <w:szCs w:val="19"/>
          <w:color w:val="auto"/>
        </w:rPr>
        <w:t xml:space="preserve">. The Executive shall receive financial planning services, on an in-kind basis, for a period of twenty-four (24) months following the date of Involuntary Termination. Such financial planning services shall include expert financial and legal resources to assist the Executive with financial planning needs and shall be limited to (i) current investment portfolio management, (ii) tax planning, (iii) tax return preparation, and (iv) estate planning advice and document preparation (including wills and trusts);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Company shall provide such financial services during any taxable year of the Executive only to the extent the cost to the Company for such taxable year does not exceed [</w:t>
      </w:r>
      <w:r>
        <w:rPr>
          <w:rFonts w:ascii="Arial" w:cs="Arial" w:eastAsia="Arial" w:hAnsi="Arial"/>
          <w:sz w:val="19"/>
          <w:szCs w:val="19"/>
          <w:i w:val="1"/>
          <w:iCs w:val="1"/>
          <w:color w:val="auto"/>
        </w:rPr>
        <w:t>$25,000</w:t>
      </w:r>
      <w:r>
        <w:rPr>
          <w:rFonts w:ascii="Arial" w:cs="Arial" w:eastAsia="Arial" w:hAnsi="Arial"/>
          <w:sz w:val="19"/>
          <w:szCs w:val="19"/>
          <w:color w:val="auto"/>
        </w:rPr>
        <w:t>]. The Company shall provide such financial planning services through a financial planner selected by the Company, and shall pay the fees for such financial planning services. The financial planning services provided during any taxable year of the Executive shall not affect the financial planning services provided in any other taxable year of the Executive. The Executive’s right to financial planning services shall not be subject to liquidation or exchange for any other benefit. Such financial planning services shall be provided in a manner that complies with Section 1.409A-3(i)(1)(iv).</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right="40" w:firstLine="1305"/>
        <w:spacing w:after="0" w:line="275" w:lineRule="auto"/>
        <w:tabs>
          <w:tab w:leader="none" w:pos="1945"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Involuntary Termination in Connection with a Change in Control</w:t>
      </w:r>
      <w:r>
        <w:rPr>
          <w:rFonts w:ascii="Arial" w:cs="Arial" w:eastAsia="Arial" w:hAnsi="Arial"/>
          <w:sz w:val="19"/>
          <w:szCs w:val="19"/>
          <w:color w:val="auto"/>
        </w:rPr>
        <w:t>. Notwithstanding anything contained herein, in the event of an Involuntary Termination prior to a Change in Control, if the Involuntary Termination (1) was at the request of a third party who has taken steps reasonably calculated to effect such Change in Control or (2) otherwise arose in connection with or in anticipation of such Change in Control, then the Executive shall, in lieu of the payments described in Section 4 hereof, be entitled to the Post-Change in Control Severance Payment and the additional benefits described in this Section 5 as if such Involuntary Termination had occurred within two (2) years following the Change in Control. The amounts specified in Section 5 that are to be paid under this Section 5(h) shall be reduced by any amount previously paid under Section 4. The amounts to be paid under this Section 5(h) shall be paid within sixty (60) days after the Change in Control Date of such Change in Control.</w:t>
      </w:r>
    </w:p>
    <w:p>
      <w:pPr>
        <w:spacing w:after="0" w:line="144" w:lineRule="exact"/>
        <w:rPr>
          <w:rFonts w:ascii="Arial" w:cs="Arial" w:eastAsia="Arial" w:hAnsi="Arial"/>
          <w:sz w:val="19"/>
          <w:szCs w:val="19"/>
          <w:color w:val="auto"/>
        </w:rPr>
      </w:pPr>
    </w:p>
    <w:p>
      <w:pPr>
        <w:ind w:right="640" w:firstLine="1305"/>
        <w:spacing w:after="0" w:line="328" w:lineRule="auto"/>
        <w:tabs>
          <w:tab w:leader="none" w:pos="1945"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Deferral of Payments</w:t>
      </w:r>
      <w:r>
        <w:rPr>
          <w:rFonts w:ascii="Arial" w:cs="Arial" w:eastAsia="Arial" w:hAnsi="Arial"/>
          <w:sz w:val="19"/>
          <w:szCs w:val="19"/>
          <w:color w:val="auto"/>
        </w:rPr>
        <w:t>. The Executive shall have the right to elect to defer the Post-Change in Control Severance Payment and the Pro Rata Bonus to be received by the Executive pursuant to this Section 5 under the terms and</w:t>
      </w:r>
    </w:p>
    <w:p>
      <w:pPr>
        <w:sectPr>
          <w:pgSz w:w="11900" w:h="16987" w:orient="portrait"/>
          <w:cols w:equalWidth="0" w:num="1">
            <w:col w:w="11420"/>
          </w:cols>
          <w:pgMar w:left="240" w:top="118" w:right="239" w:bottom="0" w:gutter="0" w:footer="0" w:header="0"/>
        </w:sectPr>
      </w:pPr>
    </w:p>
    <w:bookmarkStart w:id="100" w:name="page101"/>
    <w:bookmarkEnd w:id="100"/>
    <w:p>
      <w:pPr>
        <w:spacing w:after="0" w:line="101" w:lineRule="exact"/>
        <w:rPr>
          <w:sz w:val="20"/>
          <w:szCs w:val="20"/>
          <w:color w:val="auto"/>
        </w:rPr>
      </w:pPr>
    </w:p>
    <w:p>
      <w:pPr>
        <w:spacing w:after="0"/>
        <w:rPr>
          <w:sz w:val="20"/>
          <w:szCs w:val="20"/>
          <w:color w:val="auto"/>
        </w:rPr>
      </w:pPr>
      <w:r>
        <w:rPr>
          <w:rFonts w:ascii="Arial" w:cs="Arial" w:eastAsia="Arial" w:hAnsi="Arial"/>
          <w:sz w:val="19"/>
          <w:szCs w:val="19"/>
          <w:color w:val="auto"/>
        </w:rPr>
        <w:t>conditions of the Deferred Compensation Plan. Any such deferral election shall be made in accordance with Section 18(b) hereof.</w:t>
      </w:r>
    </w:p>
    <w:p>
      <w:pPr>
        <w:spacing w:after="0" w:line="228"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b w:val="1"/>
          <w:bCs w:val="1"/>
          <w:color w:val="auto"/>
        </w:rPr>
        <w:t xml:space="preserve">Section 6. </w:t>
      </w:r>
      <w:r>
        <w:rPr>
          <w:rFonts w:ascii="Arial" w:cs="Arial" w:eastAsia="Arial" w:hAnsi="Arial"/>
          <w:sz w:val="22"/>
          <w:szCs w:val="22"/>
          <w:u w:val="single" w:color="auto"/>
          <w:color w:val="auto"/>
        </w:rPr>
        <w:t>Severance Benefits upon Termination by the Company for Cause or by the Executive Other than for</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Good Reason</w:t>
      </w:r>
      <w:r>
        <w:rPr>
          <w:rFonts w:ascii="Arial" w:cs="Arial" w:eastAsia="Arial" w:hAnsi="Arial"/>
          <w:sz w:val="22"/>
          <w:szCs w:val="22"/>
          <w:color w:val="auto"/>
        </w:rPr>
        <w:t>. If the Executive’s employment shall be terminated for Cause, or if the Executive terminates employment other than for Good Reason, the Company shall have no further obligations to the Executive under this Agreement other than the Accrued Obligations and any amounts or benefits described in Section 10 hereof.</w:t>
      </w:r>
    </w:p>
    <w:p>
      <w:pPr>
        <w:spacing w:after="0" w:line="179" w:lineRule="exact"/>
        <w:rPr>
          <w:sz w:val="20"/>
          <w:szCs w:val="20"/>
          <w:color w:val="auto"/>
        </w:rPr>
      </w:pPr>
    </w:p>
    <w:p>
      <w:pPr>
        <w:ind w:right="40" w:firstLine="1297"/>
        <w:spacing w:after="0" w:line="272" w:lineRule="auto"/>
        <w:rPr>
          <w:sz w:val="20"/>
          <w:szCs w:val="20"/>
          <w:color w:val="auto"/>
        </w:rPr>
      </w:pPr>
      <w:r>
        <w:rPr>
          <w:rFonts w:ascii="Arial" w:cs="Arial" w:eastAsia="Arial" w:hAnsi="Arial"/>
          <w:sz w:val="19"/>
          <w:szCs w:val="19"/>
          <w:b w:val="1"/>
          <w:bCs w:val="1"/>
          <w:color w:val="auto"/>
        </w:rPr>
        <w:t xml:space="preserve">Section 7. </w:t>
      </w:r>
      <w:r>
        <w:rPr>
          <w:rFonts w:ascii="Arial" w:cs="Arial" w:eastAsia="Arial" w:hAnsi="Arial"/>
          <w:sz w:val="19"/>
          <w:szCs w:val="19"/>
          <w:u w:val="single" w:color="auto"/>
          <w:color w:val="auto"/>
        </w:rPr>
        <w:t>Severance Benefits upon Termination due to Death or Disability</w:t>
      </w:r>
      <w:r>
        <w:rPr>
          <w:rFonts w:ascii="Arial" w:cs="Arial" w:eastAsia="Arial" w:hAnsi="Arial"/>
          <w:sz w:val="19"/>
          <w:szCs w:val="19"/>
          <w:color w:val="auto"/>
        </w:rPr>
        <w:t>. If the Executive has a Separation</w:t>
      </w:r>
      <w:r>
        <w:rPr>
          <w:rFonts w:ascii="Arial" w:cs="Arial" w:eastAsia="Arial" w:hAnsi="Arial"/>
          <w:sz w:val="19"/>
          <w:szCs w:val="19"/>
          <w:b w:val="1"/>
          <w:bCs w:val="1"/>
          <w:color w:val="auto"/>
        </w:rPr>
        <w:t xml:space="preserve"> </w:t>
      </w:r>
      <w:r>
        <w:rPr>
          <w:rFonts w:ascii="Arial" w:cs="Arial" w:eastAsia="Arial" w:hAnsi="Arial"/>
          <w:sz w:val="19"/>
          <w:szCs w:val="19"/>
          <w:color w:val="auto"/>
        </w:rPr>
        <w:t>from Service by reason of death or Disability, the Company shall pay the Executive or his estate, as the case may be, the Accrued Obligations and the Pro Rata Bonus (without regard to whether a Change in Control has occurred) and any amounts or benefits described in Section 10 hereof. Such payments shall be in addition to those rights and benefits to which the Executive or his estate may be entitled under the relevant Company plans or programs. The Company's obligation to pay the Pro Rata Bonus is conditioned upon the Executive, the Executive's representative or the Executive's estate, as the case may be executing the Release within fifty (50) days after the date of Executive's Separation from Service and not revoking such Release in accordance with the terms thereof. The Accrued Obligations shall be paid within the time required by law and the Pro Rata Bonus shall be paid on such date as determined by the Company within sixty (60) days after the date of the Separation from Service but not before the Release becomes effective and irrevocable. If the fifty (50) day period in which the Release could become effective spans more than one taxable year, then the Pro Rata Bonus shall not be made until the later taxable year. Notwithstanding the foregoing, if the Executive is a Specified Employee on the date of the Executive’s Separation from Service, the Pro Rata Bonus shall be paid as provided in Section 9 hereof.</w:t>
      </w:r>
    </w:p>
    <w:p>
      <w:pPr>
        <w:spacing w:after="0" w:line="39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19"/>
          <w:szCs w:val="19"/>
          <w:u w:val="single" w:color="auto"/>
          <w:color w:val="auto"/>
        </w:rPr>
        <w:t>Limitations on Payments by the Company</w:t>
      </w:r>
      <w:r>
        <w:rPr>
          <w:rFonts w:ascii="Arial" w:cs="Arial" w:eastAsia="Arial" w:hAnsi="Arial"/>
          <w:sz w:val="19"/>
          <w:szCs w:val="19"/>
          <w:color w:val="auto"/>
        </w:rPr>
        <w:t>.</w:t>
      </w:r>
    </w:p>
    <w:p>
      <w:pPr>
        <w:spacing w:after="0" w:line="193" w:lineRule="exact"/>
        <w:rPr>
          <w:sz w:val="20"/>
          <w:szCs w:val="20"/>
          <w:color w:val="auto"/>
        </w:rPr>
      </w:pPr>
    </w:p>
    <w:p>
      <w:pPr>
        <w:ind w:firstLine="1305"/>
        <w:spacing w:after="0" w:line="233" w:lineRule="auto"/>
        <w:tabs>
          <w:tab w:leader="none" w:pos="1945" w:val="left"/>
        </w:tabs>
        <w:numPr>
          <w:ilvl w:val="0"/>
          <w:numId w:val="141"/>
        </w:numPr>
        <w:rPr>
          <w:rFonts w:ascii="Arial" w:cs="Arial" w:eastAsia="Arial" w:hAnsi="Arial"/>
          <w:sz w:val="22"/>
          <w:szCs w:val="22"/>
          <w:color w:val="auto"/>
        </w:rPr>
      </w:pPr>
      <w:r>
        <w:rPr>
          <w:rFonts w:ascii="Arial" w:cs="Arial" w:eastAsia="Arial" w:hAnsi="Arial"/>
          <w:sz w:val="22"/>
          <w:szCs w:val="22"/>
          <w:color w:val="auto"/>
        </w:rPr>
        <w:t>Anything in this Agreement to the contrary notwithstanding and except as set forth in this Section 8 below, in the event it shall be determined that any payment or distribution in the nature of compensation (within the meaning of Section 280G(b)(2) of the Code) to or for the benefit of the Executive, whether paid or payable pursuant to this Agreement or otherwise (the “</w:t>
      </w:r>
      <w:r>
        <w:rPr>
          <w:rFonts w:ascii="Arial" w:cs="Arial" w:eastAsia="Arial" w:hAnsi="Arial"/>
          <w:sz w:val="22"/>
          <w:szCs w:val="22"/>
          <w:u w:val="single" w:color="auto"/>
          <w:color w:val="auto"/>
        </w:rPr>
        <w:t>Payment</w:t>
      </w:r>
      <w:r>
        <w:rPr>
          <w:rFonts w:ascii="Arial" w:cs="Arial" w:eastAsia="Arial" w:hAnsi="Arial"/>
          <w:sz w:val="22"/>
          <w:szCs w:val="22"/>
          <w:color w:val="auto"/>
        </w:rPr>
        <w:t>”) would be subject (in whole or in part) to the excise tax imposed by Section 4999 of the Code, (the “</w:t>
      </w:r>
      <w:r>
        <w:rPr>
          <w:rFonts w:ascii="Arial" w:cs="Arial" w:eastAsia="Arial" w:hAnsi="Arial"/>
          <w:sz w:val="22"/>
          <w:szCs w:val="22"/>
          <w:u w:val="single" w:color="auto"/>
          <w:color w:val="auto"/>
        </w:rPr>
        <w:t>Excise Tax</w:t>
      </w:r>
      <w:r>
        <w:rPr>
          <w:rFonts w:ascii="Arial" w:cs="Arial" w:eastAsia="Arial" w:hAnsi="Arial"/>
          <w:sz w:val="22"/>
          <w:szCs w:val="22"/>
          <w:color w:val="auto"/>
        </w:rPr>
        <w:t>”), then, subject to subsection (b), the Pre-Change in Control Severance Benefit or the Post-Change in Control Severance Payment (whichever is applicable) payable under this Agreement shall be reduced under this subsection (a) to the amount equal to the Reduced Payment. For such Payment payable under this Agreement, the “</w:t>
      </w:r>
      <w:r>
        <w:rPr>
          <w:rFonts w:ascii="Arial" w:cs="Arial" w:eastAsia="Arial" w:hAnsi="Arial"/>
          <w:sz w:val="22"/>
          <w:szCs w:val="22"/>
          <w:u w:val="single" w:color="auto"/>
          <w:color w:val="auto"/>
        </w:rPr>
        <w:t>Reduced Payment</w:t>
      </w:r>
      <w:r>
        <w:rPr>
          <w:rFonts w:ascii="Arial" w:cs="Arial" w:eastAsia="Arial" w:hAnsi="Arial"/>
          <w:sz w:val="22"/>
          <w:szCs w:val="22"/>
          <w:color w:val="auto"/>
        </w:rPr>
        <w:t>” shall be the amount equal to the greatest portion of the Payment (which may be zero) that, if paid, would result in no portion of any Payment being subject to the Excise Tax.</w:t>
      </w:r>
    </w:p>
    <w:p>
      <w:pPr>
        <w:spacing w:after="0" w:line="193" w:lineRule="exact"/>
        <w:rPr>
          <w:rFonts w:ascii="Arial" w:cs="Arial" w:eastAsia="Arial" w:hAnsi="Arial"/>
          <w:sz w:val="22"/>
          <w:szCs w:val="22"/>
          <w:color w:val="auto"/>
        </w:rPr>
      </w:pPr>
    </w:p>
    <w:p>
      <w:pPr>
        <w:ind w:right="60" w:firstLine="1305"/>
        <w:spacing w:after="0" w:line="251" w:lineRule="auto"/>
        <w:tabs>
          <w:tab w:leader="none" w:pos="1945"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The Pre-Change in Control Severance Benefit or the Post-Change in Control Severance Payment (whichever is applicable) payable under this Agreement shall not be reduced under subsection (a) if:</w:t>
      </w:r>
    </w:p>
    <w:p>
      <w:pPr>
        <w:spacing w:after="0" w:line="159" w:lineRule="exact"/>
        <w:rPr>
          <w:rFonts w:ascii="Arial" w:cs="Arial" w:eastAsia="Arial" w:hAnsi="Arial"/>
          <w:sz w:val="22"/>
          <w:szCs w:val="22"/>
          <w:color w:val="auto"/>
        </w:rPr>
      </w:pPr>
    </w:p>
    <w:p>
      <w:pPr>
        <w:ind w:left="3240" w:hanging="639"/>
        <w:spacing w:after="0"/>
        <w:tabs>
          <w:tab w:leader="none" w:pos="3240" w:val="left"/>
        </w:tabs>
        <w:numPr>
          <w:ilvl w:val="1"/>
          <w:numId w:val="141"/>
        </w:numPr>
        <w:rPr>
          <w:rFonts w:ascii="Arial" w:cs="Arial" w:eastAsia="Arial" w:hAnsi="Arial"/>
          <w:sz w:val="19"/>
          <w:szCs w:val="19"/>
          <w:color w:val="auto"/>
        </w:rPr>
      </w:pPr>
      <w:r>
        <w:rPr>
          <w:rFonts w:ascii="Arial" w:cs="Arial" w:eastAsia="Arial" w:hAnsi="Arial"/>
          <w:sz w:val="19"/>
          <w:szCs w:val="19"/>
          <w:color w:val="auto"/>
        </w:rPr>
        <w:t>such reduction in such Payment is not sufficient to cause no portion of any Payment to be</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subject to the Excise Tax, or</w:t>
      </w:r>
    </w:p>
    <w:p>
      <w:pPr>
        <w:spacing w:after="0" w:line="174" w:lineRule="exact"/>
        <w:rPr>
          <w:rFonts w:ascii="Arial" w:cs="Arial" w:eastAsia="Arial" w:hAnsi="Arial"/>
          <w:sz w:val="19"/>
          <w:szCs w:val="19"/>
          <w:color w:val="auto"/>
        </w:rPr>
      </w:pPr>
    </w:p>
    <w:p>
      <w:pPr>
        <w:ind w:left="660" w:right="720" w:firstLine="1941"/>
        <w:spacing w:after="0" w:line="274" w:lineRule="auto"/>
        <w:tabs>
          <w:tab w:leader="none" w:pos="3253" w:val="left"/>
        </w:tabs>
        <w:numPr>
          <w:ilvl w:val="1"/>
          <w:numId w:val="141"/>
        </w:numPr>
        <w:rPr>
          <w:rFonts w:ascii="Arial" w:cs="Arial" w:eastAsia="Arial" w:hAnsi="Arial"/>
          <w:sz w:val="21"/>
          <w:szCs w:val="21"/>
          <w:color w:val="auto"/>
        </w:rPr>
      </w:pPr>
      <w:r>
        <w:rPr>
          <w:rFonts w:ascii="Arial" w:cs="Arial" w:eastAsia="Arial" w:hAnsi="Arial"/>
          <w:sz w:val="21"/>
          <w:szCs w:val="21"/>
          <w:color w:val="auto"/>
        </w:rPr>
        <w:t>the Net After-Tax Unreduced Payments (as defined below) would equal or exceed one hundred and five percent (105%) of the Net After-Tax Reduced Payments (as defined below).</w:t>
      </w:r>
    </w:p>
    <w:p>
      <w:pPr>
        <w:spacing w:after="0" w:line="151" w:lineRule="exact"/>
        <w:rPr>
          <w:sz w:val="20"/>
          <w:szCs w:val="20"/>
          <w:color w:val="auto"/>
        </w:rPr>
      </w:pPr>
    </w:p>
    <w:p>
      <w:pPr>
        <w:ind w:right="200"/>
        <w:spacing w:after="0" w:line="279" w:lineRule="auto"/>
        <w:rPr>
          <w:sz w:val="20"/>
          <w:szCs w:val="20"/>
          <w:color w:val="auto"/>
        </w:rPr>
      </w:pPr>
      <w:r>
        <w:rPr>
          <w:rFonts w:ascii="Arial" w:cs="Arial" w:eastAsia="Arial" w:hAnsi="Arial"/>
          <w:sz w:val="19"/>
          <w:szCs w:val="19"/>
          <w:color w:val="auto"/>
        </w:rPr>
        <w:t>For purposes of determining the amount of any Reduced Payment under subsection (a), and the Net-After Tax Reduced Payments and the Net After-Tax Unreduced Payments, the Executive shall be considered to pay federal, state and local income and employment taxes at the Executive’s applicable marginal rates taking into consideration any reduction in federal income taxes which could be obtained from the deduction of state and local income taxes, and any reduction or disallowance of itemized deductions and personal exemptions under applicable tax law). The applicable federal, state and local income and employment taxes and the Excise Tax (to the extent applicable) are collectively referred to as the “</w:t>
      </w:r>
      <w:r>
        <w:rPr>
          <w:rFonts w:ascii="Arial" w:cs="Arial" w:eastAsia="Arial" w:hAnsi="Arial"/>
          <w:sz w:val="19"/>
          <w:szCs w:val="19"/>
          <w:u w:val="single" w:color="auto"/>
          <w:color w:val="auto"/>
        </w:rPr>
        <w:t>Taxes</w:t>
      </w:r>
      <w:r>
        <w:rPr>
          <w:rFonts w:ascii="Arial" w:cs="Arial" w:eastAsia="Arial" w:hAnsi="Arial"/>
          <w:sz w:val="19"/>
          <w:szCs w:val="19"/>
          <w:color w:val="auto"/>
        </w:rPr>
        <w:t>”.</w:t>
      </w:r>
    </w:p>
    <w:p>
      <w:pPr>
        <w:spacing w:after="0" w:line="151" w:lineRule="exact"/>
        <w:rPr>
          <w:sz w:val="20"/>
          <w:szCs w:val="20"/>
          <w:color w:val="auto"/>
        </w:rPr>
      </w:pPr>
    </w:p>
    <w:p>
      <w:pPr>
        <w:ind w:left="1960" w:hanging="655"/>
        <w:spacing w:after="0"/>
        <w:tabs>
          <w:tab w:leader="none" w:pos="196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following definitions shall apply for purposes of this Section 8:</w:t>
      </w:r>
    </w:p>
    <w:p>
      <w:pPr>
        <w:spacing w:after="0" w:line="192" w:lineRule="exact"/>
        <w:rPr>
          <w:rFonts w:ascii="Arial" w:cs="Arial" w:eastAsia="Arial" w:hAnsi="Arial"/>
          <w:sz w:val="22"/>
          <w:szCs w:val="22"/>
          <w:color w:val="auto"/>
        </w:rPr>
      </w:pPr>
    </w:p>
    <w:p>
      <w:pPr>
        <w:ind w:left="660" w:right="80" w:firstLine="1941"/>
        <w:spacing w:after="0"/>
        <w:tabs>
          <w:tab w:leader="none" w:pos="3253" w:val="left"/>
        </w:tabs>
        <w:numPr>
          <w:ilvl w:val="1"/>
          <w:numId w:val="142"/>
        </w:numPr>
        <w:rPr>
          <w:rFonts w:ascii="Arial" w:cs="Arial" w:eastAsia="Arial" w:hAnsi="Arial"/>
          <w:sz w:val="22"/>
          <w:szCs w:val="22"/>
          <w:color w:val="auto"/>
        </w:rPr>
      </w:pPr>
      <w:r>
        <w:rPr>
          <w:rFonts w:ascii="Arial" w:cs="Arial" w:eastAsia="Arial" w:hAnsi="Arial"/>
          <w:sz w:val="22"/>
          <w:szCs w:val="22"/>
          <w:color w:val="auto"/>
        </w:rPr>
        <w:t>“Net After-Tax Reduced Payments” shall mean the total amount of all Payments that the Executive would retain, on a Net After-Tax Basis, in the event that the Payments payable under this Agreement are reduced pursuant to subsection (a).</w:t>
      </w:r>
    </w:p>
    <w:p>
      <w:pPr>
        <w:spacing w:after="0" w:line="172" w:lineRule="exact"/>
        <w:rPr>
          <w:rFonts w:ascii="Arial" w:cs="Arial" w:eastAsia="Arial" w:hAnsi="Arial"/>
          <w:sz w:val="22"/>
          <w:szCs w:val="22"/>
          <w:color w:val="auto"/>
        </w:rPr>
      </w:pPr>
    </w:p>
    <w:p>
      <w:pPr>
        <w:ind w:left="660" w:right="340" w:firstLine="1941"/>
        <w:spacing w:after="0"/>
        <w:tabs>
          <w:tab w:leader="none" w:pos="3253" w:val="left"/>
        </w:tabs>
        <w:numPr>
          <w:ilvl w:val="1"/>
          <w:numId w:val="142"/>
        </w:numPr>
        <w:rPr>
          <w:rFonts w:ascii="Arial" w:cs="Arial" w:eastAsia="Arial" w:hAnsi="Arial"/>
          <w:sz w:val="22"/>
          <w:szCs w:val="22"/>
          <w:color w:val="auto"/>
        </w:rPr>
      </w:pPr>
      <w:r>
        <w:rPr>
          <w:rFonts w:ascii="Arial" w:cs="Arial" w:eastAsia="Arial" w:hAnsi="Arial"/>
          <w:sz w:val="22"/>
          <w:szCs w:val="22"/>
          <w:color w:val="auto"/>
        </w:rPr>
        <w:t>“Net After-Tax Unreduced Payments” shall mean the total amount of all Payments that the Executive would retain, on a Net After-Tax Basis, in the event that the Payments payable under this Agreement are not reduced pursuant to subsection (a).</w:t>
      </w:r>
    </w:p>
    <w:p>
      <w:pPr>
        <w:spacing w:after="0" w:line="186" w:lineRule="exact"/>
        <w:rPr>
          <w:rFonts w:ascii="Arial" w:cs="Arial" w:eastAsia="Arial" w:hAnsi="Arial"/>
          <w:sz w:val="22"/>
          <w:szCs w:val="22"/>
          <w:color w:val="auto"/>
        </w:rPr>
      </w:pPr>
    </w:p>
    <w:p>
      <w:pPr>
        <w:ind w:left="660" w:right="440" w:firstLine="1941"/>
        <w:spacing w:after="0"/>
        <w:tabs>
          <w:tab w:leader="none" w:pos="3253" w:val="left"/>
        </w:tabs>
        <w:numPr>
          <w:ilvl w:val="1"/>
          <w:numId w:val="142"/>
        </w:numPr>
        <w:rPr>
          <w:rFonts w:ascii="Arial" w:cs="Arial" w:eastAsia="Arial" w:hAnsi="Arial"/>
          <w:sz w:val="22"/>
          <w:szCs w:val="22"/>
          <w:color w:val="auto"/>
        </w:rPr>
      </w:pPr>
      <w:r>
        <w:rPr>
          <w:rFonts w:ascii="Arial" w:cs="Arial" w:eastAsia="Arial" w:hAnsi="Arial"/>
          <w:sz w:val="22"/>
          <w:szCs w:val="22"/>
          <w:color w:val="auto"/>
        </w:rPr>
        <w:t>“Net After-Tax Basis” shall mean, with respect to the Payments, either with or without reduction under subsection (a) (as applicable), the amount that would be retained by the Executive from such Payments after the payment of all Taxes.</w:t>
      </w:r>
    </w:p>
    <w:p>
      <w:pPr>
        <w:spacing w:after="0" w:line="172" w:lineRule="exact"/>
        <w:rPr>
          <w:rFonts w:ascii="Arial" w:cs="Arial" w:eastAsia="Arial" w:hAnsi="Arial"/>
          <w:sz w:val="22"/>
          <w:szCs w:val="22"/>
          <w:color w:val="auto"/>
        </w:rPr>
      </w:pPr>
    </w:p>
    <w:p>
      <w:pPr>
        <w:ind w:right="100" w:firstLine="1305"/>
        <w:spacing w:after="0" w:line="277" w:lineRule="auto"/>
        <w:tabs>
          <w:tab w:leader="none" w:pos="1945" w:val="left"/>
        </w:tabs>
        <w:numPr>
          <w:ilvl w:val="0"/>
          <w:numId w:val="142"/>
        </w:numPr>
        <w:rPr>
          <w:rFonts w:ascii="Arial" w:cs="Arial" w:eastAsia="Arial" w:hAnsi="Arial"/>
          <w:sz w:val="19"/>
          <w:szCs w:val="19"/>
          <w:color w:val="auto"/>
        </w:rPr>
      </w:pPr>
      <w:r>
        <w:rPr>
          <w:rFonts w:ascii="Arial" w:cs="Arial" w:eastAsia="Arial" w:hAnsi="Arial"/>
          <w:sz w:val="19"/>
          <w:szCs w:val="19"/>
          <w:color w:val="auto"/>
        </w:rPr>
        <w:t>All determinations required to be made under this Section 8 and the assumptions to be utilized in arriving at such determinations, shall be made by a nationally recognized accounting firm as may be agreed by the Company and the Executive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that the Accounting Firm’s determination shall be made based upon “substantial authority” within the meaning of Section 6662 of the Code. The Accounting Firm shall provide detailed supporting calculations to both the Company and the Executive within fifteen (15) business days of the receipt of notice from the Executive that there has been a Payment or such earlier time as is requested by the Company. All fees and expenses of the Accounting Firm shall be borne solely by the Company. Any determination by the Accounting Firm shall be binding upon the Company and the Executive. For</w:t>
      </w:r>
    </w:p>
    <w:p>
      <w:pPr>
        <w:sectPr>
          <w:pgSz w:w="11900" w:h="16939" w:orient="portrait"/>
          <w:cols w:equalWidth="0" w:num="1">
            <w:col w:w="11420"/>
          </w:cols>
          <w:pgMar w:left="240" w:top="118" w:right="239" w:bottom="0" w:gutter="0" w:footer="0" w:header="0"/>
        </w:sectPr>
      </w:pPr>
    </w:p>
    <w:bookmarkStart w:id="101" w:name="page102"/>
    <w:bookmarkEnd w:id="101"/>
    <w:p>
      <w:pPr>
        <w:spacing w:after="0" w:line="52"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purposes of determining whether and the extent to which the Payments will be subject to the Excise Tax, (i) no portion of the Payments the receipt or enjoyment of which the Executive shall have waived at such time and in such manner as not to constitute a “payment” within the meaning of Section 280G(b) of the Code shall be taken into account, (ii) no portion of the Payments shall be taken into account which, in the written opinion of the Accounting Firm, does not constitute a “parachute payment” within the meaning of Section 280G(b)(2) of the Code (including by reason of Section 280G(b)(4)(A) of the Code) and, in calculating the Excise Tax, no portion of such Payments shall be taken into account which, in the opinion of the Accounting Firm,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Payments shall be determined by the Accounting Firm in accordance with the principles of Sections 280G(d)(3) and (4) of the Code.</w:t>
      </w:r>
    </w:p>
    <w:p>
      <w:pPr>
        <w:spacing w:after="0" w:line="149" w:lineRule="exact"/>
        <w:rPr>
          <w:sz w:val="20"/>
          <w:szCs w:val="20"/>
          <w:color w:val="auto"/>
        </w:rPr>
      </w:pPr>
    </w:p>
    <w:p>
      <w:pPr>
        <w:ind w:firstLine="1297"/>
        <w:spacing w:after="0" w:line="272" w:lineRule="auto"/>
        <w:rPr>
          <w:sz w:val="20"/>
          <w:szCs w:val="20"/>
          <w:color w:val="auto"/>
        </w:rPr>
      </w:pPr>
      <w:r>
        <w:rPr>
          <w:rFonts w:ascii="Arial" w:cs="Arial" w:eastAsia="Arial" w:hAnsi="Arial"/>
          <w:sz w:val="19"/>
          <w:szCs w:val="19"/>
          <w:b w:val="1"/>
          <w:bCs w:val="1"/>
          <w:color w:val="auto"/>
        </w:rPr>
        <w:t xml:space="preserve">Section 9. </w:t>
      </w:r>
      <w:r>
        <w:rPr>
          <w:rFonts w:ascii="Arial" w:cs="Arial" w:eastAsia="Arial" w:hAnsi="Arial"/>
          <w:sz w:val="19"/>
          <w:szCs w:val="19"/>
          <w:u w:val="single" w:color="auto"/>
          <w:color w:val="auto"/>
        </w:rPr>
        <w:t>Delayed Distribution under Section 409A of the Code</w:t>
      </w:r>
      <w:r>
        <w:rPr>
          <w:rFonts w:ascii="Arial" w:cs="Arial" w:eastAsia="Arial" w:hAnsi="Arial"/>
          <w:sz w:val="19"/>
          <w:szCs w:val="19"/>
          <w:color w:val="auto"/>
        </w:rPr>
        <w:t>. If the Executive is a Specified Employee on</w:t>
      </w:r>
      <w:r>
        <w:rPr>
          <w:rFonts w:ascii="Arial" w:cs="Arial" w:eastAsia="Arial" w:hAnsi="Arial"/>
          <w:sz w:val="19"/>
          <w:szCs w:val="19"/>
          <w:b w:val="1"/>
          <w:bCs w:val="1"/>
          <w:color w:val="auto"/>
        </w:rPr>
        <w:t xml:space="preserve"> </w:t>
      </w:r>
      <w:r>
        <w:rPr>
          <w:rFonts w:ascii="Arial" w:cs="Arial" w:eastAsia="Arial" w:hAnsi="Arial"/>
          <w:sz w:val="19"/>
          <w:szCs w:val="19"/>
          <w:color w:val="auto"/>
        </w:rPr>
        <w:t>the date of the Executive’s Involuntary Termination (or on the date of the Executive’s Separation from Service by reason of Disability), the Section 409A Payments, and any other payments or benefits under this Agreement subject to Section 409A of the Code, shall be delayed in order to avoid a prohibited distribution under Section 409A(a)(2)(B)(i) of the Code, and such payments or benefits shall be paid or distributed to the Executive during the thirty (30) day period commencing on the earlier of (a) the expiration of the six-month period measured from the date of the Executive’s Separation from Service or (b) the date of the Executive’s death. Upon the expiration of the applicable six-month period under Section 409A(a)(2)(B)(i) of the Code, all payments deferred pursuant to this Section 9 (excluding in-kind benefits) shall be paid in a lump sum payment to the Executive, plus interest thereon from the date of the Executive’s Involuntary Termination through the payment date at an annual rate equal to Moody’s Rate. The “</w:t>
      </w:r>
      <w:r>
        <w:rPr>
          <w:rFonts w:ascii="Arial" w:cs="Arial" w:eastAsia="Arial" w:hAnsi="Arial"/>
          <w:sz w:val="19"/>
          <w:szCs w:val="19"/>
          <w:u w:val="single" w:color="auto"/>
          <w:color w:val="auto"/>
        </w:rPr>
        <w:t>Moody’s Rate</w:t>
      </w:r>
      <w:r>
        <w:rPr>
          <w:rFonts w:ascii="Arial" w:cs="Arial" w:eastAsia="Arial" w:hAnsi="Arial"/>
          <w:sz w:val="19"/>
          <w:szCs w:val="19"/>
          <w:color w:val="auto"/>
        </w:rPr>
        <w:t>” shall mean the average of the daily Moody’s Corporate Bond Yield Average – Monthly Average Corporates as published by Moody’s Investors Service, Inc. (or any successor) for the month next preceding the Date of Termination. Any remaining payments due under the Agreement shall be paid as otherwise provided herein.</w:t>
      </w:r>
    </w:p>
    <w:p>
      <w:pPr>
        <w:spacing w:after="0" w:line="156" w:lineRule="exact"/>
        <w:rPr>
          <w:sz w:val="20"/>
          <w:szCs w:val="20"/>
          <w:color w:val="auto"/>
        </w:rPr>
      </w:pPr>
    </w:p>
    <w:p>
      <w:pPr>
        <w:ind w:right="120" w:firstLine="1297"/>
        <w:spacing w:after="0" w:line="272" w:lineRule="auto"/>
        <w:rPr>
          <w:sz w:val="20"/>
          <w:szCs w:val="20"/>
          <w:color w:val="auto"/>
        </w:rPr>
      </w:pPr>
      <w:r>
        <w:rPr>
          <w:rFonts w:ascii="Arial" w:cs="Arial" w:eastAsia="Arial" w:hAnsi="Arial"/>
          <w:sz w:val="19"/>
          <w:szCs w:val="19"/>
          <w:b w:val="1"/>
          <w:bCs w:val="1"/>
          <w:color w:val="auto"/>
        </w:rPr>
        <w:t xml:space="preserve">Section 10. </w:t>
      </w:r>
      <w:r>
        <w:rPr>
          <w:rFonts w:ascii="Arial" w:cs="Arial" w:eastAsia="Arial" w:hAnsi="Arial"/>
          <w:sz w:val="19"/>
          <w:szCs w:val="19"/>
          <w:u w:val="single" w:color="auto"/>
          <w:color w:val="auto"/>
        </w:rPr>
        <w:t>Nonexclusivity of Rights</w:t>
      </w:r>
      <w:r>
        <w:rPr>
          <w:rFonts w:ascii="Arial" w:cs="Arial" w:eastAsia="Arial" w:hAnsi="Arial"/>
          <w:sz w:val="19"/>
          <w:szCs w:val="19"/>
          <w:color w:val="auto"/>
        </w:rPr>
        <w:t>. Nothing in this Agreement shall prevent or limit the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continuing or future participation in any benefit, plan, program, policy or practice provided by the Company and for which the Executive may qualify (except with respect to any benefit to which the Executive has waived his rights in writing), including, without limitation, any and all indemnification arrangements in favor of the Executive (whether under agreements or under the Company’s charter documents or otherwise), and insurance policies covering the Executive, nor shall anything herein limit or otherwise affect such rights as the Executive may have under any other contract or agreement entered into after the Effective Date with the Company. Amounts which are vested benefits or which the Executive is otherwise entitled to receive under any benefit, plan, policy, practice or program of, or any contract or agreement entered into with, the Company shall be payable in accordance with such benefit, plan, policy, practice or program or contract or agreement except as explicitly modified by this Agreement. At all times during the Executive’s employment with the Company and thereafter, the Company shall provide (to the extent permissible under applicable law) the Executive with indemnification and D&amp;O insurance insuring the Executive against insurable events which occur or have occurred while the Executive was a director or the Executive officer of the Company, on terms and conditions that are at least as generous as that then provided to any other current or former director or the Executive officer of the Company or any Affiliate. Such indemnification and D&amp;O insurance shall be provided in a manner that complies with Treasury Regulation Section 1.409A-1(b)(10).</w:t>
      </w:r>
    </w:p>
    <w:p>
      <w:pPr>
        <w:spacing w:after="0" w:line="388" w:lineRule="exact"/>
        <w:rPr>
          <w:sz w:val="20"/>
          <w:szCs w:val="20"/>
          <w:color w:val="auto"/>
        </w:rPr>
      </w:pPr>
    </w:p>
    <w:p>
      <w:pPr>
        <w:ind w:right="80" w:firstLine="1297"/>
        <w:spacing w:after="0" w:line="252" w:lineRule="auto"/>
        <w:rPr>
          <w:sz w:val="20"/>
          <w:szCs w:val="20"/>
          <w:color w:val="auto"/>
        </w:rPr>
      </w:pPr>
      <w:r>
        <w:rPr>
          <w:rFonts w:ascii="Arial" w:cs="Arial" w:eastAsia="Arial" w:hAnsi="Arial"/>
          <w:sz w:val="21"/>
          <w:szCs w:val="21"/>
          <w:b w:val="1"/>
          <w:bCs w:val="1"/>
          <w:color w:val="auto"/>
        </w:rPr>
        <w:t xml:space="preserve">Section 11. </w:t>
      </w:r>
      <w:r>
        <w:rPr>
          <w:rFonts w:ascii="Arial" w:cs="Arial" w:eastAsia="Arial" w:hAnsi="Arial"/>
          <w:sz w:val="21"/>
          <w:szCs w:val="21"/>
          <w:u w:val="single" w:color="auto"/>
          <w:color w:val="auto"/>
        </w:rPr>
        <w:t>Clawbacks</w:t>
      </w:r>
      <w:r>
        <w:rPr>
          <w:rFonts w:ascii="Arial" w:cs="Arial" w:eastAsia="Arial" w:hAnsi="Arial"/>
          <w:sz w:val="21"/>
          <w:szCs w:val="21"/>
          <w:color w:val="auto"/>
        </w:rPr>
        <w:t>. Notwithstanding anything herein to the contrary, if the Company determines, in its good</w:t>
      </w:r>
      <w:r>
        <w:rPr>
          <w:rFonts w:ascii="Arial" w:cs="Arial" w:eastAsia="Arial" w:hAnsi="Arial"/>
          <w:sz w:val="21"/>
          <w:szCs w:val="21"/>
          <w:b w:val="1"/>
          <w:bCs w:val="1"/>
          <w:color w:val="auto"/>
        </w:rPr>
        <w:t xml:space="preserve"> </w:t>
      </w:r>
      <w:r>
        <w:rPr>
          <w:rFonts w:ascii="Arial" w:cs="Arial" w:eastAsia="Arial" w:hAnsi="Arial"/>
          <w:sz w:val="21"/>
          <w:szCs w:val="21"/>
          <w:color w:val="auto"/>
        </w:rPr>
        <w:t>faith judgment, that if the Executive is required to forfeit or to make any repayment of any compensation or benefit(s) to the Company under the Sarbanes-Oxley Act of 2002 or pursuant to the Dodd-Frank Wall Street Reform and Consumer Protection Act or any other law, such forfeiture or repayment shall not constitute Good Reason.</w:t>
      </w:r>
    </w:p>
    <w:p>
      <w:pPr>
        <w:spacing w:after="0" w:line="161" w:lineRule="exact"/>
        <w:rPr>
          <w:sz w:val="20"/>
          <w:szCs w:val="20"/>
          <w:color w:val="auto"/>
        </w:rPr>
      </w:pPr>
    </w:p>
    <w:p>
      <w:pPr>
        <w:ind w:right="60" w:firstLine="1297"/>
        <w:spacing w:after="0" w:line="277" w:lineRule="auto"/>
        <w:rPr>
          <w:sz w:val="20"/>
          <w:szCs w:val="20"/>
          <w:color w:val="auto"/>
        </w:rPr>
      </w:pPr>
      <w:r>
        <w:rPr>
          <w:rFonts w:ascii="Arial" w:cs="Arial" w:eastAsia="Arial" w:hAnsi="Arial"/>
          <w:sz w:val="19"/>
          <w:szCs w:val="19"/>
          <w:b w:val="1"/>
          <w:bCs w:val="1"/>
          <w:color w:val="auto"/>
        </w:rPr>
        <w:t xml:space="preserve">Section 12. </w:t>
      </w:r>
      <w:r>
        <w:rPr>
          <w:rFonts w:ascii="Arial" w:cs="Arial" w:eastAsia="Arial" w:hAnsi="Arial"/>
          <w:sz w:val="19"/>
          <w:szCs w:val="19"/>
          <w:u w:val="single" w:color="auto"/>
          <w:color w:val="auto"/>
        </w:rPr>
        <w:t>Full Settlement; Mitigation</w:t>
      </w:r>
      <w:r>
        <w:rPr>
          <w:rFonts w:ascii="Arial" w:cs="Arial" w:eastAsia="Arial" w:hAnsi="Arial"/>
          <w:sz w:val="19"/>
          <w:szCs w:val="19"/>
          <w:color w:val="auto"/>
        </w:rPr>
        <w:t>. The Company’s obligation to make the payments provided for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otherwise to perform its obligations hereunder shall not be affected by any set-off, counterclaim, recoupment, defense or other claim, right or action which the Company may have against the Executive or others, provided that nothing herein shall preclude the Company from separately pursuing recovery from the Executive based on any such claim. In no event shall the Executive be obligated to seek other employment or take any other action by way of mitigation of the amounts (including amounts for damages for breach) payable to the Executive under any of the provisions of this Agreement, and such amounts shall not be reduced whether or not the Executive obtains other employment.</w:t>
      </w:r>
    </w:p>
    <w:p>
      <w:pPr>
        <w:spacing w:after="0" w:line="14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13.</w:t>
      </w:r>
      <w:r>
        <w:rPr>
          <w:sz w:val="20"/>
          <w:szCs w:val="20"/>
          <w:color w:val="auto"/>
        </w:rPr>
        <w:tab/>
      </w:r>
      <w:r>
        <w:rPr>
          <w:rFonts w:ascii="Arial" w:cs="Arial" w:eastAsia="Arial" w:hAnsi="Arial"/>
          <w:sz w:val="19"/>
          <w:szCs w:val="19"/>
          <w:u w:val="single" w:color="auto"/>
          <w:color w:val="auto"/>
        </w:rPr>
        <w:t>Dispute Resolution</w:t>
      </w:r>
      <w:r>
        <w:rPr>
          <w:rFonts w:ascii="Arial" w:cs="Arial" w:eastAsia="Arial" w:hAnsi="Arial"/>
          <w:sz w:val="19"/>
          <w:szCs w:val="19"/>
          <w:color w:val="auto"/>
        </w:rPr>
        <w:t>.</w:t>
      </w:r>
    </w:p>
    <w:p>
      <w:pPr>
        <w:spacing w:after="0" w:line="199" w:lineRule="exact"/>
        <w:rPr>
          <w:sz w:val="20"/>
          <w:szCs w:val="20"/>
          <w:color w:val="auto"/>
        </w:rPr>
      </w:pPr>
    </w:p>
    <w:p>
      <w:pPr>
        <w:ind w:right="20" w:firstLine="1305"/>
        <w:spacing w:after="0" w:line="282" w:lineRule="auto"/>
        <w:tabs>
          <w:tab w:leader="none" w:pos="1945" w:val="left"/>
        </w:tabs>
        <w:numPr>
          <w:ilvl w:val="0"/>
          <w:numId w:val="143"/>
        </w:numPr>
        <w:rPr>
          <w:rFonts w:ascii="Arial" w:cs="Arial" w:eastAsia="Arial" w:hAnsi="Arial"/>
          <w:sz w:val="19"/>
          <w:szCs w:val="19"/>
          <w:color w:val="auto"/>
        </w:rPr>
      </w:pPr>
      <w:r>
        <w:rPr>
          <w:rFonts w:ascii="Arial" w:cs="Arial" w:eastAsia="Arial" w:hAnsi="Arial"/>
          <w:sz w:val="19"/>
          <w:szCs w:val="19"/>
          <w:color w:val="auto"/>
        </w:rPr>
        <w:t>If any dispute arises between Executive and the Company, including, but not limited to, disputes relating to or arising out of this Agreement, any action relating to or arising out of my employment or its termination, and/or any disputes regarding the interpretation, enforceability, or validity of this Agreement (“Arbitrable Dispute”), Executive and the Company waive the right to resolve the dispute through litigation in a judicial forum and agree to resolve the Arbitrable Dispute through final and binding arbitration, except as prohibited by law. Arbitration shall be the exclusive remedy for any Arbitrable Dispute.</w:t>
      </w:r>
    </w:p>
    <w:p>
      <w:pPr>
        <w:spacing w:after="0" w:line="134" w:lineRule="exact"/>
        <w:rPr>
          <w:rFonts w:ascii="Arial" w:cs="Arial" w:eastAsia="Arial" w:hAnsi="Arial"/>
          <w:sz w:val="19"/>
          <w:szCs w:val="19"/>
          <w:color w:val="auto"/>
        </w:rPr>
      </w:pPr>
    </w:p>
    <w:p>
      <w:pPr>
        <w:ind w:right="220" w:firstLine="1305"/>
        <w:spacing w:after="0" w:line="287" w:lineRule="auto"/>
        <w:tabs>
          <w:tab w:leader="none" w:pos="1945" w:val="left"/>
        </w:tabs>
        <w:numPr>
          <w:ilvl w:val="0"/>
          <w:numId w:val="143"/>
        </w:numPr>
        <w:rPr>
          <w:rFonts w:ascii="Arial" w:cs="Arial" w:eastAsia="Arial" w:hAnsi="Arial"/>
          <w:sz w:val="19"/>
          <w:szCs w:val="19"/>
          <w:color w:val="auto"/>
        </w:rPr>
      </w:pPr>
      <w:r>
        <w:rPr>
          <w:rFonts w:ascii="Arial" w:cs="Arial" w:eastAsia="Arial" w:hAnsi="Arial"/>
          <w:sz w:val="19"/>
          <w:szCs w:val="19"/>
          <w:color w:val="auto"/>
        </w:rPr>
        <w:t>As to any Arbitrable Dispute, the Company and Executive waive any right to a jury trial or a court bench trial. The Company and Executive also waive the right to bring, maintain, or participate in any class, collective, or representative proceeding, whether in arbitration or otherwise. Further, Arbitrable Disputes must be brought in the individual capacity of the party asserting the claim, and cannot be maintained on a class, collective, or representative basis.</w:t>
      </w:r>
    </w:p>
    <w:p>
      <w:pPr>
        <w:spacing w:after="0" w:line="143" w:lineRule="exact"/>
        <w:rPr>
          <w:rFonts w:ascii="Arial" w:cs="Arial" w:eastAsia="Arial" w:hAnsi="Arial"/>
          <w:sz w:val="19"/>
          <w:szCs w:val="19"/>
          <w:color w:val="auto"/>
        </w:rPr>
      </w:pPr>
    </w:p>
    <w:p>
      <w:pPr>
        <w:ind w:right="160" w:firstLine="1305"/>
        <w:spacing w:after="0" w:line="297" w:lineRule="auto"/>
        <w:tabs>
          <w:tab w:leader="none" w:pos="1945" w:val="left"/>
        </w:tabs>
        <w:numPr>
          <w:ilvl w:val="0"/>
          <w:numId w:val="143"/>
        </w:numPr>
        <w:rPr>
          <w:rFonts w:ascii="Arial" w:cs="Arial" w:eastAsia="Arial" w:hAnsi="Arial"/>
          <w:sz w:val="19"/>
          <w:szCs w:val="19"/>
          <w:color w:val="auto"/>
        </w:rPr>
      </w:pPr>
      <w:r>
        <w:rPr>
          <w:rFonts w:ascii="Arial" w:cs="Arial" w:eastAsia="Arial" w:hAnsi="Arial"/>
          <w:sz w:val="19"/>
          <w:szCs w:val="19"/>
          <w:color w:val="auto"/>
        </w:rPr>
        <w:t>Arbitration shall take place at the office of the Judicial Arbitration and Mediation Service (“JAMS”) (or, if Executive is employed outside of California, the American Arbitration Association (“AAA”)) nearest to the location where Executive last worked for the Company. Except to the extent it conflicts with the rules and procedures set forth in this Arbitration</w:t>
      </w:r>
    </w:p>
    <w:p>
      <w:pPr>
        <w:sectPr>
          <w:pgSz w:w="11900" w:h="16890" w:orient="portrait"/>
          <w:cols w:equalWidth="0" w:num="1">
            <w:col w:w="11420"/>
          </w:cols>
          <w:pgMar w:left="240" w:top="118" w:right="239" w:bottom="0" w:gutter="0" w:footer="0" w:header="0"/>
        </w:sectPr>
      </w:pPr>
    </w:p>
    <w:bookmarkStart w:id="102" w:name="page103"/>
    <w:bookmarkEnd w:id="102"/>
    <w:p>
      <w:pPr>
        <w:spacing w:after="0" w:line="43"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color w:val="auto"/>
        </w:rPr>
        <w:t>Agreement, arbitration shall be conducted in accordance with the JAMs Employment Arbitration Rules &amp; Procedures (if Executive is employed outside of California, the AAA Employment Arbitration Rules &amp; Mediation Procedures), copies of which are attached for my reference and available at www.jamsadr.com; tel: 800.352.5267 and www.adr.org; tel: 800.778.7879, before a single experienced, neutral employment arbitrator selected in accordance with those rules.</w:t>
      </w:r>
    </w:p>
    <w:p>
      <w:pPr>
        <w:spacing w:after="0" w:line="161" w:lineRule="exact"/>
        <w:rPr>
          <w:sz w:val="20"/>
          <w:szCs w:val="20"/>
          <w:color w:val="auto"/>
        </w:rPr>
      </w:pPr>
    </w:p>
    <w:p>
      <w:pPr>
        <w:ind w:right="280" w:firstLine="1305"/>
        <w:spacing w:after="0" w:line="287" w:lineRule="auto"/>
        <w:tabs>
          <w:tab w:leader="none" w:pos="1945"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The Company will be responsible for paying any filing fee and the fees and costs of the arbitrator. Each party shall pay its own attorneys’ fees. However, if any party prevails on a statutory claim that authorizes an award of attorneys’ fees to the prevailing party, or if there is a written agreement providing for attorneys’ fees, the arbitrator may award reasonable attorneys’ fees to the prevailing party, applying the same standards a court would apply under the law applicable to the claim.</w:t>
      </w:r>
    </w:p>
    <w:p>
      <w:pPr>
        <w:spacing w:after="0" w:line="143" w:lineRule="exact"/>
        <w:rPr>
          <w:rFonts w:ascii="Arial" w:cs="Arial" w:eastAsia="Arial" w:hAnsi="Arial"/>
          <w:sz w:val="19"/>
          <w:szCs w:val="19"/>
          <w:color w:val="auto"/>
        </w:rPr>
      </w:pPr>
    </w:p>
    <w:p>
      <w:pPr>
        <w:ind w:right="120" w:firstLine="1305"/>
        <w:spacing w:after="0" w:line="279" w:lineRule="auto"/>
        <w:tabs>
          <w:tab w:leader="none" w:pos="1945"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The arbitrator shall apply the Federal Rules of Evidence, shall have the authority to entertain a motion to dismiss or a motion for summary judgment by any party, and shall apply the standards governing such motions under the Federal Rules of Civil Procedure. The arbitrator does not have the authority to consider, certify, or hear an arbitration as a class action, collective action, or any other type of representative action. The Company and Executive recognize that this Agreement arises out of or concerns interstate commerce and that the Federal Arbitration Act shall govern the arbitration and shall govern the interpretation or enforcement of this Arbitration Agreement or any arbitration award.</w:t>
      </w:r>
    </w:p>
    <w:p>
      <w:pPr>
        <w:spacing w:after="0" w:line="137" w:lineRule="exact"/>
        <w:rPr>
          <w:rFonts w:ascii="Arial" w:cs="Arial" w:eastAsia="Arial" w:hAnsi="Arial"/>
          <w:sz w:val="19"/>
          <w:szCs w:val="19"/>
          <w:color w:val="auto"/>
        </w:rPr>
      </w:pPr>
    </w:p>
    <w:p>
      <w:pPr>
        <w:ind w:right="260" w:firstLine="1305"/>
        <w:spacing w:after="0" w:line="251" w:lineRule="auto"/>
        <w:tabs>
          <w:tab w:leader="none" w:pos="1945" w:val="left"/>
        </w:tabs>
        <w:numPr>
          <w:ilvl w:val="0"/>
          <w:numId w:val="144"/>
        </w:numPr>
        <w:rPr>
          <w:rFonts w:ascii="Arial" w:cs="Arial" w:eastAsia="Arial" w:hAnsi="Arial"/>
          <w:sz w:val="22"/>
          <w:szCs w:val="22"/>
          <w:color w:val="auto"/>
        </w:rPr>
      </w:pPr>
      <w:r>
        <w:rPr>
          <w:rFonts w:ascii="Arial" w:cs="Arial" w:eastAsia="Arial" w:hAnsi="Arial"/>
          <w:sz w:val="22"/>
          <w:szCs w:val="22"/>
          <w:color w:val="auto"/>
        </w:rPr>
        <w:t>EXECUTIVE ACKNOWLEDGES THAT BY ENTERING INTO THIS AGREEMENT, EXECUTIVE IS WAIVING ANY RIGHT HE OR SHE MAY HAVE TO A TRIAL BY JURY.</w:t>
      </w:r>
    </w:p>
    <w:p>
      <w:pPr>
        <w:spacing w:after="0" w:line="16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14.</w:t>
      </w:r>
      <w:r>
        <w:rPr>
          <w:sz w:val="20"/>
          <w:szCs w:val="20"/>
          <w:color w:val="auto"/>
        </w:rPr>
        <w:tab/>
      </w:r>
      <w:r>
        <w:rPr>
          <w:rFonts w:ascii="Arial" w:cs="Arial" w:eastAsia="Arial" w:hAnsi="Arial"/>
          <w:sz w:val="19"/>
          <w:szCs w:val="19"/>
          <w:u w:val="single" w:color="auto"/>
          <w:color w:val="auto"/>
        </w:rPr>
        <w:t>Executive’s Covenants</w:t>
      </w:r>
      <w:r>
        <w:rPr>
          <w:rFonts w:ascii="Arial" w:cs="Arial" w:eastAsia="Arial" w:hAnsi="Arial"/>
          <w:sz w:val="19"/>
          <w:szCs w:val="19"/>
          <w:color w:val="auto"/>
        </w:rPr>
        <w:t>.</w:t>
      </w:r>
    </w:p>
    <w:p>
      <w:pPr>
        <w:spacing w:after="0" w:line="206" w:lineRule="exact"/>
        <w:rPr>
          <w:sz w:val="20"/>
          <w:szCs w:val="20"/>
          <w:color w:val="auto"/>
        </w:rPr>
      </w:pPr>
    </w:p>
    <w:p>
      <w:pPr>
        <w:ind w:firstLine="1305"/>
        <w:spacing w:after="0" w:line="271" w:lineRule="auto"/>
        <w:tabs>
          <w:tab w:leader="none" w:pos="1945"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The Executive acknowledges that in the course of his employment with the Company, he has acquired non-public privileged or confidential information and trade secrets concerning the operations, future plans and methods of doing business (“</w:t>
      </w:r>
      <w:r>
        <w:rPr>
          <w:rFonts w:ascii="Arial" w:cs="Arial" w:eastAsia="Arial" w:hAnsi="Arial"/>
          <w:sz w:val="19"/>
          <w:szCs w:val="19"/>
          <w:u w:val="single" w:color="auto"/>
          <w:color w:val="auto"/>
        </w:rPr>
        <w:t>Proprietary Information</w:t>
      </w:r>
      <w:r>
        <w:rPr>
          <w:rFonts w:ascii="Arial" w:cs="Arial" w:eastAsia="Arial" w:hAnsi="Arial"/>
          <w:sz w:val="19"/>
          <w:szCs w:val="19"/>
          <w:color w:val="auto"/>
        </w:rPr>
        <w:t xml:space="preserve">”) of the Company and its Affiliates; and the Executive agrees that it would be extremely damaging to the Company and its Affiliates if such Proprietary Information were disclosed to a competitor of the Company and its Affiliates or to any other person or corporation. The Executive understands and agrees that all Proprietary Information has been divulged to the Executive in confidence and further understands and agrees to keep all Proprietary Information secret and confidential (except for such information which is or becomes publicly available other than as a result of a breach by the Executive of this provision or information the Executive is required by any governmental, administrative or court order to disclose) without limitation in time. In view of the nature of the Executive’s employment and the Proprietary Information the Executive has acquired during the course of such employment, the Executive likewise agrees that the Company and its Affiliates would be irreparably harmed by any disclosure of Proprietary Information in violation of the terms of this paragraph and that the Company and its Affiliates shall therefore be entitled to preliminary and/or permanent injunctive relief prohibiting the Executive from engaging in any activity or threatened activity in violation of the terms of this paragraph and to any other relief available to them. Inquiries regarding whether specific information constitutes Proprietary Information shall be directed to the Company’s Senior Vice President, Public Policy (or, if such position is vacant, the Company’s then Chief Executive Officer); </w:t>
      </w:r>
      <w:r>
        <w:rPr>
          <w:rFonts w:ascii="Arial" w:cs="Arial" w:eastAsia="Arial" w:hAnsi="Arial"/>
          <w:sz w:val="19"/>
          <w:szCs w:val="19"/>
          <w:i w:val="1"/>
          <w:iCs w:val="1"/>
          <w:color w:val="auto"/>
        </w:rPr>
        <w:t>provided</w:t>
      </w:r>
      <w:r>
        <w:rPr>
          <w:rFonts w:ascii="Arial" w:cs="Arial" w:eastAsia="Arial" w:hAnsi="Arial"/>
          <w:sz w:val="19"/>
          <w:szCs w:val="19"/>
          <w:color w:val="auto"/>
        </w:rPr>
        <w:t>, that the Company shall not unreasonably classify information as Proprietary Information.</w:t>
      </w:r>
    </w:p>
    <w:p>
      <w:pPr>
        <w:spacing w:after="0" w:line="144" w:lineRule="exact"/>
        <w:rPr>
          <w:rFonts w:ascii="Arial" w:cs="Arial" w:eastAsia="Arial" w:hAnsi="Arial"/>
          <w:sz w:val="19"/>
          <w:szCs w:val="19"/>
          <w:color w:val="auto"/>
        </w:rPr>
      </w:pPr>
    </w:p>
    <w:p>
      <w:pPr>
        <w:ind w:right="40" w:firstLine="1305"/>
        <w:spacing w:after="0" w:line="270" w:lineRule="auto"/>
        <w:tabs>
          <w:tab w:leader="none" w:pos="1945"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Non-Solicitation of Employees</w:t>
      </w:r>
      <w:r>
        <w:rPr>
          <w:rFonts w:ascii="Arial" w:cs="Arial" w:eastAsia="Arial" w:hAnsi="Arial"/>
          <w:sz w:val="19"/>
          <w:szCs w:val="19"/>
          <w:color w:val="auto"/>
        </w:rPr>
        <w:t xml:space="preserve">. The Executive recognizes that he possesses and will possess confidential information about other employees of the Company and its Affiliates relating to their education, experience, skills, abilities, compensation and benefits, and inter-personal relationships with customers of the Company and its Affiliates. The Executive recognizes that the information he possesses and will possess about these other employees is not generally known, is of substantial value to the Company and its Affiliates in developing their business and in securing and retaining customers, and has been and will be acquired by him because of his business position with the Company and its Affiliates. The Executive agrees that at all times during the Executive’s employment with the Company and for a period of one (1) year thereafter, he will not, directly or indirectly, solicit or recruit any employee of the Company or its Affiliates for the purpose of being employed by him or by any competitor of the Company or its Affiliates on whose behalf he is acting as an agent, representative or employee and that he will not convey any such confidential information or trade secrets about other employees of the Company and its Affiliates to any other person; </w:t>
      </w:r>
      <w:r>
        <w:rPr>
          <w:rFonts w:ascii="Arial" w:cs="Arial" w:eastAsia="Arial" w:hAnsi="Arial"/>
          <w:sz w:val="19"/>
          <w:szCs w:val="19"/>
          <w:i w:val="1"/>
          <w:iCs w:val="1"/>
          <w:color w:val="auto"/>
        </w:rPr>
        <w:t>provided, however</w:t>
      </w:r>
      <w:r>
        <w:rPr>
          <w:rFonts w:ascii="Arial" w:cs="Arial" w:eastAsia="Arial" w:hAnsi="Arial"/>
          <w:sz w:val="19"/>
          <w:szCs w:val="19"/>
          <w:color w:val="auto"/>
        </w:rPr>
        <w:t>, that it shall not constitute a solicitation or recruitment of employment in violation of this paragraph to discuss</w:t>
      </w:r>
      <w:r>
        <w:rPr>
          <w:rFonts w:ascii="Arial" w:cs="Arial" w:eastAsia="Arial" w:hAnsi="Arial"/>
          <w:sz w:val="19"/>
          <w:szCs w:val="19"/>
          <w:i w:val="1"/>
          <w:iCs w:val="1"/>
          <w:color w:val="auto"/>
        </w:rPr>
        <w:t xml:space="preserve"> </w:t>
      </w:r>
      <w:r>
        <w:rPr>
          <w:rFonts w:ascii="Arial" w:cs="Arial" w:eastAsia="Arial" w:hAnsi="Arial"/>
          <w:sz w:val="19"/>
          <w:szCs w:val="19"/>
          <w:color w:val="auto"/>
        </w:rPr>
        <w:t>employment opportunities with any employee of the Company or its Affiliates who has either first contacted the Executive or regarding whose employment the Executive has discussed with and received the written approval of the Company’s Vice President, Human Resources (or, if such position is vacant, the Company’s then Chief Executive Officer), prior to making such solicitation or recruitment. In view of the nature of the Executive’s employment with the Company, the Executive likewise agrees that the Company and its Affiliates would be irreparably harmed by any solicitation or recruitment in violation of the terms of this paragraph and that the Company and its Affiliates shall therefore be entitled to preliminary and/or permanent injunctive relief prohibiting the Executive from engaging in any activity or threatened activity in violation of the terms of this paragraph and to any other relief available to them.</w:t>
      </w:r>
    </w:p>
    <w:p>
      <w:pPr>
        <w:spacing w:after="0" w:line="397" w:lineRule="exact"/>
        <w:rPr>
          <w:rFonts w:ascii="Arial" w:cs="Arial" w:eastAsia="Arial" w:hAnsi="Arial"/>
          <w:sz w:val="19"/>
          <w:szCs w:val="19"/>
          <w:color w:val="auto"/>
        </w:rPr>
      </w:pPr>
    </w:p>
    <w:p>
      <w:pPr>
        <w:ind w:right="60" w:firstLine="1305"/>
        <w:spacing w:after="0" w:line="282" w:lineRule="auto"/>
        <w:tabs>
          <w:tab w:leader="none" w:pos="1945"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Survival of Provisions</w:t>
      </w:r>
      <w:r>
        <w:rPr>
          <w:rFonts w:ascii="Arial" w:cs="Arial" w:eastAsia="Arial" w:hAnsi="Arial"/>
          <w:sz w:val="19"/>
          <w:szCs w:val="19"/>
          <w:color w:val="auto"/>
        </w:rPr>
        <w:t>. The obligations contained in Section 14(a) and Section 14(b) above shall survive the termination of the Executive’s employment within the Company and shall be fully enforceable thereafter. If it is determined by a court of competent jurisdiction in any state that any restriction in Section 14(a) or Section 14(b) above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147" w:lineRule="exact"/>
        <w:rPr>
          <w:rFonts w:ascii="Arial" w:cs="Arial" w:eastAsia="Arial" w:hAnsi="Arial"/>
          <w:sz w:val="19"/>
          <w:szCs w:val="19"/>
          <w:color w:val="auto"/>
        </w:rPr>
      </w:pPr>
    </w:p>
    <w:p>
      <w:pPr>
        <w:ind w:right="40" w:firstLine="1305"/>
        <w:spacing w:after="0" w:line="287" w:lineRule="auto"/>
        <w:tabs>
          <w:tab w:leader="none" w:pos="1945"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Release; Lump Sum Payment</w:t>
      </w:r>
      <w:r>
        <w:rPr>
          <w:rFonts w:ascii="Arial" w:cs="Arial" w:eastAsia="Arial" w:hAnsi="Arial"/>
          <w:sz w:val="19"/>
          <w:szCs w:val="19"/>
          <w:color w:val="auto"/>
        </w:rPr>
        <w:t>. In the event of the Executive’s Involuntary Termination, if the Executive (i) reconfirms and agrees to abide by the covenants described in Section 14(a) and Section 14(b) above, (ii) executes the Release within fifty (50) days after the date of Involuntary Termination and does not revoke such Release in accordance with the terms thereof, and (iii) agrees to provide the consulting services described in Section 14(e) below, then in consideration for such</w:t>
      </w:r>
    </w:p>
    <w:p>
      <w:pPr>
        <w:sectPr>
          <w:pgSz w:w="11900" w:h="16881" w:orient="portrait"/>
          <w:cols w:equalWidth="0" w:num="1">
            <w:col w:w="11420"/>
          </w:cols>
          <w:pgMar w:left="240" w:top="118" w:right="239" w:bottom="0" w:gutter="0" w:footer="0" w:header="0"/>
        </w:sectPr>
      </w:pPr>
    </w:p>
    <w:bookmarkStart w:id="103" w:name="page104"/>
    <w:bookmarkEnd w:id="103"/>
    <w:p>
      <w:pPr>
        <w:spacing w:after="0" w:line="62"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covenants and consulting services, the Company shall pay the Executive, in one cash lump sum, an amount (the “</w:t>
      </w:r>
      <w:r>
        <w:rPr>
          <w:rFonts w:ascii="Arial" w:cs="Arial" w:eastAsia="Arial" w:hAnsi="Arial"/>
          <w:sz w:val="19"/>
          <w:szCs w:val="19"/>
          <w:u w:val="single" w:color="auto"/>
          <w:color w:val="auto"/>
        </w:rPr>
        <w:t>Consulting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Payment</w:t>
      </w:r>
      <w:r>
        <w:rPr>
          <w:rFonts w:ascii="Arial" w:cs="Arial" w:eastAsia="Arial" w:hAnsi="Arial"/>
          <w:sz w:val="19"/>
          <w:szCs w:val="19"/>
          <w:color w:val="auto"/>
        </w:rPr>
        <w:t>”) in cash equal to the greater of: (X) 150% of the Executive’s Annual Base Salary as in effect on the Date of Termination, and (Y) the Executive’s Annual Base Salary as in effect on the Date of Termination, plus the Executive’s Average Annual Bonus. Except as provided in this subsection, the Consulting Payment shall be paid on such date as is determined by the Company within</w:t>
      </w:r>
    </w:p>
    <w:p>
      <w:pPr>
        <w:spacing w:after="0" w:line="3" w:lineRule="exact"/>
        <w:rPr>
          <w:sz w:val="20"/>
          <w:szCs w:val="20"/>
          <w:color w:val="auto"/>
        </w:rPr>
      </w:pPr>
    </w:p>
    <w:p>
      <w:pPr>
        <w:spacing w:after="0" w:line="215" w:lineRule="auto"/>
        <w:rPr>
          <w:sz w:val="20"/>
          <w:szCs w:val="20"/>
          <w:color w:val="auto"/>
        </w:rPr>
      </w:pPr>
      <w:r>
        <w:rPr>
          <w:rFonts w:ascii="Arial" w:cs="Arial" w:eastAsia="Arial" w:hAnsi="Arial"/>
          <w:sz w:val="22"/>
          <w:szCs w:val="22"/>
          <w:color w:val="auto"/>
        </w:rPr>
        <w:t>the ten (10) day period commencing on the 60</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day after the date of the Executive’s Involuntary Termination; </w:t>
      </w:r>
      <w:r>
        <w:rPr>
          <w:rFonts w:ascii="Arial" w:cs="Arial" w:eastAsia="Arial" w:hAnsi="Arial"/>
          <w:sz w:val="22"/>
          <w:szCs w:val="22"/>
          <w:i w:val="1"/>
          <w:iCs w:val="1"/>
          <w:color w:val="auto"/>
        </w:rPr>
        <w:t>provided, however</w:t>
      </w:r>
      <w:r>
        <w:rPr>
          <w:rFonts w:ascii="Arial" w:cs="Arial" w:eastAsia="Arial" w:hAnsi="Arial"/>
          <w:sz w:val="22"/>
          <w:szCs w:val="22"/>
          <w:color w:val="auto"/>
        </w:rPr>
        <w:t>, that if the Executive is a Specified Employee on the date of the Executive’s Involuntary Termination, the Consulting Payment shall be paid as provided in Section 9 hereof. The Executive shall have the right to elect to defer the Consulting Payment under the terms and conditions of the Company’s Deferred Compensation Plan. Any such deferral election shall be made in accordance with Section 18(b) hereof.</w:t>
      </w:r>
    </w:p>
    <w:p>
      <w:pPr>
        <w:spacing w:after="0" w:line="177" w:lineRule="exact"/>
        <w:rPr>
          <w:sz w:val="20"/>
          <w:szCs w:val="20"/>
          <w:color w:val="auto"/>
        </w:rPr>
      </w:pPr>
    </w:p>
    <w:p>
      <w:pPr>
        <w:ind w:firstLine="1305"/>
        <w:spacing w:after="0" w:line="272" w:lineRule="auto"/>
        <w:tabs>
          <w:tab w:leader="none" w:pos="1945"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Consulting</w:t>
      </w:r>
      <w:r>
        <w:rPr>
          <w:rFonts w:ascii="Arial" w:cs="Arial" w:eastAsia="Arial" w:hAnsi="Arial"/>
          <w:sz w:val="19"/>
          <w:szCs w:val="19"/>
          <w:color w:val="auto"/>
        </w:rPr>
        <w:t>. If the Executive agrees to the provisions of Section 14(d) above, then the Executive shall have the obligation to provide consulting services to the Company as an independent contractor, commencing on the Date of Termination and ending on the second anniversary of the Date of Termination (the “</w:t>
      </w:r>
      <w:r>
        <w:rPr>
          <w:rFonts w:ascii="Arial" w:cs="Arial" w:eastAsia="Arial" w:hAnsi="Arial"/>
          <w:sz w:val="19"/>
          <w:szCs w:val="19"/>
          <w:u w:val="single" w:color="auto"/>
          <w:color w:val="auto"/>
        </w:rPr>
        <w:t>Consulting Period</w:t>
      </w:r>
      <w:r>
        <w:rPr>
          <w:rFonts w:ascii="Arial" w:cs="Arial" w:eastAsia="Arial" w:hAnsi="Arial"/>
          <w:sz w:val="19"/>
          <w:szCs w:val="19"/>
          <w:color w:val="auto"/>
        </w:rPr>
        <w:t xml:space="preserve">”). The Executive shall hold himself available at reasonable times and on reasonable notice to render such consulting services as may be so assigned to him by the Board or the Company’s then Chief Executive Officer;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unless the parties otherwise agree, the consulting services rendered by the Executive during the Consulting Period shall not exceed twenty (20) hours each month;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the consulting services rendered by the Executive during the Consulting Period shall in no event exceed twenty</w:t>
      </w:r>
      <w:r>
        <w:rPr>
          <w:rFonts w:ascii="Arial" w:cs="Arial" w:eastAsia="Arial" w:hAnsi="Arial"/>
          <w:sz w:val="19"/>
          <w:szCs w:val="19"/>
          <w:i w:val="1"/>
          <w:iCs w:val="1"/>
          <w:color w:val="auto"/>
        </w:rPr>
        <w:t xml:space="preserve"> </w:t>
      </w:r>
      <w:r>
        <w:rPr>
          <w:rFonts w:ascii="Arial" w:cs="Arial" w:eastAsia="Arial" w:hAnsi="Arial"/>
          <w:sz w:val="19"/>
          <w:szCs w:val="19"/>
          <w:color w:val="auto"/>
        </w:rPr>
        <w:t>percent (20%) of the average level of services performed by the Executive for the Company over the thirty-six (36) month period immediately preceding the Executive’s Separation from Service (or the full period of services to the Company, if the Executive has been providing services to the Company for less than thirty-six (36) months). The Company agrees to use its best efforts during the Consulting Period to secure the benefit of the Executive’s consulting services so as to minimize the interference with the Executive’s other activities, including requiring the performance of consulting services at the Company’s offices only when such services may not be reasonably performed off-site by the Executive.</w:t>
      </w:r>
    </w:p>
    <w:p>
      <w:pPr>
        <w:spacing w:after="0" w:line="15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15.</w:t>
      </w:r>
      <w:r>
        <w:rPr>
          <w:sz w:val="20"/>
          <w:szCs w:val="20"/>
          <w:color w:val="auto"/>
        </w:rPr>
        <w:tab/>
      </w:r>
      <w:r>
        <w:rPr>
          <w:rFonts w:ascii="Arial" w:cs="Arial" w:eastAsia="Arial" w:hAnsi="Arial"/>
          <w:sz w:val="19"/>
          <w:szCs w:val="19"/>
          <w:u w:val="single" w:color="auto"/>
          <w:color w:val="auto"/>
        </w:rPr>
        <w:t>Legal Fees</w:t>
      </w:r>
      <w:r>
        <w:rPr>
          <w:rFonts w:ascii="Arial" w:cs="Arial" w:eastAsia="Arial" w:hAnsi="Arial"/>
          <w:sz w:val="19"/>
          <w:szCs w:val="19"/>
          <w:color w:val="auto"/>
        </w:rPr>
        <w:t>.</w:t>
      </w:r>
    </w:p>
    <w:p>
      <w:pPr>
        <w:spacing w:after="0" w:line="199" w:lineRule="exact"/>
        <w:rPr>
          <w:sz w:val="20"/>
          <w:szCs w:val="20"/>
          <w:color w:val="auto"/>
        </w:rPr>
      </w:pPr>
    </w:p>
    <w:p>
      <w:pPr>
        <w:ind w:right="100" w:firstLine="1305"/>
        <w:spacing w:after="0" w:line="249" w:lineRule="auto"/>
        <w:tabs>
          <w:tab w:leader="none" w:pos="1945" w:val="left"/>
        </w:tabs>
        <w:numPr>
          <w:ilvl w:val="0"/>
          <w:numId w:val="147"/>
        </w:numPr>
        <w:rPr>
          <w:rFonts w:ascii="Arial" w:cs="Arial" w:eastAsia="Arial" w:hAnsi="Arial"/>
          <w:sz w:val="21"/>
          <w:szCs w:val="21"/>
          <w:color w:val="auto"/>
        </w:rPr>
      </w:pPr>
      <w:r>
        <w:rPr>
          <w:rFonts w:ascii="Arial" w:cs="Arial" w:eastAsia="Arial" w:hAnsi="Arial"/>
          <w:sz w:val="21"/>
          <w:szCs w:val="21"/>
          <w:u w:val="single" w:color="auto"/>
          <w:color w:val="auto"/>
        </w:rPr>
        <w:t>Reimbursement of Legal Fees</w:t>
      </w:r>
      <w:r>
        <w:rPr>
          <w:rFonts w:ascii="Arial" w:cs="Arial" w:eastAsia="Arial" w:hAnsi="Arial"/>
          <w:sz w:val="21"/>
          <w:szCs w:val="21"/>
          <w:color w:val="auto"/>
        </w:rPr>
        <w:t>. Subject to subsection (b), in the event of the Executive’s Separation from Service either (1) prior to a Change in Control, or (2) on or within two (2) years following a Change in Control, the Company shall reimburse the Executive for all legal fees and expenses (including but not limited to fees and expenses in connection with any arbitration) incurred by the Executive in disputing any issue arising under this Agreement relating to the Executive’s Separation from Service or in seeking to obtain or enforce any benefit or right provided by this Agreement.</w:t>
      </w:r>
    </w:p>
    <w:p>
      <w:pPr>
        <w:spacing w:after="0" w:line="165" w:lineRule="exact"/>
        <w:rPr>
          <w:rFonts w:ascii="Arial" w:cs="Arial" w:eastAsia="Arial" w:hAnsi="Arial"/>
          <w:sz w:val="21"/>
          <w:szCs w:val="21"/>
          <w:color w:val="auto"/>
        </w:rPr>
      </w:pPr>
    </w:p>
    <w:p>
      <w:pPr>
        <w:ind w:right="20" w:firstLine="1305"/>
        <w:spacing w:after="0" w:line="272" w:lineRule="auto"/>
        <w:tabs>
          <w:tab w:leader="none" w:pos="1945"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Requirements for Reimbursement</w:t>
      </w:r>
      <w:r>
        <w:rPr>
          <w:rFonts w:ascii="Arial" w:cs="Arial" w:eastAsia="Arial" w:hAnsi="Arial"/>
          <w:sz w:val="19"/>
          <w:szCs w:val="19"/>
          <w:color w:val="auto"/>
        </w:rPr>
        <w:t>. The Company shall reimburse the Executive’s legal fees and expenses pursuant to subsection (a) above only to the extent the arbitrator or court determines the following: (i) the Executive disputed such issue, or sought to obtain or enforce such benefit or right, in good faith, (ii) the Executive had a reasonable basis for such claim, and (iii) in the case of subsection (a)(1) above, the Executive is the prevailing party. In addition, the Company shall reimburse such legal fees and expenses, only if such legal fees and expenses are incurred during the twenty (20) year period beginning on the date of the Executive’s Separation from Service. The legal fees and expenses paid to the Executive for any taxable year of the Executive shall not affect the legal fees and expenses paid to the Executive for any other taxable year of the Executive. The legal fees and expenses shall be paid to the Executive on or before the last day of the Executive’s taxable year following the taxable year in which the fees or expenses are incurred. The Executive’s right to reimbursement of legal fees and expenses shall not be subject to liquidation or exchange for any other benefit. Such right to reimbursement of legal fees and expenses shall be provided in a manner that complies with Treasury Regulation Section 1.409A-3(i)(1)(iv). If the Executive is a Specified Employee on the date of the Executive’s Separation from Service, such right to reimbursement of legal fees and expenses shall be paid as provided in Section 10 hereof.</w:t>
      </w:r>
    </w:p>
    <w:p>
      <w:pPr>
        <w:spacing w:after="0" w:line="39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16.</w:t>
      </w:r>
      <w:r>
        <w:rPr>
          <w:sz w:val="20"/>
          <w:szCs w:val="20"/>
          <w:color w:val="auto"/>
        </w:rPr>
        <w:tab/>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199" w:lineRule="exact"/>
        <w:rPr>
          <w:sz w:val="20"/>
          <w:szCs w:val="20"/>
          <w:color w:val="auto"/>
        </w:rPr>
      </w:pPr>
    </w:p>
    <w:p>
      <w:pPr>
        <w:ind w:right="180" w:firstLine="1305"/>
        <w:spacing w:after="0" w:line="258" w:lineRule="auto"/>
        <w:tabs>
          <w:tab w:leader="none" w:pos="1945" w:val="left"/>
        </w:tabs>
        <w:numPr>
          <w:ilvl w:val="0"/>
          <w:numId w:val="148"/>
        </w:numPr>
        <w:rPr>
          <w:rFonts w:ascii="Arial" w:cs="Arial" w:eastAsia="Arial" w:hAnsi="Arial"/>
          <w:sz w:val="21"/>
          <w:szCs w:val="21"/>
          <w:color w:val="auto"/>
        </w:rPr>
      </w:pPr>
      <w:r>
        <w:rPr>
          <w:rFonts w:ascii="Arial" w:cs="Arial" w:eastAsia="Arial" w:hAnsi="Arial"/>
          <w:sz w:val="21"/>
          <w:szCs w:val="21"/>
          <w:u w:val="single" w:color="auto"/>
          <w:color w:val="auto"/>
        </w:rPr>
        <w:t>Assignment by the Executive</w:t>
      </w:r>
      <w:r>
        <w:rPr>
          <w:rFonts w:ascii="Arial" w:cs="Arial" w:eastAsia="Arial" w:hAnsi="Arial"/>
          <w:sz w:val="21"/>
          <w:szCs w:val="21"/>
          <w:color w:val="auto"/>
        </w:rPr>
        <w:t>. This Agreement is personal to the Executive and without the prior written consent of Sempra Energy shall not be assignable by the Executive otherwise than by will or the laws of descent and distribution. This Agreement shall inure to the benefit of and be enforceable by the Executive’s legal representatives.</w:t>
      </w:r>
    </w:p>
    <w:p>
      <w:pPr>
        <w:spacing w:after="0" w:line="153" w:lineRule="exact"/>
        <w:rPr>
          <w:rFonts w:ascii="Arial" w:cs="Arial" w:eastAsia="Arial" w:hAnsi="Arial"/>
          <w:sz w:val="21"/>
          <w:szCs w:val="21"/>
          <w:color w:val="auto"/>
        </w:rPr>
      </w:pPr>
    </w:p>
    <w:p>
      <w:pPr>
        <w:ind w:right="20" w:firstLine="1305"/>
        <w:spacing w:after="0" w:line="258" w:lineRule="auto"/>
        <w:tabs>
          <w:tab w:leader="none" w:pos="1945" w:val="left"/>
        </w:tabs>
        <w:numPr>
          <w:ilvl w:val="0"/>
          <w:numId w:val="148"/>
        </w:numPr>
        <w:rPr>
          <w:rFonts w:ascii="Arial" w:cs="Arial" w:eastAsia="Arial" w:hAnsi="Arial"/>
          <w:sz w:val="21"/>
          <w:szCs w:val="21"/>
          <w:color w:val="auto"/>
        </w:rPr>
      </w:pPr>
      <w:r>
        <w:rPr>
          <w:rFonts w:ascii="Arial" w:cs="Arial" w:eastAsia="Arial" w:hAnsi="Arial"/>
          <w:sz w:val="21"/>
          <w:szCs w:val="21"/>
          <w:u w:val="single" w:color="auto"/>
          <w:color w:val="auto"/>
        </w:rPr>
        <w:t>Successors and Assigns of Sempra Energy</w:t>
      </w:r>
      <w:r>
        <w:rPr>
          <w:rFonts w:ascii="Arial" w:cs="Arial" w:eastAsia="Arial" w:hAnsi="Arial"/>
          <w:sz w:val="21"/>
          <w:szCs w:val="21"/>
          <w:color w:val="auto"/>
        </w:rPr>
        <w:t>. This Agreement shall inure to the benefit of and be binding upon Sempra Energy, its successors and assigns. Sempra Energy may not assign this Agreement to any person or entity (except for a successor described in Section 16(c), (d) or (e) below) without the Executive’s written consent.</w:t>
      </w:r>
    </w:p>
    <w:p>
      <w:pPr>
        <w:spacing w:after="0" w:line="166" w:lineRule="exact"/>
        <w:rPr>
          <w:rFonts w:ascii="Arial" w:cs="Arial" w:eastAsia="Arial" w:hAnsi="Arial"/>
          <w:sz w:val="21"/>
          <w:szCs w:val="21"/>
          <w:color w:val="auto"/>
        </w:rPr>
      </w:pPr>
    </w:p>
    <w:p>
      <w:pPr>
        <w:ind w:right="40" w:firstLine="1305"/>
        <w:spacing w:after="0" w:line="279" w:lineRule="auto"/>
        <w:tabs>
          <w:tab w:leader="none" w:pos="1945"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Assumption</w:t>
      </w:r>
      <w:r>
        <w:rPr>
          <w:rFonts w:ascii="Arial" w:cs="Arial" w:eastAsia="Arial" w:hAnsi="Arial"/>
          <w:sz w:val="19"/>
          <w:szCs w:val="19"/>
          <w:color w:val="auto"/>
        </w:rPr>
        <w:t>. Sempra Energy shall require any successor (whether direct or indirect, by purchase, merger, consolidation or otherwise) to all or substantially all of the business and/or assets of Sempra Energy to assume expressly and agree to perform the obligations and satisfy and discharge the liabilities of this Agreement in the same manner and to the same extent that Sempra Energy would have been required to perform the obligations and satisfy and discharge the liabilities under this Agreement if no such succession had taken place, and Sempra Energy shall have no further obligations and liabilities under this Agreement. Upon such assumption, references to Sempra Energy in this Agreement shall be replaced with references to such successor.</w:t>
      </w:r>
    </w:p>
    <w:p>
      <w:pPr>
        <w:spacing w:after="0" w:line="137" w:lineRule="exact"/>
        <w:rPr>
          <w:rFonts w:ascii="Arial" w:cs="Arial" w:eastAsia="Arial" w:hAnsi="Arial"/>
          <w:sz w:val="19"/>
          <w:szCs w:val="19"/>
          <w:color w:val="auto"/>
        </w:rPr>
      </w:pPr>
    </w:p>
    <w:p>
      <w:pPr>
        <w:ind w:right="200" w:firstLine="1305"/>
        <w:spacing w:after="0" w:line="279" w:lineRule="auto"/>
        <w:tabs>
          <w:tab w:leader="none" w:pos="1945"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Sale of Subsidiary</w:t>
      </w:r>
      <w:r>
        <w:rPr>
          <w:rFonts w:ascii="Arial" w:cs="Arial" w:eastAsia="Arial" w:hAnsi="Arial"/>
          <w:sz w:val="19"/>
          <w:szCs w:val="19"/>
          <w:color w:val="auto"/>
        </w:rPr>
        <w:t>. In the event that (i) the Executive is employed by a direct or indirect subsidiary of Sempra Energy that is a member of the Sempra Energy Control Group, (ii) Sempra Energy, directly or indirectly through one or more intermediaries, sells or otherwise disposes of such subsidiary, and (iii) such subsidiary ceases to be a member of the Sempra Energy Control Group, then if, on the date such subsidiary ceases to be a member of the Sempra Energy Control Group, the Executive continues in employment with such subsidiary and the Executive does not have a Separation from Service, Sempra Energy shall require such subsidiary or any successor (whether direct or indirect, by purchase merger, consolidation or otherwise)</w:t>
      </w:r>
    </w:p>
    <w:p>
      <w:pPr>
        <w:sectPr>
          <w:pgSz w:w="11900" w:h="16901" w:orient="portrait"/>
          <w:cols w:equalWidth="0" w:num="1">
            <w:col w:w="11420"/>
          </w:cols>
          <w:pgMar w:left="240" w:top="118" w:right="239" w:bottom="0" w:gutter="0" w:footer="0" w:header="0"/>
        </w:sectPr>
      </w:pPr>
    </w:p>
    <w:bookmarkStart w:id="104" w:name="page105"/>
    <w:bookmarkEnd w:id="104"/>
    <w:p>
      <w:pPr>
        <w:ind w:right="20"/>
        <w:spacing w:after="0" w:line="246" w:lineRule="auto"/>
        <w:rPr>
          <w:sz w:val="20"/>
          <w:szCs w:val="20"/>
          <w:color w:val="auto"/>
        </w:rPr>
      </w:pPr>
      <w:r>
        <w:rPr>
          <w:rFonts w:ascii="Arial" w:cs="Arial" w:eastAsia="Arial" w:hAnsi="Arial"/>
          <w:sz w:val="21"/>
          <w:szCs w:val="21"/>
          <w:color w:val="auto"/>
        </w:rPr>
        <w:t>to such subsidiary, or the parent thereof, to assume expressly and agree to perform the obligations and satisfy and discharge the liabilities under this Agreement in the same manner and to the same extent that Sempra Energy would have been required to perform the obligations and satisfy and discharge the liabilities under this Agreement, if such subsidiary had not ceased to be part of the Sempra Energy Control Group, and, upon such assumption, Sempra Energy shall have no further obligations and liabilities under the Agreement. Upon such assumption, (i) references to Sempra Energy in this Agreement shall be replaced with references to such subsidiary, or such successor or parent thereof, assuming this Agreement, and (ii) subsection (b) of the definition of “Cause” and subsection (b) of the definition of “Good Reason” shall apply thereafter, as if a Change in Control had occurred on the date of such cessation.</w:t>
      </w:r>
    </w:p>
    <w:p>
      <w:pPr>
        <w:spacing w:after="0" w:line="168" w:lineRule="exact"/>
        <w:rPr>
          <w:sz w:val="20"/>
          <w:szCs w:val="20"/>
          <w:color w:val="auto"/>
        </w:rPr>
      </w:pPr>
    </w:p>
    <w:p>
      <w:pPr>
        <w:ind w:firstLine="1305"/>
        <w:spacing w:after="0" w:line="272" w:lineRule="auto"/>
        <w:tabs>
          <w:tab w:leader="none" w:pos="1945"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Sale of Assets of Subsidiary</w:t>
      </w:r>
      <w:r>
        <w:rPr>
          <w:rFonts w:ascii="Arial" w:cs="Arial" w:eastAsia="Arial" w:hAnsi="Arial"/>
          <w:sz w:val="19"/>
          <w:szCs w:val="19"/>
          <w:color w:val="auto"/>
        </w:rPr>
        <w:t>. In the event that (i) the Executive is employed by a direct or indirect subsidiary of Sempra Energy, and (ii) such subsidiary sells or otherwise disposes of substantial assets of such subsidiary to an unrelated service recipient, as determined under Treasury Regulation Section 1.409A-1(f)(2)(ii) (the “</w:t>
      </w:r>
      <w:r>
        <w:rPr>
          <w:rFonts w:ascii="Arial" w:cs="Arial" w:eastAsia="Arial" w:hAnsi="Arial"/>
          <w:sz w:val="19"/>
          <w:szCs w:val="19"/>
          <w:u w:val="single" w:color="auto"/>
          <w:color w:val="auto"/>
        </w:rPr>
        <w:t>Asset Purchaser</w:t>
      </w:r>
      <w:r>
        <w:rPr>
          <w:rFonts w:ascii="Arial" w:cs="Arial" w:eastAsia="Arial" w:hAnsi="Arial"/>
          <w:sz w:val="19"/>
          <w:szCs w:val="19"/>
          <w:color w:val="auto"/>
        </w:rPr>
        <w:t>”), in a transaction described in Treasury Regulation Section 1.409A-1(h)(4) (an “</w:t>
      </w:r>
      <w:r>
        <w:rPr>
          <w:rFonts w:ascii="Arial" w:cs="Arial" w:eastAsia="Arial" w:hAnsi="Arial"/>
          <w:sz w:val="19"/>
          <w:szCs w:val="19"/>
          <w:u w:val="single" w:color="auto"/>
          <w:color w:val="auto"/>
        </w:rPr>
        <w:t>Asset Sale</w:t>
      </w:r>
      <w:r>
        <w:rPr>
          <w:rFonts w:ascii="Arial" w:cs="Arial" w:eastAsia="Arial" w:hAnsi="Arial"/>
          <w:sz w:val="19"/>
          <w:szCs w:val="19"/>
          <w:color w:val="auto"/>
        </w:rPr>
        <w:t>”), then if, on the date of such Asset Sale, the Executive becomes employed by the Asset Purchaser, Sempra Energy and the Asset Purchaser shall specify, in accordance with Treasury Regulation Section 1.409A-1(h)(4), that the Executive shall not be treated as having a Separation from Service, and Sempra Energy shall require such Asset Purchaser, or the parent thereof, to assume expressly and agree to perform the obligations and satisfy and discharge the liabilities under this Agreement in the same manner and to the same extent that Sempra Energy would have been required to perform the obligations and satisfy and discharge the liabilities under this Agreement, if the Asset Sale had not taken place, and, upon such assumption, Sempra Energy shall have no further obligations and liabilities under the Agreement. Upon such assumption, (i) references to Sempra Energy in this Agreement shall be replaced with references to the Asset Purchaser or the parent thereof, as applicable, and (ii) subsection (b) of the definition of “Cause” and subsection (b) of the definition of “Good Reason” shall apply thereafter, as if a Change in Control had occurred on the date of the Asset Sale.</w:t>
      </w:r>
    </w:p>
    <w:p>
      <w:pPr>
        <w:spacing w:after="0" w:line="151" w:lineRule="exact"/>
        <w:rPr>
          <w:sz w:val="20"/>
          <w:szCs w:val="20"/>
          <w:color w:val="auto"/>
        </w:rPr>
      </w:pPr>
    </w:p>
    <w:p>
      <w:pPr>
        <w:ind w:right="40" w:firstLine="1297"/>
        <w:spacing w:after="0" w:line="275" w:lineRule="auto"/>
        <w:rPr>
          <w:sz w:val="20"/>
          <w:szCs w:val="20"/>
          <w:color w:val="auto"/>
        </w:rPr>
      </w:pPr>
      <w:r>
        <w:rPr>
          <w:rFonts w:ascii="Arial" w:cs="Arial" w:eastAsia="Arial" w:hAnsi="Arial"/>
          <w:sz w:val="19"/>
          <w:szCs w:val="19"/>
          <w:b w:val="1"/>
          <w:bCs w:val="1"/>
          <w:color w:val="auto"/>
        </w:rPr>
        <w:t xml:space="preserve">Section 17. </w:t>
      </w:r>
      <w:r>
        <w:rPr>
          <w:rFonts w:ascii="Arial" w:cs="Arial" w:eastAsia="Arial" w:hAnsi="Arial"/>
          <w:sz w:val="19"/>
          <w:szCs w:val="19"/>
          <w:u w:val="single" w:color="auto"/>
          <w:color w:val="auto"/>
        </w:rPr>
        <w:t>Administration Prior to Change in Control</w:t>
      </w:r>
      <w:r>
        <w:rPr>
          <w:rFonts w:ascii="Arial" w:cs="Arial" w:eastAsia="Arial" w:hAnsi="Arial"/>
          <w:sz w:val="19"/>
          <w:szCs w:val="19"/>
          <w:color w:val="auto"/>
        </w:rPr>
        <w:t>. Prior to a Change in Control, the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shall have full and complete authority to construe and interpret the provisions of this Agreement, to determine an individual’s entitlement to benefits under this Agreement, to make in its sole and absolute discretion all determinations contemplated under this Agreement, to investigate and make factual determinations necessary or advisable to administer or implement this Agreement, and to adopt such rules and procedures as it deems necessary or advisable for the administration or implementation of this Agreement. All determinations made under this Agreement by the Compensation Committee shall be final and binding on all interested persons. Prior to a Change in Control, the Compensation Committee may delegate responsibilities for the operation and administration of this Agreement to one or more officers or employees of the Company. The provisions of this Section 17 shall terminate and be of no further force and effect upon the occurrence of a Change in Control.</w:t>
      </w:r>
    </w:p>
    <w:p>
      <w:pPr>
        <w:spacing w:after="0" w:line="14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18.</w:t>
      </w:r>
      <w:r>
        <w:rPr>
          <w:sz w:val="20"/>
          <w:szCs w:val="20"/>
          <w:color w:val="auto"/>
        </w:rPr>
        <w:tab/>
      </w:r>
      <w:r>
        <w:rPr>
          <w:rFonts w:ascii="Arial" w:cs="Arial" w:eastAsia="Arial" w:hAnsi="Arial"/>
          <w:sz w:val="19"/>
          <w:szCs w:val="19"/>
          <w:u w:val="single" w:color="auto"/>
          <w:color w:val="auto"/>
        </w:rPr>
        <w:t>Section 409A of the Code.</w:t>
      </w:r>
    </w:p>
    <w:p>
      <w:pPr>
        <w:spacing w:after="0" w:line="193" w:lineRule="exact"/>
        <w:rPr>
          <w:sz w:val="20"/>
          <w:szCs w:val="20"/>
          <w:color w:val="auto"/>
        </w:rPr>
      </w:pPr>
    </w:p>
    <w:p>
      <w:pPr>
        <w:ind w:right="20" w:firstLine="1305"/>
        <w:spacing w:after="0" w:line="269" w:lineRule="auto"/>
        <w:tabs>
          <w:tab w:leader="none" w:pos="1945"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Compliance with and Exemption from Section 409A of the Code</w:t>
      </w:r>
      <w:r>
        <w:rPr>
          <w:rFonts w:ascii="Arial" w:cs="Arial" w:eastAsia="Arial" w:hAnsi="Arial"/>
          <w:sz w:val="19"/>
          <w:szCs w:val="19"/>
          <w:color w:val="auto"/>
        </w:rPr>
        <w:t>. Certain payments and benefits payable under this Agreement (including, without limitation, the Section 409A Payments) are intended to comply with the requirements of Section 409A of the Code. Certain payments and benefits payable under this Agreement are intended to be exempt from the requirements of Section 409A of the Code. This Agreement shall be interpreted in accordance with the applicable requirements of, and exemptions from, Section 409A of the Code and the Treasury Regulations thereunder. To the extent the payments and benefits under this Agreement are subject to Section 409A of the Code, this Agreement shall be interpreted, construed and administered in a manner that satisfies the requirements of Sections 409A(a)(2), (3) and (4) of the Code and the Treasury Regulations thereunder (subject to the transitional relief under Internal Revenue Service Notice 2005-1, the Proposed Regulations under Section 409A of the Code, Internal Revenue Service Notice 2006-79, Internal Revenue Service Notice 2007-78, Internal Revenue Service Notice 2007-86 and other applicable authority issued by the Internal Revenue Service). As provided in Internal Revenue Notice 2007-86, notwithstanding any other provision of this Agreement, with respect to an election or amendment to change a time or form of payment under this Agreement made on or after January 1, 2008 and on or before December 31, 2008, the election or amendment shall apply only with respect to payments that would not otherwise be payable in 2008, and shall not cause payments to be made in 2008 that would not otherwise be payable in 2008. If the Company and the Executive determine that any compensation, benefits or other payments that are payable under this Agreement and intended to comply with Sections 409A(a)(2), (3) and (4) of the Code do not comply with Section 409A of the Code, the Treasury Regulations thereunder and other applicable authority issued by the Internal Revenue Service, to the extent permitted under Section 409A of the Code, the Treasury Regulations thereunder and any applicable authority issued by the Internal Revenue Service, the Company and the Executive agree to amend this Agreement, or take such other actions as the Company and the Executive deem reasonably necessary or appropriate, to cause such compensation, benefits and other payments to comply with the requirements of Section 409A of the Code, the Treasury Regulations thereunder and other applicable authority issued by the Internal Revenue Service, while providing compensation, benefits and other payments that are, in the aggregate, no less favorable than the compensation, benefits and other payments provided under this Agreement. In the case of any compensation, benefits or other payments that are payable under this Agreement and intended to comply with Sections 409A(a)(2), (3) and (4) of the Code, if any provision of the Agreement would cause such compensation, benefits or other payments to fail to so comply, such provision shall not be effective and shall be null and void with respect to such compensation, benefits or other payments to the extent such provision would cause a failure to comply, and such provision shall otherwise remain in full force and effect.</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jc w:val="both"/>
        <w:ind w:right="280" w:firstLine="1305"/>
        <w:spacing w:after="0" w:line="276" w:lineRule="auto"/>
        <w:tabs>
          <w:tab w:leader="none" w:pos="1945"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Deferral Elections</w:t>
      </w:r>
      <w:r>
        <w:rPr>
          <w:rFonts w:ascii="Arial" w:cs="Arial" w:eastAsia="Arial" w:hAnsi="Arial"/>
          <w:sz w:val="19"/>
          <w:szCs w:val="19"/>
          <w:color w:val="auto"/>
        </w:rPr>
        <w:t>. As provided in Sections 4(f), 5(i) and 14(d), the Executive may elect to defer the Pre-Change in Control Severance Payment, the Post-Change in Control Severance Payment and the Consulting Payment as follows.</w:t>
      </w:r>
    </w:p>
    <w:p>
      <w:pPr>
        <w:spacing w:after="0" w:line="1" w:lineRule="exact"/>
        <w:rPr>
          <w:rFonts w:ascii="Arial" w:cs="Arial" w:eastAsia="Arial" w:hAnsi="Arial"/>
          <w:sz w:val="19"/>
          <w:szCs w:val="19"/>
          <w:color w:val="auto"/>
        </w:rPr>
      </w:pPr>
    </w:p>
    <w:p>
      <w:pPr>
        <w:jc w:val="both"/>
        <w:ind w:right="220" w:firstLine="158"/>
        <w:spacing w:after="0" w:line="287" w:lineRule="auto"/>
        <w:rPr>
          <w:rFonts w:ascii="Arial" w:cs="Arial" w:eastAsia="Arial" w:hAnsi="Arial"/>
          <w:sz w:val="19"/>
          <w:szCs w:val="19"/>
          <w:color w:val="auto"/>
        </w:rPr>
      </w:pPr>
      <w:r>
        <w:rPr>
          <w:rFonts w:ascii="Arial" w:cs="Arial" w:eastAsia="Arial" w:hAnsi="Arial"/>
          <w:sz w:val="19"/>
          <w:szCs w:val="19"/>
          <w:color w:val="auto"/>
        </w:rPr>
        <w:t>The Executive’s deferral election shall satisfy the requirements of Treasury Regulation Section 1.409A-2(b) and the terms and conditions of the Deferred Compensation Plan. Such deferral election shall designate the whole percentage (up to a maximum of 100%) of the Pre-Change in Control Severance Payment, the Post-Change in Control Severance Payment and the Consulting</w:t>
      </w:r>
    </w:p>
    <w:p>
      <w:pPr>
        <w:sectPr>
          <w:pgSz w:w="11900" w:h="16838" w:orient="portrait"/>
          <w:cols w:equalWidth="0" w:num="1">
            <w:col w:w="11400"/>
          </w:cols>
          <w:pgMar w:left="240" w:top="118" w:right="259" w:bottom="0" w:gutter="0" w:footer="0" w:header="0"/>
        </w:sectPr>
      </w:pPr>
    </w:p>
    <w:bookmarkStart w:id="105" w:name="page106"/>
    <w:bookmarkEnd w:id="105"/>
    <w:p>
      <w:pPr>
        <w:ind w:right="100"/>
        <w:spacing w:after="0" w:line="238" w:lineRule="auto"/>
        <w:rPr>
          <w:sz w:val="20"/>
          <w:szCs w:val="20"/>
          <w:color w:val="auto"/>
        </w:rPr>
      </w:pPr>
      <w:r>
        <w:rPr>
          <w:rFonts w:ascii="Arial" w:cs="Arial" w:eastAsia="Arial" w:hAnsi="Arial"/>
          <w:sz w:val="22"/>
          <w:szCs w:val="22"/>
          <w:color w:val="auto"/>
        </w:rPr>
        <w:t>Payment to be deferred, shall be irrevocable when made, and shall not take effect until at least twelve (12) months after the date on which the election is made. Such deferral election shall provide that the amount deferred shall be deferred for a period of not less than five (5) years from the date the payment of the amount deferred would otherwise have been made, in accordance with Treasury Regulation Section 1.409A-2(b)(1)(ii).</w:t>
      </w:r>
    </w:p>
    <w:p>
      <w:pPr>
        <w:spacing w:after="0" w:line="17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19.</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06" w:lineRule="exact"/>
        <w:rPr>
          <w:sz w:val="20"/>
          <w:szCs w:val="20"/>
          <w:color w:val="auto"/>
        </w:rPr>
      </w:pPr>
    </w:p>
    <w:p>
      <w:pPr>
        <w:ind w:right="80" w:firstLine="1305"/>
        <w:spacing w:after="0" w:line="247" w:lineRule="auto"/>
        <w:tabs>
          <w:tab w:leader="none" w:pos="1945" w:val="left"/>
        </w:tabs>
        <w:numPr>
          <w:ilvl w:val="0"/>
          <w:numId w:val="151"/>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and construed in accordance with the laws of the State of California, without reference to its principles of conflict of laws. The captions of this Agreement are not part of the provisions hereof and shall have no force or effect. This Agreement may not be amended, modified, repealed, waived, extended or discharged except by an agreement in writing signed by the party against whom enforcement of such amendment, modification, repeal, waiver, extension or discharge is sought. No person, other than pursuant to a resolution of the Board or a committee thereof, shall have authority on behalf of the Company to agree to amend, modify, repeal, waive, extend or discharge any provision of this Agreement or anything in reference thereto.</w:t>
      </w:r>
    </w:p>
    <w:p>
      <w:pPr>
        <w:spacing w:after="0" w:line="164" w:lineRule="exact"/>
        <w:rPr>
          <w:rFonts w:ascii="Arial" w:cs="Arial" w:eastAsia="Arial" w:hAnsi="Arial"/>
          <w:sz w:val="21"/>
          <w:szCs w:val="21"/>
          <w:color w:val="auto"/>
        </w:rPr>
      </w:pPr>
    </w:p>
    <w:p>
      <w:pPr>
        <w:ind w:right="200" w:firstLine="1305"/>
        <w:spacing w:after="0" w:line="287" w:lineRule="auto"/>
        <w:tabs>
          <w:tab w:leader="none" w:pos="1945"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shall be in writing and shall be given by hand delivery to the other party or by registered or certified mail, return receipt requested, postage prepaid, addressed, in either case, to the Company’s headquarters or to such other address as either party shall have furnished to the other in writing in accordance herewith. Notices and communications shall be effective when actually received by the addressee.</w:t>
      </w:r>
    </w:p>
    <w:p>
      <w:pPr>
        <w:spacing w:after="0" w:line="129" w:lineRule="exact"/>
        <w:rPr>
          <w:rFonts w:ascii="Arial" w:cs="Arial" w:eastAsia="Arial" w:hAnsi="Arial"/>
          <w:sz w:val="19"/>
          <w:szCs w:val="19"/>
          <w:color w:val="auto"/>
        </w:rPr>
      </w:pPr>
    </w:p>
    <w:p>
      <w:pPr>
        <w:ind w:right="600" w:firstLine="1305"/>
        <w:spacing w:after="0" w:line="251" w:lineRule="auto"/>
        <w:tabs>
          <w:tab w:leader="none" w:pos="1945"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this Agreement shall not affect the validity or enforceability of any other provision of this Agreement.</w:t>
      </w:r>
    </w:p>
    <w:p>
      <w:pPr>
        <w:spacing w:after="0" w:line="173" w:lineRule="exact"/>
        <w:rPr>
          <w:rFonts w:ascii="Arial" w:cs="Arial" w:eastAsia="Arial" w:hAnsi="Arial"/>
          <w:sz w:val="22"/>
          <w:szCs w:val="22"/>
          <w:color w:val="auto"/>
        </w:rPr>
      </w:pPr>
    </w:p>
    <w:p>
      <w:pPr>
        <w:ind w:right="200" w:firstLine="1305"/>
        <w:spacing w:after="0" w:line="251" w:lineRule="auto"/>
        <w:tabs>
          <w:tab w:leader="none" w:pos="1945"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 The Company may withhold from any amounts payable under this Agreement such federal, state or local taxes as shall be required to be withheld pursuant to any applicable law or regulation.</w:t>
      </w:r>
    </w:p>
    <w:p>
      <w:pPr>
        <w:spacing w:after="0" w:line="159" w:lineRule="exact"/>
        <w:rPr>
          <w:rFonts w:ascii="Arial" w:cs="Arial" w:eastAsia="Arial" w:hAnsi="Arial"/>
          <w:sz w:val="22"/>
          <w:szCs w:val="22"/>
          <w:color w:val="auto"/>
        </w:rPr>
      </w:pPr>
    </w:p>
    <w:p>
      <w:pPr>
        <w:ind w:right="140" w:firstLine="1305"/>
        <w:spacing w:after="0" w:line="273" w:lineRule="auto"/>
        <w:tabs>
          <w:tab w:leader="none" w:pos="1945"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The Executive’s or the Company’s failure to insist upon strict compliance with any provision hereof or any other provision of this Agreement or the failure to assert any right the Executive or the Company may have hereunder, including, without limitation, the right of the Executive to terminate employment for Good Reason pursuant to Section</w:t>
      </w:r>
    </w:p>
    <w:p>
      <w:pPr>
        <w:spacing w:after="0" w:line="1" w:lineRule="exact"/>
        <w:rPr>
          <w:rFonts w:ascii="Arial" w:cs="Arial" w:eastAsia="Arial" w:hAnsi="Arial"/>
          <w:sz w:val="19"/>
          <w:szCs w:val="19"/>
          <w:color w:val="auto"/>
        </w:rPr>
      </w:pPr>
    </w:p>
    <w:p>
      <w:pPr>
        <w:ind w:right="100"/>
        <w:spacing w:after="0" w:line="256" w:lineRule="auto"/>
        <w:rPr>
          <w:rFonts w:ascii="Arial" w:cs="Arial" w:eastAsia="Arial" w:hAnsi="Arial"/>
          <w:sz w:val="19"/>
          <w:szCs w:val="19"/>
          <w:color w:val="auto"/>
        </w:rPr>
      </w:pPr>
      <w:r>
        <w:rPr>
          <w:rFonts w:ascii="Arial" w:cs="Arial" w:eastAsia="Arial" w:hAnsi="Arial"/>
          <w:sz w:val="21"/>
          <w:szCs w:val="21"/>
          <w:color w:val="auto"/>
        </w:rPr>
        <w:t>1 hereof, or the right of the Company to terminate the Executive’s employment for Cause pursuant to Section 1 hereof shall not be deemed to be a waiver of such provision or right or any other provision or right of this Agreement.</w:t>
      </w:r>
    </w:p>
    <w:p>
      <w:pPr>
        <w:spacing w:after="0" w:line="155" w:lineRule="exact"/>
        <w:rPr>
          <w:rFonts w:ascii="Arial" w:cs="Arial" w:eastAsia="Arial" w:hAnsi="Arial"/>
          <w:sz w:val="19"/>
          <w:szCs w:val="19"/>
          <w:color w:val="auto"/>
        </w:rPr>
      </w:pPr>
    </w:p>
    <w:p>
      <w:pPr>
        <w:ind w:firstLine="1305"/>
        <w:spacing w:after="0" w:line="277" w:lineRule="auto"/>
        <w:tabs>
          <w:tab w:leader="none" w:pos="1945"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Entire Agreement; Exclusive Benefit; Supersession of Prior Agreement</w:t>
      </w:r>
      <w:r>
        <w:rPr>
          <w:rFonts w:ascii="Arial" w:cs="Arial" w:eastAsia="Arial" w:hAnsi="Arial"/>
          <w:sz w:val="19"/>
          <w:szCs w:val="19"/>
          <w:color w:val="auto"/>
        </w:rPr>
        <w:t>. This instrument contains the entire agreement of the Executive, the Company or any predecessor or subsidiary thereof with respect to any severance or termination pay. The Pre-Change in Control Severance Payment, the Post-Change in Control Severance Payment and all other benefits provided hereunder shall be in lieu of any other severance payments to which the Executive is entitled under any other severance plan or program or arrangement sponsored by the Company, as well as pursuant to any individual employment or severance agreement that was entered into by the Executive and the Company, and, upon the Effective Date of this Agreement, all such plans, programs, arrangements and agreements are hereby automatically superseded and terminated.</w:t>
      </w:r>
    </w:p>
    <w:p>
      <w:pPr>
        <w:spacing w:after="0" w:line="152" w:lineRule="exact"/>
        <w:rPr>
          <w:rFonts w:ascii="Arial" w:cs="Arial" w:eastAsia="Arial" w:hAnsi="Arial"/>
          <w:sz w:val="19"/>
          <w:szCs w:val="19"/>
          <w:color w:val="auto"/>
        </w:rPr>
      </w:pPr>
    </w:p>
    <w:p>
      <w:pPr>
        <w:ind w:right="220" w:firstLine="1305"/>
        <w:spacing w:after="0"/>
        <w:tabs>
          <w:tab w:leader="none" w:pos="1945"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No Right of Employment</w:t>
      </w:r>
      <w:r>
        <w:rPr>
          <w:rFonts w:ascii="Arial" w:cs="Arial" w:eastAsia="Arial" w:hAnsi="Arial"/>
          <w:sz w:val="22"/>
          <w:szCs w:val="22"/>
          <w:color w:val="auto"/>
        </w:rPr>
        <w:t>. Nothing in this Agreement shall be construed as giving the Executive any right to be retained in the employ of the Company or shall interfere in any way with the right of the Company to terminate the Executive’s employment at any time, with or without Cause.</w:t>
      </w:r>
    </w:p>
    <w:p>
      <w:pPr>
        <w:spacing w:after="0" w:line="172" w:lineRule="exact"/>
        <w:rPr>
          <w:rFonts w:ascii="Arial" w:cs="Arial" w:eastAsia="Arial" w:hAnsi="Arial"/>
          <w:sz w:val="22"/>
          <w:szCs w:val="22"/>
          <w:color w:val="auto"/>
        </w:rPr>
      </w:pPr>
    </w:p>
    <w:p>
      <w:pPr>
        <w:jc w:val="both"/>
        <w:ind w:right="20" w:firstLine="1305"/>
        <w:spacing w:after="0"/>
        <w:tabs>
          <w:tab w:leader="none" w:pos="1945"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Unfunded Obligation</w:t>
      </w:r>
      <w:r>
        <w:rPr>
          <w:rFonts w:ascii="Arial" w:cs="Arial" w:eastAsia="Arial" w:hAnsi="Arial"/>
          <w:sz w:val="22"/>
          <w:szCs w:val="22"/>
          <w:color w:val="auto"/>
        </w:rPr>
        <w:t>. The obligations under this Agreement shall be unfunded. Benefits payable under this Agreement shall be paid from the general assets of the Company. The Company shall have no obligation to establish any fund or to set aside any assets to provide benefits under this Agreement.</w:t>
      </w:r>
    </w:p>
    <w:p>
      <w:pPr>
        <w:spacing w:after="0" w:line="172" w:lineRule="exact"/>
        <w:rPr>
          <w:rFonts w:ascii="Arial" w:cs="Arial" w:eastAsia="Arial" w:hAnsi="Arial"/>
          <w:sz w:val="22"/>
          <w:szCs w:val="22"/>
          <w:color w:val="auto"/>
        </w:rPr>
      </w:pPr>
    </w:p>
    <w:p>
      <w:pPr>
        <w:ind w:right="100" w:firstLine="1305"/>
        <w:spacing w:after="0" w:line="245" w:lineRule="auto"/>
        <w:tabs>
          <w:tab w:leader="none" w:pos="1945" w:val="left"/>
        </w:tabs>
        <w:numPr>
          <w:ilvl w:val="0"/>
          <w:numId w:val="151"/>
        </w:numPr>
        <w:rPr>
          <w:rFonts w:ascii="Arial" w:cs="Arial" w:eastAsia="Arial" w:hAnsi="Arial"/>
          <w:sz w:val="21"/>
          <w:szCs w:val="21"/>
          <w:color w:val="auto"/>
        </w:rPr>
      </w:pPr>
      <w:r>
        <w:rPr>
          <w:rFonts w:ascii="Arial" w:cs="Arial" w:eastAsia="Arial" w:hAnsi="Arial"/>
          <w:sz w:val="21"/>
          <w:szCs w:val="21"/>
          <w:u w:val="single" w:color="auto"/>
          <w:color w:val="auto"/>
        </w:rPr>
        <w:t>Termination upon Sale of Assets of Subsidiary</w:t>
      </w:r>
      <w:r>
        <w:rPr>
          <w:rFonts w:ascii="Arial" w:cs="Arial" w:eastAsia="Arial" w:hAnsi="Arial"/>
          <w:sz w:val="21"/>
          <w:szCs w:val="21"/>
          <w:color w:val="auto"/>
        </w:rPr>
        <w:t>. Notwithstanding anything contained herein, this Agreement shall automatically terminate and be of no further force and effect and no benefits shall be payable hereunder in the event that (i) the Executive is employed by a direct or indirect subsidiary of Sempra Energy, and (ii) an Asset Sale (as defined in Section 16(e)) occurs (other than such a sale or disposition which is part of a transaction or series of transactions which would result in a Change in Control), and (iii) as a result of such Asset Sale, the Executive is offered employment by the Asset Purchaser in an executive position with reasonably comparable status, compensation, benefits and severance agreement (including the assumption of this Agreement in accordance with Section 16(e)) and which is consistent with the Executive’s experience and education, but the Executive declines to accept such offer and the Executive fails to become employed by the Asset Purchaser on the date of the Asset Sale.</w:t>
      </w:r>
    </w:p>
    <w:p>
      <w:pPr>
        <w:spacing w:after="0" w:line="185" w:lineRule="exact"/>
        <w:rPr>
          <w:rFonts w:ascii="Arial" w:cs="Arial" w:eastAsia="Arial" w:hAnsi="Arial"/>
          <w:sz w:val="21"/>
          <w:szCs w:val="21"/>
          <w:color w:val="auto"/>
        </w:rPr>
      </w:pPr>
    </w:p>
    <w:p>
      <w:pPr>
        <w:ind w:right="60" w:firstLine="1305"/>
        <w:spacing w:after="0" w:line="275" w:lineRule="auto"/>
        <w:tabs>
          <w:tab w:leader="none" w:pos="1945"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xml:space="preserve">. The term of this Agreement shall commence on the Effective Date and shall continue until the third (3rd) anniversary of the Effective Date; </w:t>
      </w:r>
      <w:r>
        <w:rPr>
          <w:rFonts w:ascii="Arial" w:cs="Arial" w:eastAsia="Arial" w:hAnsi="Arial"/>
          <w:sz w:val="19"/>
          <w:szCs w:val="19"/>
          <w:i w:val="1"/>
          <w:iCs w:val="1"/>
          <w:color w:val="auto"/>
        </w:rPr>
        <w:t>provided, however</w:t>
      </w:r>
      <w:r>
        <w:rPr>
          <w:rFonts w:ascii="Arial" w:cs="Arial" w:eastAsia="Arial" w:hAnsi="Arial"/>
          <w:sz w:val="19"/>
          <w:szCs w:val="19"/>
          <w:color w:val="auto"/>
        </w:rPr>
        <w:t>, that commencing on the second (2nd) anniversary of the Effective Date (and each anniversary of the Effective Date thereafter), the term of this Agreement shall automatically be extended for one (1) additional year, unless at least ninety (90) days prior to such date, the Company or the Executive shall give written notice to the other party that it or he, as the case may be, does not wish to so extend this Agreement. Notwithstanding the foregoing, if the Company gives such written notice to the Executive less than two (2) years after a Change in Control, the term of this Agreement shall be automatically extended until the later of (A) the date that is one (1) year after the anniversary of the Effective Date that follows such written notice or (B) the second (2nd) anniversary of the Change in Control Date.</w:t>
      </w:r>
    </w:p>
    <w:p>
      <w:pPr>
        <w:spacing w:after="0" w:line="144" w:lineRule="exact"/>
        <w:rPr>
          <w:rFonts w:ascii="Arial" w:cs="Arial" w:eastAsia="Arial" w:hAnsi="Arial"/>
          <w:sz w:val="19"/>
          <w:szCs w:val="19"/>
          <w:color w:val="auto"/>
        </w:rPr>
      </w:pPr>
    </w:p>
    <w:p>
      <w:pPr>
        <w:ind w:right="40" w:firstLine="1305"/>
        <w:spacing w:after="0" w:line="251" w:lineRule="auto"/>
        <w:tabs>
          <w:tab w:leader="none" w:pos="1945"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ectPr>
          <w:pgSz w:w="11900" w:h="16838" w:orient="portrait"/>
          <w:cols w:equalWidth="0" w:num="1">
            <w:col w:w="11420"/>
          </w:cols>
          <w:pgMar w:left="240" w:top="118" w:right="239" w:bottom="0" w:gutter="0" w:footer="0" w:header="0"/>
        </w:sectPr>
      </w:pPr>
    </w:p>
    <w:bookmarkStart w:id="106" w:name="page107"/>
    <w:bookmarkEnd w:id="106"/>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remainder of page intentionally left blank</w:t>
      </w:r>
      <w:r>
        <w:rPr>
          <w:rFonts w:ascii="Arial" w:cs="Arial" w:eastAsia="Arial" w:hAnsi="Arial"/>
          <w:sz w:val="19"/>
          <w:szCs w:val="19"/>
          <w:color w:val="auto"/>
        </w:rPr>
        <w:t>]</w:t>
      </w:r>
    </w:p>
    <w:p>
      <w:pPr>
        <w:sectPr>
          <w:pgSz w:w="11900" w:h="16838" w:orient="portrait"/>
          <w:cols w:equalWidth="0" w:num="1">
            <w:col w:w="9019"/>
          </w:cols>
          <w:pgMar w:left="1440" w:top="118" w:right="1440" w:bottom="1440" w:gutter="0" w:footer="0" w:header="0"/>
        </w:sectPr>
      </w:pPr>
    </w:p>
    <w:bookmarkStart w:id="107" w:name="page108"/>
    <w:bookmarkEnd w:id="107"/>
    <w:p>
      <w:pPr>
        <w:ind w:firstLine="648"/>
        <w:spacing w:after="0" w:line="251" w:lineRule="auto"/>
        <w:rPr>
          <w:sz w:val="20"/>
          <w:szCs w:val="20"/>
          <w:color w:val="auto"/>
        </w:rPr>
      </w:pPr>
      <w:r>
        <w:rPr>
          <w:rFonts w:ascii="Arial" w:cs="Arial" w:eastAsia="Arial" w:hAnsi="Arial"/>
          <w:sz w:val="22"/>
          <w:szCs w:val="22"/>
          <w:color w:val="auto"/>
        </w:rPr>
        <w:t>IN WITNESS WHEREOF, the Executive and, pursuant to due authorization from its Board of Directors, the Company have caused this Agreement to be executed as of the day and year first above written.</w:t>
      </w:r>
    </w:p>
    <w:p>
      <w:pPr>
        <w:spacing w:after="0" w:line="1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SEMPRA ENERGY</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 Joyce Rowland</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Senior Vice President, Human Resources, Diversity and Inclusion</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James P. Avery</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Senior Vice President, Power Supply</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ectPr>
          <w:pgSz w:w="11900" w:h="16838" w:orient="portrait"/>
          <w:cols w:equalWidth="0" w:num="1">
            <w:col w:w="10980"/>
          </w:cols>
          <w:pgMar w:left="240" w:top="118" w:right="679" w:bottom="1440" w:gutter="0" w:footer="0" w:header="0"/>
        </w:sectPr>
      </w:pPr>
    </w:p>
    <w:bookmarkStart w:id="108" w:name="page109"/>
    <w:bookmarkEnd w:id="108"/>
    <w:p>
      <w:pPr>
        <w:jc w:val="right"/>
        <w:spacing w:after="0"/>
        <w:rPr>
          <w:sz w:val="20"/>
          <w:szCs w:val="20"/>
          <w:color w:val="auto"/>
        </w:rPr>
      </w:pPr>
      <w:r>
        <w:rPr>
          <w:rFonts w:ascii="Arial" w:cs="Arial" w:eastAsia="Arial" w:hAnsi="Arial"/>
          <w:sz w:val="22"/>
          <w:szCs w:val="22"/>
          <w:u w:val="single" w:color="auto"/>
          <w:color w:val="auto"/>
        </w:rPr>
        <w:t>EXHIBIT A</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RELEASE</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GENERAL RELEASE (the “</w:t>
      </w:r>
      <w:r>
        <w:rPr>
          <w:rFonts w:ascii="Arial" w:cs="Arial" w:eastAsia="Arial" w:hAnsi="Arial"/>
          <w:sz w:val="22"/>
          <w:szCs w:val="22"/>
          <w:u w:val="single" w:color="auto"/>
          <w:color w:val="auto"/>
        </w:rPr>
        <w:t>Agreement</w:t>
      </w:r>
      <w:r>
        <w:rPr>
          <w:rFonts w:ascii="Arial" w:cs="Arial" w:eastAsia="Arial" w:hAnsi="Arial"/>
          <w:sz w:val="22"/>
          <w:szCs w:val="22"/>
          <w:color w:val="auto"/>
        </w:rPr>
        <w:t>”), dated ___________, is made by and between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 a California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___________________________ (“</w:t>
      </w:r>
      <w:r>
        <w:rPr>
          <w:rFonts w:ascii="Arial" w:cs="Arial" w:eastAsia="Arial" w:hAnsi="Arial"/>
          <w:sz w:val="19"/>
          <w:szCs w:val="19"/>
          <w:u w:val="single" w:color="auto"/>
          <w:color w:val="auto"/>
        </w:rPr>
        <w:t>you</w:t>
      </w:r>
      <w:r>
        <w:rPr>
          <w:rFonts w:ascii="Arial" w:cs="Arial" w:eastAsia="Arial" w:hAnsi="Arial"/>
          <w:sz w:val="19"/>
          <w:szCs w:val="19"/>
          <w:color w:val="auto"/>
        </w:rPr>
        <w:t>” or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your</w:t>
      </w:r>
      <w:r>
        <w:rPr>
          <w:rFonts w:ascii="Arial" w:cs="Arial" w:eastAsia="Arial" w:hAnsi="Arial"/>
          <w:sz w:val="22"/>
          <w:szCs w:val="22"/>
          <w:color w:val="auto"/>
        </w:rPr>
        <w: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you and the Company have previously entered into that certain Severance Pay Agreement dated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____________, 20___ (the “</w:t>
      </w:r>
      <w:r>
        <w:rPr>
          <w:rFonts w:ascii="Arial" w:cs="Arial" w:eastAsia="Arial" w:hAnsi="Arial"/>
          <w:sz w:val="22"/>
          <w:szCs w:val="22"/>
          <w:u w:val="single" w:color="auto"/>
          <w:color w:val="auto"/>
        </w:rPr>
        <w:t>Severance Pay Agreement</w:t>
      </w:r>
      <w:r>
        <w:rPr>
          <w:rFonts w:ascii="Arial" w:cs="Arial" w:eastAsia="Arial" w:hAnsi="Arial"/>
          <w:sz w:val="22"/>
          <w:szCs w:val="22"/>
          <w:color w:val="auto"/>
        </w:rPr>
        <w:t>”); and</w:t>
      </w:r>
    </w:p>
    <w:p>
      <w:pPr>
        <w:spacing w:after="0" w:line="188" w:lineRule="exact"/>
        <w:rPr>
          <w:sz w:val="20"/>
          <w:szCs w:val="20"/>
          <w:color w:val="auto"/>
        </w:rPr>
      </w:pPr>
    </w:p>
    <w:p>
      <w:pPr>
        <w:ind w:right="60" w:firstLine="1297"/>
        <w:spacing w:after="0" w:line="297" w:lineRule="auto"/>
        <w:rPr>
          <w:sz w:val="20"/>
          <w:szCs w:val="20"/>
          <w:color w:val="auto"/>
        </w:rPr>
      </w:pPr>
      <w:r>
        <w:rPr>
          <w:rFonts w:ascii="Arial" w:cs="Arial" w:eastAsia="Arial" w:hAnsi="Arial"/>
          <w:sz w:val="19"/>
          <w:szCs w:val="19"/>
          <w:color w:val="auto"/>
        </w:rPr>
        <w:t>WHEREAS, your right to receive certain severance pay and benefits pursuant to the terms of Section 4 or Section 5, and Section 14 of the Severance Pay Agreement, as applicable, are subject to and conditioned upon your execution and non-revocation of a general release of claims by you against the Company and its subsidiaries and affiliates.</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NOW, THEREFORE, in consideration of the premises and the mutual covenants herein contained, you and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Company hereby agree as follows:</w:t>
      </w:r>
    </w:p>
    <w:p>
      <w:pPr>
        <w:spacing w:after="0" w:line="188" w:lineRule="exact"/>
        <w:rPr>
          <w:sz w:val="20"/>
          <w:szCs w:val="20"/>
          <w:color w:val="auto"/>
        </w:rPr>
      </w:pPr>
    </w:p>
    <w:p>
      <w:pPr>
        <w:ind w:right="480" w:firstLine="1297"/>
        <w:spacing w:after="0" w:line="251" w:lineRule="auto"/>
        <w:rPr>
          <w:sz w:val="20"/>
          <w:szCs w:val="20"/>
          <w:color w:val="auto"/>
        </w:rPr>
      </w:pPr>
      <w:r>
        <w:rPr>
          <w:rFonts w:ascii="Arial" w:cs="Arial" w:eastAsia="Arial" w:hAnsi="Arial"/>
          <w:sz w:val="22"/>
          <w:szCs w:val="22"/>
          <w:color w:val="auto"/>
        </w:rPr>
        <w:t>ONE: Your signing of this Agreement confirms that your employment with the Company shall terminate at the close of business on ____________, or earlier upon our mutual agreement.</w:t>
      </w:r>
    </w:p>
    <w:p>
      <w:pPr>
        <w:spacing w:after="0" w:line="173" w:lineRule="exact"/>
        <w:rPr>
          <w:sz w:val="20"/>
          <w:szCs w:val="20"/>
          <w:color w:val="auto"/>
        </w:rPr>
      </w:pPr>
    </w:p>
    <w:p>
      <w:pPr>
        <w:jc w:val="both"/>
        <w:ind w:right="100" w:firstLine="1297"/>
        <w:spacing w:after="0" w:line="287" w:lineRule="auto"/>
        <w:rPr>
          <w:sz w:val="20"/>
          <w:szCs w:val="20"/>
          <w:color w:val="auto"/>
        </w:rPr>
      </w:pPr>
      <w:r>
        <w:rPr>
          <w:rFonts w:ascii="Arial" w:cs="Arial" w:eastAsia="Arial" w:hAnsi="Arial"/>
          <w:sz w:val="19"/>
          <w:szCs w:val="19"/>
          <w:color w:val="auto"/>
        </w:rPr>
        <w:t>TWO: As a material inducement for the payment of the severance and benefit under the Severance Pay Agreement, and except as otherwise provided in this Agreement, you and the Company hereby irrevocably and unconditionally release, acquit and forever discharge the other from any and all Claims either may have against the other. For purposes of this Agreement and the preceding sentence, the words “Releasee” or “Releasees” and “Claim” or “Claims” shall have the meanings set forth below:</w:t>
      </w:r>
    </w:p>
    <w:p>
      <w:pPr>
        <w:spacing w:after="0" w:line="130" w:lineRule="exact"/>
        <w:rPr>
          <w:sz w:val="20"/>
          <w:szCs w:val="20"/>
          <w:color w:val="auto"/>
        </w:rPr>
      </w:pPr>
    </w:p>
    <w:p>
      <w:pPr>
        <w:ind w:right="20" w:firstLine="1305"/>
        <w:spacing w:after="0" w:line="236" w:lineRule="auto"/>
        <w:tabs>
          <w:tab w:leader="none" w:pos="1945"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words “</w:t>
      </w:r>
      <w:r>
        <w:rPr>
          <w:rFonts w:ascii="Arial" w:cs="Arial" w:eastAsia="Arial" w:hAnsi="Arial"/>
          <w:sz w:val="22"/>
          <w:szCs w:val="22"/>
          <w:u w:val="single" w:color="auto"/>
          <w:color w:val="auto"/>
        </w:rPr>
        <w:t>Releasee</w:t>
      </w:r>
      <w:r>
        <w:rPr>
          <w:rFonts w:ascii="Arial" w:cs="Arial" w:eastAsia="Arial" w:hAnsi="Arial"/>
          <w:sz w:val="22"/>
          <w:szCs w:val="22"/>
          <w:color w:val="auto"/>
        </w:rPr>
        <w:t>” or “</w:t>
      </w:r>
      <w:r>
        <w:rPr>
          <w:rFonts w:ascii="Arial" w:cs="Arial" w:eastAsia="Arial" w:hAnsi="Arial"/>
          <w:sz w:val="22"/>
          <w:szCs w:val="22"/>
          <w:u w:val="single" w:color="auto"/>
          <w:color w:val="auto"/>
        </w:rPr>
        <w:t>Releasees</w:t>
      </w:r>
      <w:r>
        <w:rPr>
          <w:rFonts w:ascii="Arial" w:cs="Arial" w:eastAsia="Arial" w:hAnsi="Arial"/>
          <w:sz w:val="22"/>
          <w:szCs w:val="22"/>
          <w:color w:val="auto"/>
        </w:rPr>
        <w:t>” shall refer to you and to the Company and each of the Company’s owners, stockholders, predecessors, successors, assigns, agents, directors, officers, employees, representatives, attorneys, advisors, parent companies, divisions, subsidiaries, affiliates (and agents, directors, officers, employees, representatives, attorneys and advisors of such parent companies, divisions, subsidiaries and affiliates) and all persons acting by, through, under or in concert with any of them.</w:t>
      </w:r>
    </w:p>
    <w:p>
      <w:pPr>
        <w:spacing w:after="0" w:line="187" w:lineRule="exact"/>
        <w:rPr>
          <w:rFonts w:ascii="Arial" w:cs="Arial" w:eastAsia="Arial" w:hAnsi="Arial"/>
          <w:sz w:val="22"/>
          <w:szCs w:val="22"/>
          <w:color w:val="auto"/>
        </w:rPr>
      </w:pPr>
    </w:p>
    <w:p>
      <w:pPr>
        <w:ind w:right="20" w:firstLine="1305"/>
        <w:spacing w:after="0" w:line="271" w:lineRule="auto"/>
        <w:tabs>
          <w:tab w:leader="none" w:pos="1945" w:val="left"/>
        </w:tabs>
        <w:numPr>
          <w:ilvl w:val="0"/>
          <w:numId w:val="152"/>
        </w:numPr>
        <w:rPr>
          <w:rFonts w:ascii="Arial" w:cs="Arial" w:eastAsia="Arial" w:hAnsi="Arial"/>
          <w:sz w:val="19"/>
          <w:szCs w:val="19"/>
          <w:color w:val="auto"/>
        </w:rPr>
      </w:pPr>
      <w:r>
        <w:rPr>
          <w:rFonts w:ascii="Arial" w:cs="Arial" w:eastAsia="Arial" w:hAnsi="Arial"/>
          <w:sz w:val="19"/>
          <w:szCs w:val="19"/>
          <w:color w:val="auto"/>
        </w:rPr>
        <w:t>The words “</w:t>
      </w:r>
      <w:r>
        <w:rPr>
          <w:rFonts w:ascii="Arial" w:cs="Arial" w:eastAsia="Arial" w:hAnsi="Arial"/>
          <w:sz w:val="19"/>
          <w:szCs w:val="19"/>
          <w:u w:val="single" w:color="auto"/>
          <w:color w:val="auto"/>
        </w:rPr>
        <w:t>Claim</w:t>
      </w:r>
      <w:r>
        <w:rPr>
          <w:rFonts w:ascii="Arial" w:cs="Arial" w:eastAsia="Arial" w:hAnsi="Arial"/>
          <w:sz w:val="19"/>
          <w:szCs w:val="19"/>
          <w:color w:val="auto"/>
        </w:rPr>
        <w:t>” or “</w:t>
      </w:r>
      <w:r>
        <w:rPr>
          <w:rFonts w:ascii="Arial" w:cs="Arial" w:eastAsia="Arial" w:hAnsi="Arial"/>
          <w:sz w:val="19"/>
          <w:szCs w:val="19"/>
          <w:u w:val="single" w:color="auto"/>
          <w:color w:val="auto"/>
        </w:rPr>
        <w:t>Claims</w:t>
      </w:r>
      <w:r>
        <w:rPr>
          <w:rFonts w:ascii="Arial" w:cs="Arial" w:eastAsia="Arial" w:hAnsi="Arial"/>
          <w:sz w:val="19"/>
          <w:szCs w:val="19"/>
          <w:color w:val="auto"/>
        </w:rPr>
        <w:t xml:space="preserve">” shall refer to any charges, complaints, claims, liabilities, obligations, promises, agreements, controversies, damages, actions, causes of action, suits, rights, demands, costs, losses, debts and expenses (including attorneys’ fees and costs actually incurred) of any nature whatsoever, known or unknown, suspected or unsuspected, which you or the Company now, in the past or, in the future may have, own or hold against any of the Releasees;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word “Claim” or “Claims” shall not refer to any charges, complaints, claims, liabilities, obligations, promises,</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agreements, controversies, damages, actions, causes of action, suits, rights, demands, costs, losses, debts and expenses (including attorneys’ fees and costs actually incurred) arising under [</w:t>
      </w:r>
      <w:r>
        <w:rPr>
          <w:rFonts w:ascii="Arial" w:cs="Arial" w:eastAsia="Arial" w:hAnsi="Arial"/>
          <w:sz w:val="19"/>
          <w:szCs w:val="19"/>
          <w:i w:val="1"/>
          <w:iCs w:val="1"/>
          <w:color w:val="auto"/>
        </w:rPr>
        <w:t>identify severance, employee benefits, stock option, indemnification and</w:t>
      </w:r>
      <w:r>
        <w:rPr>
          <w:rFonts w:ascii="Arial" w:cs="Arial" w:eastAsia="Arial" w:hAnsi="Arial"/>
          <w:sz w:val="19"/>
          <w:szCs w:val="19"/>
          <w:color w:val="auto"/>
        </w:rPr>
        <w:t xml:space="preserve"> </w:t>
      </w:r>
      <w:r>
        <w:rPr>
          <w:rFonts w:ascii="Arial" w:cs="Arial" w:eastAsia="Arial" w:hAnsi="Arial"/>
          <w:sz w:val="19"/>
          <w:szCs w:val="19"/>
          <w:i w:val="1"/>
          <w:iCs w:val="1"/>
          <w:color w:val="auto"/>
        </w:rPr>
        <w:t>D&amp;O and other agreements containing duties, rights obligations etc. of either party that are to remain operative</w:t>
      </w:r>
      <w:r>
        <w:rPr>
          <w:rFonts w:ascii="Arial" w:cs="Arial" w:eastAsia="Arial" w:hAnsi="Arial"/>
          <w:sz w:val="19"/>
          <w:szCs w:val="19"/>
          <w:color w:val="auto"/>
        </w:rPr>
        <w:t>]. Claims released</w:t>
      </w:r>
      <w:r>
        <w:rPr>
          <w:rFonts w:ascii="Arial" w:cs="Arial" w:eastAsia="Arial" w:hAnsi="Arial"/>
          <w:sz w:val="19"/>
          <w:szCs w:val="19"/>
          <w:i w:val="1"/>
          <w:iCs w:val="1"/>
          <w:color w:val="auto"/>
        </w:rPr>
        <w:t xml:space="preserve"> </w:t>
      </w:r>
      <w:r>
        <w:rPr>
          <w:rFonts w:ascii="Arial" w:cs="Arial" w:eastAsia="Arial" w:hAnsi="Arial"/>
          <w:sz w:val="19"/>
          <w:szCs w:val="19"/>
          <w:color w:val="auto"/>
        </w:rPr>
        <w:t>pursuant to this Agreement by you and the Company include, but are not limited to, rights arising out of alleged violations of any contracts, express or implied, any tort, claim, any claim that you failed to perform or negligently performed or breached your duties during employment at the Company, any legal restrictions on the Company’s right to terminate employment relationships; and any federal, state or other governmental statute, regulation, or ordinance, governing the employment relationship including, without limitation, all state and federal laws and regulations prohibiting discrimination based on protected categories, and all state and federal laws and regulations prohibiting retaliation against employees for engaging in protected activity or legal off-duty conduct. This release does not extend to claims for workers’ compensation or other claims which by law may not be waived or released by this Agreement.</w:t>
      </w:r>
    </w:p>
    <w:p>
      <w:pPr>
        <w:spacing w:after="0" w:line="200" w:lineRule="exact"/>
        <w:rPr>
          <w:sz w:val="20"/>
          <w:szCs w:val="20"/>
          <w:color w:val="auto"/>
        </w:rPr>
      </w:pPr>
    </w:p>
    <w:p>
      <w:pPr>
        <w:spacing w:after="0" w:line="205" w:lineRule="exact"/>
        <w:rPr>
          <w:sz w:val="20"/>
          <w:szCs w:val="20"/>
          <w:color w:val="auto"/>
        </w:rPr>
      </w:pPr>
    </w:p>
    <w:p>
      <w:pPr>
        <w:ind w:right="20" w:firstLine="1297"/>
        <w:spacing w:after="0" w:line="235" w:lineRule="auto"/>
        <w:rPr>
          <w:sz w:val="20"/>
          <w:szCs w:val="20"/>
          <w:color w:val="auto"/>
        </w:rPr>
      </w:pPr>
      <w:r>
        <w:rPr>
          <w:rFonts w:ascii="Arial" w:cs="Arial" w:eastAsia="Arial" w:hAnsi="Arial"/>
          <w:sz w:val="22"/>
          <w:szCs w:val="22"/>
          <w:color w:val="auto"/>
        </w:rPr>
        <w:t>THREE: You and the Company expressly waive and relinquish all rights and benefits afforded by any statute (including but not limited to Section 1542 of the Civil Code of the State of California and analogous laws of other states) which limits the effect of a release with respect to unknown claims. You and the Company do so understanding and acknowledging the significance of the release of unknown claims and the waiver of statutory protection against a release of unknown claims (including but not limited to Section 1542 and analogous laws of other states). Section 1542 of the Civil Code of the State of California states as follows:</w:t>
      </w:r>
    </w:p>
    <w:p>
      <w:pPr>
        <w:spacing w:after="0" w:line="188" w:lineRule="exact"/>
        <w:rPr>
          <w:sz w:val="20"/>
          <w:szCs w:val="20"/>
          <w:color w:val="auto"/>
        </w:rPr>
      </w:pPr>
    </w:p>
    <w:p>
      <w:pPr>
        <w:ind w:left="1300" w:right="1340"/>
        <w:spacing w:after="0" w:line="238" w:lineRule="auto"/>
        <w:rPr>
          <w:sz w:val="20"/>
          <w:szCs w:val="20"/>
          <w:color w:val="auto"/>
        </w:rPr>
      </w:pPr>
      <w:r>
        <w:rPr>
          <w:rFonts w:ascii="Arial" w:cs="Arial" w:eastAsia="Arial" w:hAnsi="Arial"/>
          <w:sz w:val="22"/>
          <w:szCs w:val="22"/>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85" w:lineRule="exact"/>
        <w:rPr>
          <w:sz w:val="20"/>
          <w:szCs w:val="20"/>
          <w:color w:val="auto"/>
        </w:rPr>
      </w:pPr>
    </w:p>
    <w:p>
      <w:pPr>
        <w:ind w:right="220"/>
        <w:spacing w:after="0" w:line="236" w:lineRule="auto"/>
        <w:rPr>
          <w:sz w:val="20"/>
          <w:szCs w:val="20"/>
          <w:color w:val="auto"/>
        </w:rPr>
      </w:pPr>
      <w:r>
        <w:rPr>
          <w:rFonts w:ascii="Arial" w:cs="Arial" w:eastAsia="Arial" w:hAnsi="Arial"/>
          <w:sz w:val="22"/>
          <w:szCs w:val="22"/>
          <w:color w:val="auto"/>
        </w:rPr>
        <w:t>Thus, notwithstanding the provisions of Section 1542 or of any similar statute, and for the purpose of implementing a full and complete release and discharge of the Releasees, you and the Company expressly acknowledge that this Agreement is intended to include in its effect, without limitation, all Claims which are known and all Claims which you or the Company do not know or suspect to exist in your or the Company’s favor at the time of execution of this Agreement and that this Agreement contemplates the extinguishment of all such Claims.</w:t>
      </w:r>
    </w:p>
    <w:p>
      <w:pPr>
        <w:sectPr>
          <w:pgSz w:w="11900" w:h="16838" w:orient="portrait"/>
          <w:cols w:equalWidth="0" w:num="1">
            <w:col w:w="11420"/>
          </w:cols>
          <w:pgMar w:left="240" w:top="604" w:right="239" w:bottom="0" w:gutter="0" w:footer="0" w:header="0"/>
        </w:sectPr>
      </w:pPr>
    </w:p>
    <w:bookmarkStart w:id="109" w:name="page110"/>
    <w:bookmarkEnd w:id="109"/>
    <w:p>
      <w:pPr>
        <w:spacing w:after="0" w:line="13" w:lineRule="exact"/>
        <w:rPr>
          <w:sz w:val="20"/>
          <w:szCs w:val="20"/>
          <w:color w:val="auto"/>
        </w:rPr>
      </w:pPr>
    </w:p>
    <w:p>
      <w:pPr>
        <w:ind w:right="20" w:firstLine="1297"/>
        <w:spacing w:after="0" w:line="238" w:lineRule="auto"/>
        <w:rPr>
          <w:sz w:val="20"/>
          <w:szCs w:val="20"/>
          <w:color w:val="auto"/>
        </w:rPr>
      </w:pPr>
      <w:r>
        <w:rPr>
          <w:rFonts w:ascii="Arial" w:cs="Arial" w:eastAsia="Arial" w:hAnsi="Arial"/>
          <w:sz w:val="22"/>
          <w:szCs w:val="22"/>
          <w:color w:val="auto"/>
        </w:rPr>
        <w:t>FOUR: The parties acknowledge that they might hereafter discover facts different from, or in addition to, those they now know or believe to be true with respect to a Claim or Claims released herein, and they expressly agree to assume the risk of possible discovery of additional or different facts, and agree that this Agreement shall be and remain effective, in all respects, regardless of such additional or different discovered facts.</w:t>
      </w:r>
    </w:p>
    <w:p>
      <w:pPr>
        <w:spacing w:after="0" w:line="185" w:lineRule="exact"/>
        <w:rPr>
          <w:sz w:val="20"/>
          <w:szCs w:val="20"/>
          <w:color w:val="auto"/>
        </w:rPr>
      </w:pPr>
    </w:p>
    <w:p>
      <w:pPr>
        <w:ind w:right="20" w:firstLine="1297"/>
        <w:spacing w:after="0" w:line="249" w:lineRule="auto"/>
        <w:rPr>
          <w:sz w:val="20"/>
          <w:szCs w:val="20"/>
          <w:color w:val="auto"/>
        </w:rPr>
      </w:pPr>
      <w:r>
        <w:rPr>
          <w:rFonts w:ascii="Arial" w:cs="Arial" w:eastAsia="Arial" w:hAnsi="Arial"/>
          <w:sz w:val="21"/>
          <w:szCs w:val="21"/>
          <w:color w:val="auto"/>
        </w:rPr>
        <w:t>FIVE: You hereby represent and acknowledge that you have not filed any Claim of any kind against the Company or others released in this Agreement. You further hereby expressly agree never to initiate against the Company or others released in this Agreement any administrative proceeding, lawsuit or any other legal or equitable proceeding of any kind asserting any Claims that are released in this Agreement. You agree that you will not be entitled to any monetary recovery that may result from any agency action against the Company related to the Claims released by this Agreement.</w:t>
      </w:r>
    </w:p>
    <w:p>
      <w:pPr>
        <w:spacing w:after="0" w:line="179" w:lineRule="exact"/>
        <w:rPr>
          <w:sz w:val="20"/>
          <w:szCs w:val="20"/>
          <w:color w:val="auto"/>
        </w:rPr>
      </w:pPr>
    </w:p>
    <w:p>
      <w:pPr>
        <w:ind w:right="120" w:firstLine="1297"/>
        <w:spacing w:after="0" w:line="238" w:lineRule="auto"/>
        <w:rPr>
          <w:sz w:val="20"/>
          <w:szCs w:val="20"/>
          <w:color w:val="auto"/>
        </w:rPr>
      </w:pPr>
      <w:r>
        <w:rPr>
          <w:rFonts w:ascii="Arial" w:cs="Arial" w:eastAsia="Arial" w:hAnsi="Arial"/>
          <w:sz w:val="22"/>
          <w:szCs w:val="22"/>
          <w:color w:val="auto"/>
        </w:rPr>
        <w:t>The Company hereby represents and acknowledges that it has not filed any Claim of any kind against you or others released in this Agreement. The Company further hereby expressly agrees never to initiate against you or others released in this Agreement any administrative proceeding, lawsuit or any other legal or equitable proceeding of any kind asserting any Claims that are released in this Agreement.</w:t>
      </w:r>
    </w:p>
    <w:p>
      <w:pPr>
        <w:spacing w:after="0" w:line="185" w:lineRule="exact"/>
        <w:rPr>
          <w:sz w:val="20"/>
          <w:szCs w:val="20"/>
          <w:color w:val="auto"/>
        </w:rPr>
      </w:pPr>
    </w:p>
    <w:p>
      <w:pPr>
        <w:ind w:right="400" w:firstLine="1297"/>
        <w:spacing w:after="0" w:line="251" w:lineRule="auto"/>
        <w:rPr>
          <w:sz w:val="20"/>
          <w:szCs w:val="20"/>
          <w:color w:val="auto"/>
        </w:rPr>
      </w:pPr>
      <w:r>
        <w:rPr>
          <w:rFonts w:ascii="Arial" w:cs="Arial" w:eastAsia="Arial" w:hAnsi="Arial"/>
          <w:sz w:val="22"/>
          <w:szCs w:val="22"/>
          <w:color w:val="auto"/>
        </w:rPr>
        <w:t>SIX: You hereby represent and agree that you have not assigned or transferred, or attempted to have assigned or transfer, to any person or entity, any of the Claims that you are releasing in this Agreement.</w:t>
      </w:r>
    </w:p>
    <w:p>
      <w:pPr>
        <w:spacing w:after="0" w:line="173" w:lineRule="exact"/>
        <w:rPr>
          <w:sz w:val="20"/>
          <w:szCs w:val="20"/>
          <w:color w:val="auto"/>
        </w:rPr>
      </w:pPr>
    </w:p>
    <w:p>
      <w:pPr>
        <w:ind w:right="180" w:firstLine="1297"/>
        <w:spacing w:after="0" w:line="251" w:lineRule="auto"/>
        <w:rPr>
          <w:sz w:val="20"/>
          <w:szCs w:val="20"/>
          <w:color w:val="auto"/>
        </w:rPr>
      </w:pPr>
      <w:r>
        <w:rPr>
          <w:rFonts w:ascii="Arial" w:cs="Arial" w:eastAsia="Arial" w:hAnsi="Arial"/>
          <w:sz w:val="22"/>
          <w:szCs w:val="22"/>
          <w:color w:val="auto"/>
        </w:rPr>
        <w:t>The Company hereby represents and agrees that it has not assigned or transferred, or attempted to have assigned or transfer, to any person or entity, any of the Claims that it is releasing in this Agreement.</w:t>
      </w:r>
    </w:p>
    <w:p>
      <w:pPr>
        <w:spacing w:after="0" w:line="173" w:lineRule="exact"/>
        <w:rPr>
          <w:sz w:val="20"/>
          <w:szCs w:val="20"/>
          <w:color w:val="auto"/>
        </w:rPr>
      </w:pPr>
    </w:p>
    <w:p>
      <w:pPr>
        <w:ind w:right="400" w:firstLine="1297"/>
        <w:spacing w:after="0" w:line="238" w:lineRule="auto"/>
        <w:rPr>
          <w:sz w:val="20"/>
          <w:szCs w:val="20"/>
          <w:color w:val="auto"/>
        </w:rPr>
      </w:pPr>
      <w:r>
        <w:rPr>
          <w:rFonts w:ascii="Arial" w:cs="Arial" w:eastAsia="Arial" w:hAnsi="Arial"/>
          <w:sz w:val="22"/>
          <w:szCs w:val="22"/>
          <w:color w:val="auto"/>
        </w:rPr>
        <w:t>SEVEN: As a further material inducement to the Company to enter into this Agreement, you hereby agree to indemnify and hold each of the Releasees harmless from all loss, costs, damages, or expenses, including without limitation, attorneys’ fees incurred by the Releasees, arising out of any breach of this Agreement by you or the fact that any representation made in this Agreement by you was false when made.</w:t>
      </w:r>
    </w:p>
    <w:p>
      <w:pPr>
        <w:spacing w:after="0" w:line="185" w:lineRule="exact"/>
        <w:rPr>
          <w:sz w:val="20"/>
          <w:szCs w:val="20"/>
          <w:color w:val="auto"/>
        </w:rPr>
      </w:pPr>
    </w:p>
    <w:p>
      <w:pPr>
        <w:ind w:right="140" w:firstLine="1297"/>
        <w:spacing w:after="0" w:line="238" w:lineRule="auto"/>
        <w:rPr>
          <w:sz w:val="20"/>
          <w:szCs w:val="20"/>
          <w:color w:val="auto"/>
        </w:rPr>
      </w:pPr>
      <w:r>
        <w:rPr>
          <w:rFonts w:ascii="Arial" w:cs="Arial" w:eastAsia="Arial" w:hAnsi="Arial"/>
          <w:sz w:val="22"/>
          <w:szCs w:val="22"/>
          <w:color w:val="auto"/>
        </w:rPr>
        <w:t>As a further material inducement to you to enter into this Agreement, the Company hereby agrees to indemnify and hold each of the Releasees harmless from all loss, costs, damages, or expenses, including without limitation, attorneys’ fees incurred by the Releasees, arising out of any breach of this Agreement by it or the fact that any representation made in this Agreement by it was knowingly false when made.</w:t>
      </w:r>
    </w:p>
    <w:p>
      <w:pPr>
        <w:spacing w:after="0" w:line="185" w:lineRule="exact"/>
        <w:rPr>
          <w:sz w:val="20"/>
          <w:szCs w:val="20"/>
          <w:color w:val="auto"/>
        </w:rPr>
      </w:pPr>
    </w:p>
    <w:p>
      <w:pPr>
        <w:ind w:right="40" w:firstLine="1297"/>
        <w:spacing w:after="0" w:line="251" w:lineRule="auto"/>
        <w:rPr>
          <w:sz w:val="20"/>
          <w:szCs w:val="20"/>
          <w:color w:val="auto"/>
        </w:rPr>
      </w:pPr>
      <w:r>
        <w:rPr>
          <w:rFonts w:ascii="Arial" w:cs="Arial" w:eastAsia="Arial" w:hAnsi="Arial"/>
          <w:sz w:val="22"/>
          <w:szCs w:val="22"/>
          <w:color w:val="auto"/>
        </w:rPr>
        <w:t>EIGHT: You and the Company represent and acknowledge that in executing this Agreement, neither is relying upon any representation or statement not set forth in this Agreement or the Severance Agreement.</w:t>
      </w:r>
    </w:p>
    <w:p>
      <w:pPr>
        <w:spacing w:after="0" w:line="160" w:lineRule="exact"/>
        <w:rPr>
          <w:sz w:val="20"/>
          <w:szCs w:val="20"/>
          <w:color w:val="auto"/>
        </w:rPr>
      </w:pPr>
    </w:p>
    <w:p>
      <w:pPr>
        <w:ind w:right="60" w:firstLine="1297"/>
        <w:spacing w:after="0" w:line="235" w:lineRule="auto"/>
        <w:rPr>
          <w:sz w:val="20"/>
          <w:szCs w:val="20"/>
          <w:color w:val="auto"/>
        </w:rPr>
      </w:pPr>
      <w:r>
        <w:rPr>
          <w:rFonts w:ascii="Arial" w:cs="Arial" w:eastAsia="Arial" w:hAnsi="Arial"/>
          <w:sz w:val="22"/>
          <w:szCs w:val="22"/>
          <w:color w:val="auto"/>
        </w:rPr>
        <w:t>NINE: (a) This Agreement shall not in any way be construed as an admission by the Company that it has acted wrongfully with respect to you or any other person, or that you have any rights whatsoever against the Company, and the Company specifically disclaims any liability to or wrongful acts against you or any other person, on the part of itself, its employees or its agents. This Agreement shall not in any way be construed as an admission by you that you have acted wrongfully with respect to the Company, or that you failed to perform your duties or negligently performed or breached your duties, or that the Company had good cause to terminate your employment.</w:t>
      </w:r>
    </w:p>
    <w:p>
      <w:pPr>
        <w:spacing w:after="0" w:line="188" w:lineRule="exact"/>
        <w:rPr>
          <w:sz w:val="20"/>
          <w:szCs w:val="20"/>
          <w:color w:val="auto"/>
        </w:rPr>
      </w:pPr>
    </w:p>
    <w:p>
      <w:pPr>
        <w:ind w:right="60" w:firstLine="1953"/>
        <w:spacing w:after="0" w:line="279" w:lineRule="auto"/>
        <w:tabs>
          <w:tab w:leader="none" w:pos="2593"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If you are a party or are threatened to be made a party to any proceeding by reason of the fact that you were an officer or director of the Company, the Company shall indemnify you against any expenses (including reasonable attorneys’ fees;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counsel has been approved by the Company prior to retention, which approval shall not be unreasonably withheld), judgments, fines, settlements and other amounts actually or reasonably incurred by you in connection with that proceeding; </w:t>
      </w:r>
      <w:r>
        <w:rPr>
          <w:rFonts w:ascii="Arial" w:cs="Arial" w:eastAsia="Arial" w:hAnsi="Arial"/>
          <w:sz w:val="19"/>
          <w:szCs w:val="19"/>
          <w:i w:val="1"/>
          <w:iCs w:val="1"/>
          <w:color w:val="auto"/>
        </w:rPr>
        <w:t>provided</w:t>
      </w:r>
      <w:r>
        <w:rPr>
          <w:rFonts w:ascii="Arial" w:cs="Arial" w:eastAsia="Arial" w:hAnsi="Arial"/>
          <w:sz w:val="19"/>
          <w:szCs w:val="19"/>
          <w:color w:val="auto"/>
        </w:rPr>
        <w:t>, that you acted in good faith and in a manner you reasonably believed to be in the best interest of the Company. The limitations of California Corporations Code Section 317 shall apply to this assurance of indemnification.</w:t>
      </w:r>
    </w:p>
    <w:p>
      <w:pPr>
        <w:spacing w:after="0" w:line="137" w:lineRule="exact"/>
        <w:rPr>
          <w:rFonts w:ascii="Arial" w:cs="Arial" w:eastAsia="Arial" w:hAnsi="Arial"/>
          <w:sz w:val="19"/>
          <w:szCs w:val="19"/>
          <w:color w:val="auto"/>
        </w:rPr>
      </w:pPr>
    </w:p>
    <w:p>
      <w:pPr>
        <w:ind w:right="100" w:firstLine="1953"/>
        <w:spacing w:after="0" w:line="282" w:lineRule="auto"/>
        <w:tabs>
          <w:tab w:leader="none" w:pos="2593" w:val="left"/>
        </w:tabs>
        <w:numPr>
          <w:ilvl w:val="0"/>
          <w:numId w:val="153"/>
        </w:numPr>
        <w:rPr>
          <w:rFonts w:ascii="Arial" w:cs="Arial" w:eastAsia="Arial" w:hAnsi="Arial"/>
          <w:sz w:val="19"/>
          <w:szCs w:val="19"/>
          <w:color w:val="auto"/>
        </w:rPr>
      </w:pPr>
      <w:r>
        <w:rPr>
          <w:rFonts w:ascii="Arial" w:cs="Arial" w:eastAsia="Arial" w:hAnsi="Arial"/>
          <w:sz w:val="19"/>
          <w:szCs w:val="19"/>
          <w:color w:val="auto"/>
        </w:rPr>
        <w:t>You agree to cooperate with the Company and its designated attorneys, representatives and agents in connection with any actual or threatened judicial, administrative or other legal or equitable proceeding in which the Company is or may become involved. Upon reasonable notice, you agree to meet with and provide to the Company or its designated attorneys, representatives or agents all information and knowledge you have relating to the subject matter of any such proceeding. The Company agrees to reimburse you for any reasonable costs you incur in providing such cooperation.</w:t>
      </w:r>
    </w:p>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TEN: This Agreement is entered into in California and shall be governed by substantive California law, except as provided in this section. If any dispute arises between you and the Company, including but not limited to, disputes relating to this Agreement, or if you prosecute a claim you purported to release by means of this Agreement (“Arbitrable Dispute”), you and the Company agree to resolve that Arbitrable Dispute through final and binding arbitration under this section. You also agree to arbitrate any Arbitrable Dispute which also involves any other released party who offers or agrees to arbitrate the dispute under this section. Your agreement to arbitrate applies, for example, to disputes about the validity, interpretation, or effect of this Agreement or alleged violations of it, claims of discrimination under federal or state law, or other statutory violation claims.</w:t>
      </w:r>
    </w:p>
    <w:p>
      <w:pPr>
        <w:spacing w:after="0" w:line="45" w:lineRule="exact"/>
        <w:rPr>
          <w:sz w:val="20"/>
          <w:szCs w:val="20"/>
          <w:color w:val="auto"/>
        </w:rPr>
      </w:pPr>
    </w:p>
    <w:p>
      <w:pPr>
        <w:ind w:right="300" w:firstLine="648"/>
        <w:spacing w:after="0" w:line="238" w:lineRule="auto"/>
        <w:rPr>
          <w:sz w:val="20"/>
          <w:szCs w:val="20"/>
          <w:color w:val="auto"/>
        </w:rPr>
      </w:pPr>
      <w:r>
        <w:rPr>
          <w:rFonts w:ascii="Arial" w:cs="Arial" w:eastAsia="Arial" w:hAnsi="Arial"/>
          <w:sz w:val="22"/>
          <w:szCs w:val="22"/>
          <w:color w:val="auto"/>
        </w:rPr>
        <w:t>As to any Arbitrable Dispute, you and the Company waive any right to a jury trial or a court bench trial. You and the Company also waive the right to bring, maintain, or participate in any class, collective, or representative proceeding, whether in arbitration or otherwise. Further, Arbitrable Disputes must be brought in the individual capacity of the party asserting the claim, and cannot be maintained on a class, collective, or representative basis.</w:t>
      </w:r>
    </w:p>
    <w:p>
      <w:pPr>
        <w:spacing w:after="0" w:line="77"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Arbitration shall take place in San Diego, California under the employment dispute resolution rules of the Judicial Arbitration and Mediation Service (“JAMS”), (or, if you are employed outside of California at the time of the termination of your</w:t>
      </w:r>
    </w:p>
    <w:p>
      <w:pPr>
        <w:sectPr>
          <w:pgSz w:w="11900" w:h="16852" w:orient="portrait"/>
          <w:cols w:equalWidth="0" w:num="1">
            <w:col w:w="11420"/>
          </w:cols>
          <w:pgMar w:left="240" w:top="118" w:right="239" w:bottom="0" w:gutter="0" w:footer="0" w:header="0"/>
        </w:sectPr>
      </w:pPr>
    </w:p>
    <w:bookmarkStart w:id="110" w:name="page111"/>
    <w:bookmarkEnd w:id="110"/>
    <w:p>
      <w:pPr>
        <w:jc w:val="both"/>
        <w:spacing w:after="0" w:line="272" w:lineRule="auto"/>
        <w:rPr>
          <w:sz w:val="20"/>
          <w:szCs w:val="20"/>
          <w:color w:val="auto"/>
        </w:rPr>
      </w:pPr>
      <w:r>
        <w:rPr>
          <w:rFonts w:ascii="Arial" w:cs="Arial" w:eastAsia="Arial" w:hAnsi="Arial"/>
          <w:sz w:val="19"/>
          <w:szCs w:val="19"/>
          <w:color w:val="auto"/>
        </w:rPr>
        <w:t>employment, at the nearest location of the American Arbitration Association and in accordance with the AAA rules), before an experienced employment arbitrator selected in accordance with those rules. The arbitrator may not modify or change this Agreement in any way. The Company will be responsible for paying any filing fee and the fees and costs of the Arbitrator; provided, however, that if you are the party initiating the claim, you will contribute an amount equal to the filing fee to initiate a claim in the court of general jurisdiction in the state in which you are employed by the Company. Each party shall pay for its own costs and attorneys’ fees, if any. However if any party prevails on a statutory claim which affords the prevailing party attorneys’ fees and costs, or if there is a written agreement providing for attorneys’ fees and/or costs, the Arbitrator may award reasonable attorney’s fees and/or costs to the prevailing party, applying the same standards a court would apply under the law applicable to the claim. The Arbitrator shall apply the Federal Rules of Evidence and shall have the authority to entertain a motion to dismiss or a motion for summary judgment by any party and shall apply the standards governing such motions under the Federal Rules of Civil Procedure. The Federal Arbitration Act shall govern the arbitration and shall govern the interpretation or enforcement of this section or any arbitration award. The arbitrator will not have the authority to consider, certify, or hear an arbitration as a class action, collective action, or any other type of representative action.</w:t>
      </w:r>
    </w:p>
    <w:p>
      <w:pPr>
        <w:spacing w:after="0" w:line="29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To the extent that the Federal Arbitration Act is inapplicable, California law pertaining to arbitration agreements shall apply. Arbitration in this manner shall be the exclusive remedy for any Arbitrable Dispute. Except as prohibited by the ADEA, should you or the Company attempt to resolve an Arbitrable Dispute by any method other than arbitration pursuant to this section, the responding party will be entitled to recover from the initiating party all damages, expenses, and attorneys’ fees incurred as a result of this breach. This Section TEN supersedes any existing arbitration agreement between the Company and me as to any Arbitrable Dispute. Notwithstanding anything in this Section TEN to the contrary, a claim for benefits under an ERISA-covered plan shall not be an Arbitrable Dispute.</w:t>
      </w:r>
    </w:p>
    <w:p>
      <w:pPr>
        <w:spacing w:after="0" w:line="57" w:lineRule="exact"/>
        <w:rPr>
          <w:sz w:val="20"/>
          <w:szCs w:val="20"/>
          <w:color w:val="auto"/>
        </w:rPr>
      </w:pPr>
    </w:p>
    <w:p>
      <w:pPr>
        <w:ind w:right="80" w:firstLine="1297"/>
        <w:spacing w:after="0" w:line="272" w:lineRule="auto"/>
        <w:rPr>
          <w:sz w:val="20"/>
          <w:szCs w:val="20"/>
          <w:color w:val="auto"/>
        </w:rPr>
      </w:pPr>
      <w:r>
        <w:rPr>
          <w:rFonts w:ascii="Arial" w:cs="Arial" w:eastAsia="Arial" w:hAnsi="Arial"/>
          <w:sz w:val="19"/>
          <w:szCs w:val="19"/>
          <w:color w:val="auto"/>
        </w:rPr>
        <w:t>ELEVEN: Both you and the Company understand that this Agreement is final and binding eight (8) days after its execution and return. Should you nevertheless attempt to challenge the enforceability of this Agreement as provided in Paragraph TEN or, in violation of that Paragraph, through litigation, as a further limitation on any right to make such a challenge, you shall initially tender to the Company, by certified check delivered to the Company, all monies received pursuant to Sections 4 or 5 of the Severance Pay Agreement, as applicable, plus interest, and invite the Company to retain such monies and agree with you to cancel this Agreement and void the Company’s obligations under Section 14(d) of the Severance Pay Agreement. In the event the Company accepts this offer, the Company shall retain such monies and this Agreement shall be canceled and the Company shall have no obligation under the Severance Pay Agreement. In the event the Company does not accept such offer, the Company shall so notify you and shall place such monies in an interest-bearing escrow account pending resolution of the dispute between you and the Company as to whether or not this Agreement and the Company’s obligations under the Severance Pay Agreement shall be set aside and/or otherwise rendered voidable or unenforceable. Additionally, any consulting agreement then in effect between you and the Company shall be immediately rescinded with no requirement of notice.</w:t>
      </w:r>
    </w:p>
    <w:p>
      <w:pPr>
        <w:spacing w:after="0" w:line="162" w:lineRule="exact"/>
        <w:rPr>
          <w:sz w:val="20"/>
          <w:szCs w:val="20"/>
          <w:color w:val="auto"/>
        </w:rPr>
      </w:pPr>
    </w:p>
    <w:p>
      <w:pPr>
        <w:ind w:right="360" w:firstLine="1297"/>
        <w:spacing w:after="0" w:line="251" w:lineRule="auto"/>
        <w:rPr>
          <w:sz w:val="20"/>
          <w:szCs w:val="20"/>
          <w:color w:val="auto"/>
        </w:rPr>
      </w:pPr>
      <w:r>
        <w:rPr>
          <w:rFonts w:ascii="Arial" w:cs="Arial" w:eastAsia="Arial" w:hAnsi="Arial"/>
          <w:sz w:val="22"/>
          <w:szCs w:val="22"/>
          <w:color w:val="auto"/>
        </w:rPr>
        <w:t>TWELVE: Any notices required to be given under this Agreement shall be delivered either personally or by first class United States mail, postage prepaid, addressed to the respective parties as follows:</w:t>
      </w:r>
    </w:p>
    <w:p>
      <w:pPr>
        <w:spacing w:after="0" w:line="160"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22"/>
          <w:szCs w:val="22"/>
          <w:color w:val="auto"/>
        </w:rPr>
        <w:t>To Company:</w:t>
      </w:r>
      <w:r>
        <w:rPr>
          <w:sz w:val="20"/>
          <w:szCs w:val="20"/>
          <w:color w:val="auto"/>
        </w:rPr>
        <w:tab/>
      </w:r>
      <w:r>
        <w:rPr>
          <w:rFonts w:ascii="Arial" w:cs="Arial" w:eastAsia="Arial" w:hAnsi="Arial"/>
          <w:sz w:val="21"/>
          <w:szCs w:val="21"/>
          <w:color w:val="auto"/>
        </w:rPr>
        <w:t>[TO COME]</w:t>
      </w:r>
    </w:p>
    <w:p>
      <w:pPr>
        <w:spacing w:after="0" w:line="206"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Attn: [TO COME]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You:</w:t>
      </w:r>
    </w:p>
    <w:p>
      <w:pPr>
        <w:spacing w:after="0" w:line="206"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______________________</w:t>
      </w:r>
    </w:p>
    <w:p>
      <w:pPr>
        <w:spacing w:after="0" w:line="206"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______________________</w:t>
      </w:r>
    </w:p>
    <w:p>
      <w:pPr>
        <w:spacing w:after="0" w:line="206"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______________________</w:t>
      </w:r>
    </w:p>
    <w:p>
      <w:pPr>
        <w:spacing w:after="0" w:line="206" w:lineRule="exact"/>
        <w:rPr>
          <w:sz w:val="20"/>
          <w:szCs w:val="20"/>
          <w:color w:val="auto"/>
        </w:rPr>
      </w:pPr>
    </w:p>
    <w:p>
      <w:pPr>
        <w:ind w:right="60" w:firstLine="1297"/>
        <w:spacing w:after="0" w:line="275" w:lineRule="auto"/>
        <w:rPr>
          <w:sz w:val="20"/>
          <w:szCs w:val="20"/>
          <w:color w:val="auto"/>
        </w:rPr>
      </w:pPr>
      <w:r>
        <w:rPr>
          <w:rFonts w:ascii="Arial" w:cs="Arial" w:eastAsia="Arial" w:hAnsi="Arial"/>
          <w:sz w:val="19"/>
          <w:szCs w:val="19"/>
          <w:color w:val="auto"/>
        </w:rPr>
        <w:t>THIRTEEN: You understand and acknowledge that you have been given a period of forty-five (45) days to review and consider this Agreement (as well as statistical data on the persons eligible for similar benefits) before signing it and may use as much of this forty-five (45) day period as you wish prior to signing. You are encouraged, at your personal expense, to consult with an attorney before signing this Agreement. You understand and acknowledge that whether or not you do so is your decision. You may revoke this Agreement within seven (7) days of signing it. If you wish to revoke, the Company’s Vice President, Human Resources must receive written notice from you no later than the close of business on the seventh (7th) day after you have signed the Agreement. If revoked, this Agreement shall not be effective and enforceable, and you will not receive payments or benefits under Sections 4 or 5, and Section 14 of the Severance Pay Agreement, as applicable.</w:t>
      </w:r>
    </w:p>
    <w:p>
      <w:pPr>
        <w:spacing w:after="0" w:line="158" w:lineRule="exact"/>
        <w:rPr>
          <w:sz w:val="20"/>
          <w:szCs w:val="20"/>
          <w:color w:val="auto"/>
        </w:rPr>
      </w:pPr>
    </w:p>
    <w:p>
      <w:pPr>
        <w:ind w:firstLine="1297"/>
        <w:spacing w:after="0" w:line="297" w:lineRule="auto"/>
        <w:rPr>
          <w:sz w:val="20"/>
          <w:szCs w:val="20"/>
          <w:color w:val="auto"/>
        </w:rPr>
      </w:pPr>
      <w:r>
        <w:rPr>
          <w:rFonts w:ascii="Arial" w:cs="Arial" w:eastAsia="Arial" w:hAnsi="Arial"/>
          <w:sz w:val="19"/>
          <w:szCs w:val="19"/>
          <w:color w:val="auto"/>
        </w:rPr>
        <w:t>FOURTEEN: This Agreement constitutes the entire agreement of the parties hereto and supersedes any and all other agreements (except the Severance Pay Agreement) with respect to the subject matter of this Agreement, whether written or oral, between you and the Company. All modifications and amendments to this Agreement must be in writing and signed by the parties.</w:t>
      </w:r>
    </w:p>
    <w:p>
      <w:pPr>
        <w:spacing w:after="0" w:line="134" w:lineRule="exact"/>
        <w:rPr>
          <w:sz w:val="20"/>
          <w:szCs w:val="20"/>
          <w:color w:val="auto"/>
        </w:rPr>
      </w:pPr>
    </w:p>
    <w:p>
      <w:pPr>
        <w:ind w:right="20" w:firstLine="1297"/>
        <w:spacing w:after="0" w:line="328" w:lineRule="auto"/>
        <w:rPr>
          <w:sz w:val="20"/>
          <w:szCs w:val="20"/>
          <w:color w:val="auto"/>
        </w:rPr>
      </w:pPr>
      <w:r>
        <w:rPr>
          <w:rFonts w:ascii="Arial" w:cs="Arial" w:eastAsia="Arial" w:hAnsi="Arial"/>
          <w:sz w:val="19"/>
          <w:szCs w:val="19"/>
          <w:color w:val="auto"/>
        </w:rPr>
        <w:t>FIFTEEN: Each party agrees, without further consideration, to sign or cause to be signed, and to deliver to the other party, any other documents and to take any other action as may be necessary to fulfill the obligations under this Agreement.</w:t>
      </w:r>
    </w:p>
    <w:p>
      <w:pPr>
        <w:spacing w:after="0" w:line="105" w:lineRule="exact"/>
        <w:rPr>
          <w:sz w:val="20"/>
          <w:szCs w:val="20"/>
          <w:color w:val="auto"/>
        </w:rPr>
      </w:pPr>
    </w:p>
    <w:p>
      <w:pPr>
        <w:ind w:right="360" w:firstLine="1297"/>
        <w:spacing w:after="0"/>
        <w:rPr>
          <w:sz w:val="20"/>
          <w:szCs w:val="20"/>
          <w:color w:val="auto"/>
        </w:rPr>
      </w:pPr>
      <w:r>
        <w:rPr>
          <w:rFonts w:ascii="Arial" w:cs="Arial" w:eastAsia="Arial" w:hAnsi="Arial"/>
          <w:sz w:val="22"/>
          <w:szCs w:val="22"/>
          <w:color w:val="auto"/>
        </w:rPr>
        <w:t>SIXTEEN: If any provision of this Agreement or the application thereof is held invalid, the invalidity shall not affect other provisions or applications of the Agreement which can be given effect without the invalid provisions or application; and to this end the provisions of this Agreement are declared to be severable.</w:t>
      </w:r>
    </w:p>
    <w:p>
      <w:pPr>
        <w:sectPr>
          <w:pgSz w:w="11900" w:h="16838" w:orient="portrait"/>
          <w:cols w:equalWidth="0" w:num="1">
            <w:col w:w="11420"/>
          </w:cols>
          <w:pgMar w:left="240" w:top="118" w:right="239" w:bottom="0" w:gutter="0" w:footer="0" w:header="0"/>
        </w:sectPr>
      </w:pPr>
    </w:p>
    <w:bookmarkStart w:id="111" w:name="page112"/>
    <w:bookmarkEnd w:id="111"/>
    <w:p>
      <w:pPr>
        <w:ind w:left="1300"/>
        <w:spacing w:after="0"/>
        <w:rPr>
          <w:sz w:val="20"/>
          <w:szCs w:val="20"/>
          <w:color w:val="auto"/>
        </w:rPr>
      </w:pPr>
      <w:r>
        <w:rPr>
          <w:rFonts w:ascii="Arial" w:cs="Arial" w:eastAsia="Arial" w:hAnsi="Arial"/>
          <w:sz w:val="22"/>
          <w:szCs w:val="22"/>
          <w:color w:val="auto"/>
        </w:rPr>
        <w:t>SEVENTEEN: This Agreement may be executed in counterparts.</w:t>
      </w:r>
    </w:p>
    <w:p>
      <w:pPr>
        <w:spacing w:after="0" w:line="207" w:lineRule="exact"/>
        <w:rPr>
          <w:sz w:val="20"/>
          <w:szCs w:val="20"/>
          <w:color w:val="auto"/>
        </w:rPr>
      </w:pPr>
    </w:p>
    <w:p>
      <w:pPr>
        <w:ind w:firstLine="1297"/>
        <w:spacing w:after="0" w:line="328" w:lineRule="auto"/>
        <w:rPr>
          <w:sz w:val="20"/>
          <w:szCs w:val="20"/>
          <w:color w:val="auto"/>
        </w:rPr>
      </w:pPr>
      <w:r>
        <w:rPr>
          <w:rFonts w:ascii="Arial" w:cs="Arial" w:eastAsia="Arial" w:hAnsi="Arial"/>
          <w:sz w:val="19"/>
          <w:szCs w:val="19"/>
          <w:color w:val="auto"/>
        </w:rPr>
        <w:t>I have read the foregoing General Release, and I accept and agree to the provisions it contains and hereby execute it voluntarily and with full understanding of its consequences. I am aware it includes a release of all known or unknown claims.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w:t>
      </w: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__________________________________________</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w:t>
      </w: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__________________________________________</w:t>
      </w:r>
    </w:p>
    <w:p>
      <w:pPr>
        <w:spacing w:after="0" w:line="20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You acknowledge that you first received this Agreement on [date].</w:t>
      </w:r>
    </w:p>
    <w:p>
      <w:pPr>
        <w:spacing w:after="0" w:line="20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320"/>
          </w:cols>
          <w:pgMar w:left="240" w:top="118"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5"/>
          <w:szCs w:val="25"/>
          <w:b w:val="1"/>
          <w:bCs w:val="1"/>
          <w:color w:val="auto"/>
        </w:rPr>
        <w:t>Exhibit 10.3</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SEMPRA ENERGY</w:t>
      </w:r>
    </w:p>
    <w:p>
      <w:pPr>
        <w:jc w:val="center"/>
        <w:spacing w:after="0"/>
        <w:rPr>
          <w:sz w:val="20"/>
          <w:szCs w:val="20"/>
          <w:color w:val="auto"/>
        </w:rPr>
      </w:pPr>
      <w:r>
        <w:rPr>
          <w:rFonts w:ascii="Arial" w:cs="Arial" w:eastAsia="Arial" w:hAnsi="Arial"/>
          <w:sz w:val="22"/>
          <w:szCs w:val="22"/>
          <w:b w:val="1"/>
          <w:bCs w:val="1"/>
          <w:color w:val="auto"/>
        </w:rPr>
        <w:t>SEVERANCE PAY AGREEMENT</w:t>
      </w:r>
    </w:p>
    <w:p>
      <w:pPr>
        <w:spacing w:after="0" w:line="182" w:lineRule="exact"/>
        <w:rPr>
          <w:sz w:val="20"/>
          <w:szCs w:val="20"/>
          <w:color w:val="auto"/>
        </w:rPr>
      </w:pPr>
    </w:p>
    <w:p>
      <w:pPr>
        <w:ind w:right="360" w:firstLine="1297"/>
        <w:spacing w:after="0" w:line="280" w:lineRule="auto"/>
        <w:rPr>
          <w:sz w:val="20"/>
          <w:szCs w:val="20"/>
          <w:color w:val="auto"/>
        </w:rPr>
      </w:pPr>
      <w:r>
        <w:rPr>
          <w:rFonts w:ascii="Arial" w:cs="Arial" w:eastAsia="Arial" w:hAnsi="Arial"/>
          <w:sz w:val="21"/>
          <w:szCs w:val="21"/>
          <w:b w:val="1"/>
          <w:bCs w:val="1"/>
          <w:color w:val="auto"/>
        </w:rPr>
        <w:t xml:space="preserve">THIS AGREEMENT </w:t>
      </w:r>
      <w:r>
        <w:rPr>
          <w:rFonts w:ascii="Arial" w:cs="Arial" w:eastAsia="Arial" w:hAnsi="Arial"/>
          <w:sz w:val="21"/>
          <w:szCs w:val="21"/>
          <w:color w:val="auto"/>
        </w:rPr>
        <w:t>(this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 February 18, 2013 (the “</w:t>
      </w:r>
      <w:r>
        <w:rPr>
          <w:rFonts w:ascii="Arial" w:cs="Arial" w:eastAsia="Arial" w:hAnsi="Arial"/>
          <w:sz w:val="21"/>
          <w:szCs w:val="21"/>
          <w:u w:val="single" w:color="auto"/>
          <w:color w:val="auto"/>
        </w:rPr>
        <w:t>Effective Date</w:t>
      </w:r>
      <w:r>
        <w:rPr>
          <w:rFonts w:ascii="Arial" w:cs="Arial" w:eastAsia="Arial" w:hAnsi="Arial"/>
          <w:sz w:val="21"/>
          <w:szCs w:val="21"/>
          <w:color w:val="auto"/>
        </w:rPr>
        <w:t>”), is made by and</w:t>
      </w:r>
      <w:r>
        <w:rPr>
          <w:rFonts w:ascii="Arial" w:cs="Arial" w:eastAsia="Arial" w:hAnsi="Arial"/>
          <w:sz w:val="21"/>
          <w:szCs w:val="21"/>
          <w:b w:val="1"/>
          <w:bCs w:val="1"/>
          <w:color w:val="auto"/>
        </w:rPr>
        <w:t xml:space="preserve"> </w:t>
      </w:r>
      <w:r>
        <w:rPr>
          <w:rFonts w:ascii="Arial" w:cs="Arial" w:eastAsia="Arial" w:hAnsi="Arial"/>
          <w:sz w:val="21"/>
          <w:szCs w:val="21"/>
          <w:color w:val="auto"/>
        </w:rPr>
        <w:t>between SEMPRA ENERGY, a California corporation (“</w:t>
      </w:r>
      <w:r>
        <w:rPr>
          <w:rFonts w:ascii="Arial" w:cs="Arial" w:eastAsia="Arial" w:hAnsi="Arial"/>
          <w:sz w:val="21"/>
          <w:szCs w:val="21"/>
          <w:u w:val="single" w:color="auto"/>
          <w:color w:val="auto"/>
        </w:rPr>
        <w:t>Sempra Energy</w:t>
      </w:r>
      <w:r>
        <w:rPr>
          <w:rFonts w:ascii="Arial" w:cs="Arial" w:eastAsia="Arial" w:hAnsi="Arial"/>
          <w:sz w:val="21"/>
          <w:szCs w:val="21"/>
          <w:color w:val="auto"/>
        </w:rPr>
        <w:t>”), and Lee Schavrien (the “</w:t>
      </w:r>
      <w:r>
        <w:rPr>
          <w:rFonts w:ascii="Arial" w:cs="Arial" w:eastAsia="Arial" w:hAnsi="Arial"/>
          <w:sz w:val="21"/>
          <w:szCs w:val="21"/>
          <w:u w:val="single" w:color="auto"/>
          <w:color w:val="auto"/>
        </w:rPr>
        <w:t>Executive</w:t>
      </w:r>
      <w:r>
        <w:rPr>
          <w:rFonts w:ascii="Arial" w:cs="Arial" w:eastAsia="Arial" w:hAnsi="Arial"/>
          <w:sz w:val="21"/>
          <w:szCs w:val="21"/>
          <w:color w:val="auto"/>
        </w:rPr>
        <w:t>”).</w:t>
      </w:r>
    </w:p>
    <w:p>
      <w:pPr>
        <w:spacing w:after="0" w:line="139" w:lineRule="exact"/>
        <w:rPr>
          <w:sz w:val="20"/>
          <w:szCs w:val="20"/>
          <w:color w:val="auto"/>
        </w:rPr>
      </w:pPr>
    </w:p>
    <w:p>
      <w:pPr>
        <w:jc w:val="both"/>
        <w:ind w:right="300" w:firstLine="1297"/>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Executive is currently employed by Sempra Energy or a direct or indirect subsidiary of Sempra</w:t>
      </w:r>
      <w:r>
        <w:rPr>
          <w:rFonts w:ascii="Arial" w:cs="Arial" w:eastAsia="Arial" w:hAnsi="Arial"/>
          <w:sz w:val="22"/>
          <w:szCs w:val="22"/>
          <w:b w:val="1"/>
          <w:bCs w:val="1"/>
          <w:color w:val="auto"/>
        </w:rPr>
        <w:t xml:space="preserve"> </w:t>
      </w:r>
      <w:r>
        <w:rPr>
          <w:rFonts w:ascii="Arial" w:cs="Arial" w:eastAsia="Arial" w:hAnsi="Arial"/>
          <w:sz w:val="22"/>
          <w:szCs w:val="22"/>
          <w:color w:val="auto"/>
        </w:rPr>
        <w:t>Energy (Sempra Energy and its subsidiaries are hereinafter collectively referred to as the “</w:t>
      </w:r>
      <w:r>
        <w:rPr>
          <w:rFonts w:ascii="Arial" w:cs="Arial" w:eastAsia="Arial" w:hAnsi="Arial"/>
          <w:sz w:val="22"/>
          <w:szCs w:val="22"/>
          <w:u w:val="single" w:color="auto"/>
          <w:color w:val="auto"/>
        </w:rPr>
        <w:t>Company</w:t>
      </w:r>
      <w:r>
        <w:rPr>
          <w:rFonts w:ascii="Arial" w:cs="Arial" w:eastAsia="Arial" w:hAnsi="Arial"/>
          <w:sz w:val="22"/>
          <w:szCs w:val="22"/>
          <w:color w:val="auto"/>
        </w:rPr>
        <w:t>”) as Senior Vice President, Financial Regulatory and Legislative Affairs; and</w:t>
      </w:r>
    </w:p>
    <w:p>
      <w:pPr>
        <w:spacing w:after="0" w:line="177" w:lineRule="exact"/>
        <w:rPr>
          <w:sz w:val="20"/>
          <w:szCs w:val="20"/>
          <w:color w:val="auto"/>
        </w:rPr>
      </w:pPr>
    </w:p>
    <w:p>
      <w:pPr>
        <w:ind w:left="1300" w:right="1360"/>
        <w:spacing w:after="0" w:line="504"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Sempra Energy and the Executive desire to enter into this Agreement; and</w:t>
      </w:r>
      <w:r>
        <w:rPr>
          <w:rFonts w:ascii="Arial" w:cs="Arial" w:eastAsia="Arial" w:hAnsi="Arial"/>
          <w:sz w:val="19"/>
          <w:szCs w:val="19"/>
          <w:b w:val="1"/>
          <w:bCs w:val="1"/>
          <w:color w:val="auto"/>
        </w:rPr>
        <w:t xml:space="preserve"> WHEREAS</w:t>
      </w:r>
      <w:r>
        <w:rPr>
          <w:rFonts w:ascii="Arial" w:cs="Arial" w:eastAsia="Arial" w:hAnsi="Arial"/>
          <w:sz w:val="19"/>
          <w:szCs w:val="19"/>
          <w:color w:val="auto"/>
        </w:rPr>
        <w:t>, the Board of Directors of Sempra Energy (the “</w:t>
      </w:r>
      <w:r>
        <w:rPr>
          <w:rFonts w:ascii="Arial" w:cs="Arial" w:eastAsia="Arial" w:hAnsi="Arial"/>
          <w:sz w:val="19"/>
          <w:szCs w:val="19"/>
          <w:u w:val="single" w:color="auto"/>
          <w:color w:val="auto"/>
        </w:rPr>
        <w:t>Board</w:t>
      </w:r>
      <w:r>
        <w:rPr>
          <w:rFonts w:ascii="Arial" w:cs="Arial" w:eastAsia="Arial" w:hAnsi="Arial"/>
          <w:sz w:val="19"/>
          <w:szCs w:val="19"/>
          <w:color w:val="auto"/>
        </w:rPr>
        <w:t>”) has authorized this Agreement.</w:t>
      </w:r>
    </w:p>
    <w:p>
      <w:pPr>
        <w:spacing w:after="0" w:line="1" w:lineRule="exact"/>
        <w:rPr>
          <w:sz w:val="20"/>
          <w:szCs w:val="20"/>
          <w:color w:val="auto"/>
        </w:rPr>
      </w:pPr>
    </w:p>
    <w:p>
      <w:pPr>
        <w:ind w:right="200" w:firstLine="1297"/>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mutual covenants herein contained, the Company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Executive hereby agree as follows:</w:t>
      </w:r>
    </w:p>
    <w:p>
      <w:pPr>
        <w:spacing w:after="0" w:line="15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this Agreement, the following capitalized terms have the meanings set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forth below:</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Accounting Firm</w:t>
      </w:r>
      <w:r>
        <w:rPr>
          <w:rFonts w:ascii="Arial" w:cs="Arial" w:eastAsia="Arial" w:hAnsi="Arial"/>
          <w:sz w:val="22"/>
          <w:szCs w:val="22"/>
          <w:color w:val="auto"/>
        </w:rPr>
        <w:t>” has the meaning assigned thereto in Section 8(d) hereof.</w:t>
      </w:r>
    </w:p>
    <w:p>
      <w:pPr>
        <w:spacing w:after="0" w:line="206" w:lineRule="exact"/>
        <w:rPr>
          <w:sz w:val="20"/>
          <w:szCs w:val="20"/>
          <w:color w:val="auto"/>
        </w:rPr>
      </w:pPr>
    </w:p>
    <w:p>
      <w:pPr>
        <w:ind w:right="140" w:firstLine="12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Accrued Obligations</w:t>
      </w:r>
      <w:r>
        <w:rPr>
          <w:rFonts w:ascii="Arial" w:cs="Arial" w:eastAsia="Arial" w:hAnsi="Arial"/>
          <w:sz w:val="22"/>
          <w:szCs w:val="22"/>
          <w:color w:val="auto"/>
        </w:rPr>
        <w:t>” means the sum of (A) the Executive’s Annual Base Salary through the Date of Termination to the extent not theretofore paid, (B) an amount equal to any annual Incentive Compensation Awards earned with respect to fiscal years ended prior to the year that includes the Date of Termination to the extent not theretofore paid, (C) any accrued and unpaid vacation, if any, and (D) reimbursement for unreimbursed business expenses, if any, properly incurred by the Executive in the performance of his duties in accordance with policies established from time to time by the Board, in each case to the extent not theretofore paid.</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has the meaning set forth in Rule 12b-2 promulgated under the Exchange Act.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Base Salary</w:t>
      </w:r>
      <w:r>
        <w:rPr>
          <w:rFonts w:ascii="Arial" w:cs="Arial" w:eastAsia="Arial" w:hAnsi="Arial"/>
          <w:sz w:val="22"/>
          <w:szCs w:val="22"/>
          <w:color w:val="auto"/>
        </w:rPr>
        <w:t>” means the Executive’s annual base salary from the Company.</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Purchaser</w:t>
      </w:r>
      <w:r>
        <w:rPr>
          <w:rFonts w:ascii="Arial" w:cs="Arial" w:eastAsia="Arial" w:hAnsi="Arial"/>
          <w:sz w:val="22"/>
          <w:szCs w:val="22"/>
          <w:color w:val="auto"/>
        </w:rPr>
        <w:t>” has the meaning assigned thereto in Section 16(e).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Sale</w:t>
      </w:r>
      <w:r>
        <w:rPr>
          <w:rFonts w:ascii="Arial" w:cs="Arial" w:eastAsia="Arial" w:hAnsi="Arial"/>
          <w:sz w:val="22"/>
          <w:szCs w:val="22"/>
          <w:color w:val="auto"/>
        </w:rPr>
        <w:t>” has the meaning assigned thereto in Section 16(e).</w:t>
      </w:r>
    </w:p>
    <w:p>
      <w:pPr>
        <w:spacing w:after="0" w:line="206" w:lineRule="exact"/>
        <w:rPr>
          <w:sz w:val="20"/>
          <w:szCs w:val="20"/>
          <w:color w:val="auto"/>
        </w:rPr>
      </w:pPr>
    </w:p>
    <w:p>
      <w:pPr>
        <w:ind w:right="60" w:firstLine="129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Average Annual Bonus</w:t>
      </w:r>
      <w:r>
        <w:rPr>
          <w:rFonts w:ascii="Arial" w:cs="Arial" w:eastAsia="Arial" w:hAnsi="Arial"/>
          <w:sz w:val="19"/>
          <w:szCs w:val="19"/>
          <w:color w:val="auto"/>
        </w:rPr>
        <w:t>” means the average of the annual bonuses from the Company earned by the Executive with respect to the three (3) fiscal years of the Company immediately preceding the Date of Termination (the “</w:t>
      </w:r>
      <w:r>
        <w:rPr>
          <w:rFonts w:ascii="Arial" w:cs="Arial" w:eastAsia="Arial" w:hAnsi="Arial"/>
          <w:sz w:val="19"/>
          <w:szCs w:val="19"/>
          <w:u w:val="single" w:color="auto"/>
          <w:color w:val="auto"/>
        </w:rPr>
        <w:t>Bonus Fiscal Years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if the Executive was employed by the Company for less than three (3) Bonus Fiscal Years, “</w:t>
      </w:r>
      <w:r>
        <w:rPr>
          <w:rFonts w:ascii="Arial" w:cs="Arial" w:eastAsia="Arial" w:hAnsi="Arial"/>
          <w:sz w:val="19"/>
          <w:szCs w:val="19"/>
          <w:u w:val="single" w:color="auto"/>
          <w:color w:val="auto"/>
        </w:rPr>
        <w:t>Average</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Annual Bonus</w:t>
      </w:r>
      <w:r>
        <w:rPr>
          <w:rFonts w:ascii="Arial" w:cs="Arial" w:eastAsia="Arial" w:hAnsi="Arial"/>
          <w:sz w:val="19"/>
          <w:szCs w:val="19"/>
          <w:color w:val="auto"/>
        </w:rPr>
        <w:t xml:space="preserve">” means the average of the annual bonuses (if any) from the Company earned by the Executive with respect to the Bonus Fiscal Years during which the Executive was employed by the Company;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if the Executive was not employed by the Company during any of the Bonus Fiscal Years, “</w:t>
      </w:r>
      <w:r>
        <w:rPr>
          <w:rFonts w:ascii="Arial" w:cs="Arial" w:eastAsia="Arial" w:hAnsi="Arial"/>
          <w:sz w:val="19"/>
          <w:szCs w:val="19"/>
          <w:u w:val="single" w:color="auto"/>
          <w:color w:val="auto"/>
        </w:rPr>
        <w:t>Average Annual Bonus</w:t>
      </w:r>
      <w:r>
        <w:rPr>
          <w:rFonts w:ascii="Arial" w:cs="Arial" w:eastAsia="Arial" w:hAnsi="Arial"/>
          <w:sz w:val="19"/>
          <w:szCs w:val="19"/>
          <w:color w:val="auto"/>
        </w:rPr>
        <w:t>” means zero.</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means:</w:t>
      </w:r>
    </w:p>
    <w:p>
      <w:pPr>
        <w:spacing w:after="0" w:line="206" w:lineRule="exact"/>
        <w:rPr>
          <w:sz w:val="20"/>
          <w:szCs w:val="20"/>
          <w:color w:val="auto"/>
        </w:rPr>
      </w:pPr>
    </w:p>
    <w:p>
      <w:pPr>
        <w:ind w:right="20" w:firstLine="1305"/>
        <w:spacing w:after="0" w:line="276" w:lineRule="auto"/>
        <w:tabs>
          <w:tab w:leader="none" w:pos="1945" w:val="left"/>
        </w:tabs>
        <w:numPr>
          <w:ilvl w:val="1"/>
          <w:numId w:val="154"/>
        </w:numPr>
        <w:rPr>
          <w:rFonts w:ascii="Arial" w:cs="Arial" w:eastAsia="Arial" w:hAnsi="Arial"/>
          <w:sz w:val="19"/>
          <w:szCs w:val="19"/>
          <w:color w:val="auto"/>
        </w:rPr>
      </w:pPr>
      <w:r>
        <w:rPr>
          <w:rFonts w:ascii="Arial" w:cs="Arial" w:eastAsia="Arial" w:hAnsi="Arial"/>
          <w:sz w:val="19"/>
          <w:szCs w:val="19"/>
          <w:color w:val="auto"/>
        </w:rPr>
        <w:t>Prior to a Change in Control, (i) the willful failure by the Executive to substantially perform the Executive’s duties with the Company (other than any such failure resulting from the Executive’s incapacity due to physical or mental illness,</w:t>
      </w:r>
    </w:p>
    <w:p>
      <w:pPr>
        <w:spacing w:after="0" w:line="1" w:lineRule="exact"/>
        <w:rPr>
          <w:rFonts w:ascii="Arial" w:cs="Arial" w:eastAsia="Arial" w:hAnsi="Arial"/>
          <w:sz w:val="19"/>
          <w:szCs w:val="19"/>
          <w:color w:val="auto"/>
        </w:rPr>
      </w:pPr>
    </w:p>
    <w:p>
      <w:pPr>
        <w:ind w:right="20" w:firstLine="8"/>
        <w:spacing w:after="0" w:line="275" w:lineRule="auto"/>
        <w:tabs>
          <w:tab w:leader="none" w:pos="318" w:val="left"/>
        </w:tabs>
        <w:numPr>
          <w:ilvl w:val="0"/>
          <w:numId w:val="155"/>
        </w:numPr>
        <w:rPr>
          <w:rFonts w:ascii="Arial" w:cs="Arial" w:eastAsia="Arial" w:hAnsi="Arial"/>
          <w:sz w:val="19"/>
          <w:szCs w:val="19"/>
          <w:color w:val="auto"/>
        </w:rPr>
      </w:pPr>
      <w:r>
        <w:rPr>
          <w:rFonts w:ascii="Arial" w:cs="Arial" w:eastAsia="Arial" w:hAnsi="Arial"/>
          <w:sz w:val="19"/>
          <w:szCs w:val="19"/>
          <w:color w:val="auto"/>
        </w:rPr>
        <w:t>the grossly negligent performance of such obligations referenced in clause (i) of this definition, (iii) the Executive’s gross insubordination; and/or (iv) the Executive’s commission of one or more acts of moral turpitude that constitute a violation of applicable law (including but not limited to a felony) which have or result in an adverse effect on the Company, monetarily or otherwise, or one or more significant acts of dishonesty. For purposes of clause (i) of this subsection (a), no act, or failure to act, on the Executive’s part shall be deemed “</w:t>
      </w:r>
      <w:r>
        <w:rPr>
          <w:rFonts w:ascii="Arial" w:cs="Arial" w:eastAsia="Arial" w:hAnsi="Arial"/>
          <w:sz w:val="19"/>
          <w:szCs w:val="19"/>
          <w:u w:val="single" w:color="auto"/>
          <w:color w:val="auto"/>
        </w:rPr>
        <w:t>willful</w:t>
      </w:r>
      <w:r>
        <w:rPr>
          <w:rFonts w:ascii="Arial" w:cs="Arial" w:eastAsia="Arial" w:hAnsi="Arial"/>
          <w:sz w:val="19"/>
          <w:szCs w:val="19"/>
          <w:color w:val="auto"/>
        </w:rPr>
        <w:t>” unless done, or omitted to be done, by the Executive not in good faith and without reasonable belief that the Executive’s act, or failure to act, was in the best interests of the Company.</w:t>
      </w:r>
    </w:p>
    <w:p>
      <w:pPr>
        <w:spacing w:after="0" w:line="141" w:lineRule="exact"/>
        <w:rPr>
          <w:rFonts w:ascii="Arial" w:cs="Arial" w:eastAsia="Arial" w:hAnsi="Arial"/>
          <w:sz w:val="19"/>
          <w:szCs w:val="19"/>
          <w:color w:val="auto"/>
        </w:rPr>
      </w:pPr>
    </w:p>
    <w:p>
      <w:pPr>
        <w:ind w:right="20" w:firstLine="1305"/>
        <w:spacing w:after="0" w:line="269" w:lineRule="auto"/>
        <w:tabs>
          <w:tab w:leader="none" w:pos="1945" w:val="left"/>
        </w:tabs>
        <w:numPr>
          <w:ilvl w:val="1"/>
          <w:numId w:val="155"/>
        </w:numPr>
        <w:rPr>
          <w:rFonts w:ascii="Arial" w:cs="Arial" w:eastAsia="Arial" w:hAnsi="Arial"/>
          <w:sz w:val="19"/>
          <w:szCs w:val="19"/>
          <w:color w:val="auto"/>
        </w:rPr>
      </w:pPr>
      <w:r>
        <w:rPr>
          <w:rFonts w:ascii="Arial" w:cs="Arial" w:eastAsia="Arial" w:hAnsi="Arial"/>
          <w:sz w:val="19"/>
          <w:szCs w:val="19"/>
          <w:color w:val="auto"/>
        </w:rPr>
        <w:t>From and after a Change in Control, (i) the willful and continued failure by the Executive to substantially perform the Executive’s duties with the Company (other than any such failure resulting from the Executive’s incapacity due to physical or mental illness or any such actual or anticipated failure after the issuance of a Notice of Termination for Good Reason by the Executive pursuant to Section 2 hereof) and/or (ii) the Executive’s commission of one or more acts of moral turpitude that constitute a violation of applicable law (including but not limited to a felony) which have or result in an adverse effect on the Company, monetarily or otherwise, or one or more significant acts of dishonesty. For purposes of clause (i) of this subsection (b), no act, or failure to act, on the Executive’s part shall be deemed “</w:t>
      </w:r>
      <w:r>
        <w:rPr>
          <w:rFonts w:ascii="Arial" w:cs="Arial" w:eastAsia="Arial" w:hAnsi="Arial"/>
          <w:sz w:val="19"/>
          <w:szCs w:val="19"/>
          <w:u w:val="single" w:color="auto"/>
          <w:color w:val="auto"/>
        </w:rPr>
        <w:t>willful</w:t>
      </w:r>
      <w:r>
        <w:rPr>
          <w:rFonts w:ascii="Arial" w:cs="Arial" w:eastAsia="Arial" w:hAnsi="Arial"/>
          <w:sz w:val="19"/>
          <w:szCs w:val="19"/>
          <w:color w:val="auto"/>
        </w:rPr>
        <w:t>” unless done, or omitted to be done, by the Executive not in good faith and without reasonable belief that the Executive’s act, or failure to act, was in the best interests of the Company. Notwithstanding the foregoing, the Executive shall not be deemed terminated for Cause pursuant to clause (i) of this subsection</w:t>
      </w:r>
    </w:p>
    <w:p>
      <w:pPr>
        <w:spacing w:after="0" w:line="1" w:lineRule="exact"/>
        <w:rPr>
          <w:rFonts w:ascii="Arial" w:cs="Arial" w:eastAsia="Arial" w:hAnsi="Arial"/>
          <w:sz w:val="19"/>
          <w:szCs w:val="19"/>
          <w:color w:val="auto"/>
        </w:rPr>
      </w:pPr>
    </w:p>
    <w:p>
      <w:pPr>
        <w:ind w:right="180" w:firstLine="8"/>
        <w:spacing w:after="0" w:line="308" w:lineRule="auto"/>
        <w:tabs>
          <w:tab w:leader="none" w:pos="306" w:val="left"/>
        </w:tabs>
        <w:numPr>
          <w:ilvl w:val="0"/>
          <w:numId w:val="156"/>
        </w:numPr>
        <w:rPr>
          <w:rFonts w:ascii="Arial" w:cs="Arial" w:eastAsia="Arial" w:hAnsi="Arial"/>
          <w:sz w:val="19"/>
          <w:szCs w:val="19"/>
          <w:color w:val="auto"/>
        </w:rPr>
      </w:pPr>
      <w:r>
        <w:rPr>
          <w:rFonts w:ascii="Arial" w:cs="Arial" w:eastAsia="Arial" w:hAnsi="Arial"/>
          <w:sz w:val="19"/>
          <w:szCs w:val="19"/>
          <w:color w:val="auto"/>
        </w:rPr>
        <w:t>unless and until the Executive shall have been provided with reasonable notice of and, if possible, a reasonable opportunity to cure the facts and circumstances claimed to provide a basis for termination of the Executive’s employment for Cause.</w:t>
      </w:r>
    </w:p>
    <w:p>
      <w:pPr>
        <w:sectPr>
          <w:pgSz w:w="11900" w:h="16838" w:orient="portrait"/>
          <w:cols w:equalWidth="0" w:num="1">
            <w:col w:w="11420"/>
          </w:cols>
          <w:pgMar w:left="240" w:top="117" w:right="239" w:bottom="194" w:gutter="0" w:footer="0" w:header="0"/>
        </w:sectPr>
      </w:pPr>
    </w:p>
    <w:bookmarkStart w:id="113" w:name="page114"/>
    <w:bookmarkEnd w:id="113"/>
    <w:p>
      <w:pPr>
        <w:ind w:firstLine="1297"/>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shall be deemed to have occurred on the date that a change in the ownership of Sempra Energy, a change in the effective control of Sempra Energy, or a change in the ownership of a substantial portion of assets of Sempra Energy occurs (each, as defined in subsection (a) below), except as otherwise provided in subsections (b), (c) and (d) below:</w:t>
      </w:r>
    </w:p>
    <w:p>
      <w:pPr>
        <w:spacing w:after="0" w:line="118" w:lineRule="exact"/>
        <w:rPr>
          <w:sz w:val="20"/>
          <w:szCs w:val="20"/>
          <w:color w:val="auto"/>
        </w:rPr>
      </w:pPr>
    </w:p>
    <w:p>
      <w:pPr>
        <w:ind w:firstLine="1305"/>
        <w:spacing w:after="0" w:line="297" w:lineRule="auto"/>
        <w:tabs>
          <w:tab w:leader="none" w:pos="1945" w:val="left"/>
        </w:tabs>
        <w:numPr>
          <w:ilvl w:val="0"/>
          <w:numId w:val="157"/>
        </w:numPr>
        <w:rPr>
          <w:rFonts w:ascii="Arial" w:cs="Arial" w:eastAsia="Arial" w:hAnsi="Arial"/>
          <w:sz w:val="19"/>
          <w:szCs w:val="19"/>
          <w:color w:val="auto"/>
        </w:rPr>
      </w:pPr>
      <w:r>
        <w:rPr>
          <w:rFonts w:ascii="Arial" w:cs="Arial" w:eastAsia="Arial" w:hAnsi="Arial"/>
          <w:sz w:val="19"/>
          <w:szCs w:val="19"/>
          <w:color w:val="auto"/>
        </w:rPr>
        <w:t>(i) a “</w:t>
      </w:r>
      <w:r>
        <w:rPr>
          <w:rFonts w:ascii="Arial" w:cs="Arial" w:eastAsia="Arial" w:hAnsi="Arial"/>
          <w:sz w:val="19"/>
          <w:szCs w:val="19"/>
          <w:u w:val="single" w:color="auto"/>
          <w:color w:val="auto"/>
        </w:rPr>
        <w:t>change in the ownership of Sempra Energy</w:t>
      </w:r>
      <w:r>
        <w:rPr>
          <w:rFonts w:ascii="Arial" w:cs="Arial" w:eastAsia="Arial" w:hAnsi="Arial"/>
          <w:sz w:val="19"/>
          <w:szCs w:val="19"/>
          <w:color w:val="auto"/>
        </w:rPr>
        <w:t>” occurs on the date that any one person, or more than one person acting as a group, acquires ownership of stock of Sempra Energy that, together with stock held by such person or group, constitutes more than fifty percent (50%) of the total fair market value or total voting power of the stock of Sempra Energy,</w:t>
      </w:r>
    </w:p>
    <w:p>
      <w:pPr>
        <w:spacing w:after="0" w:line="120" w:lineRule="exact"/>
        <w:rPr>
          <w:rFonts w:ascii="Arial" w:cs="Arial" w:eastAsia="Arial" w:hAnsi="Arial"/>
          <w:sz w:val="19"/>
          <w:szCs w:val="19"/>
          <w:color w:val="auto"/>
        </w:rPr>
      </w:pPr>
    </w:p>
    <w:p>
      <w:pPr>
        <w:ind w:left="2600" w:hanging="647"/>
        <w:spacing w:after="0"/>
        <w:tabs>
          <w:tab w:leader="none" w:pos="2600" w:val="left"/>
        </w:tabs>
        <w:numPr>
          <w:ilvl w:val="1"/>
          <w:numId w:val="157"/>
        </w:numPr>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u w:val="single" w:color="auto"/>
          <w:color w:val="auto"/>
        </w:rPr>
        <w:t>change in the effective control of Sempra Energy</w:t>
      </w:r>
      <w:r>
        <w:rPr>
          <w:rFonts w:ascii="Arial" w:cs="Arial" w:eastAsia="Arial" w:hAnsi="Arial"/>
          <w:sz w:val="19"/>
          <w:szCs w:val="19"/>
          <w:color w:val="auto"/>
        </w:rPr>
        <w:t>” occurs only on either of the following dates:</w:t>
      </w:r>
    </w:p>
    <w:p>
      <w:pPr>
        <w:spacing w:after="0" w:line="227" w:lineRule="exact"/>
        <w:rPr>
          <w:rFonts w:ascii="Arial" w:cs="Arial" w:eastAsia="Arial" w:hAnsi="Arial"/>
          <w:sz w:val="19"/>
          <w:szCs w:val="19"/>
          <w:color w:val="auto"/>
        </w:rPr>
      </w:pPr>
    </w:p>
    <w:p>
      <w:pPr>
        <w:ind w:right="80" w:firstLine="2601"/>
        <w:spacing w:after="0" w:line="297" w:lineRule="auto"/>
        <w:tabs>
          <w:tab w:leader="none" w:pos="3241" w:val="left"/>
        </w:tabs>
        <w:numPr>
          <w:ilvl w:val="2"/>
          <w:numId w:val="157"/>
        </w:numPr>
        <w:rPr>
          <w:rFonts w:ascii="Arial" w:cs="Arial" w:eastAsia="Arial" w:hAnsi="Arial"/>
          <w:sz w:val="19"/>
          <w:szCs w:val="19"/>
          <w:color w:val="auto"/>
        </w:rPr>
      </w:pPr>
      <w:r>
        <w:rPr>
          <w:rFonts w:ascii="Arial" w:cs="Arial" w:eastAsia="Arial" w:hAnsi="Arial"/>
          <w:sz w:val="19"/>
          <w:szCs w:val="19"/>
          <w:color w:val="auto"/>
        </w:rPr>
        <w:t>the date any one person, or more than one person acting as a group, acquires (or has acquired during the twelve (12) month period ending on the date of the most recent acquisition by such person or persons) ownership of stock of Sempra Energy possessing thirty percent (30%) or more of the total voting power of the stock of Sempra Energy, or</w:t>
      </w:r>
    </w:p>
    <w:p>
      <w:pPr>
        <w:spacing w:after="0" w:line="134" w:lineRule="exact"/>
        <w:rPr>
          <w:rFonts w:ascii="Arial" w:cs="Arial" w:eastAsia="Arial" w:hAnsi="Arial"/>
          <w:sz w:val="19"/>
          <w:szCs w:val="19"/>
          <w:color w:val="auto"/>
        </w:rPr>
      </w:pPr>
    </w:p>
    <w:p>
      <w:pPr>
        <w:jc w:val="both"/>
        <w:ind w:right="360" w:firstLine="2601"/>
        <w:spacing w:after="0"/>
        <w:tabs>
          <w:tab w:leader="none" w:pos="3241" w:val="left"/>
        </w:tabs>
        <w:numPr>
          <w:ilvl w:val="2"/>
          <w:numId w:val="157"/>
        </w:numPr>
        <w:rPr>
          <w:rFonts w:ascii="Arial" w:cs="Arial" w:eastAsia="Arial" w:hAnsi="Arial"/>
          <w:sz w:val="22"/>
          <w:szCs w:val="22"/>
          <w:color w:val="auto"/>
        </w:rPr>
      </w:pPr>
      <w:r>
        <w:rPr>
          <w:rFonts w:ascii="Arial" w:cs="Arial" w:eastAsia="Arial" w:hAnsi="Arial"/>
          <w:sz w:val="22"/>
          <w:szCs w:val="22"/>
          <w:color w:val="auto"/>
        </w:rPr>
        <w:t>the date a majority of the members of the Board is replaced during any twelve (12) month period by directors whose appointment or election is not endorsed by a majority of the members of the Board before the date of appointment or election, and</w:t>
      </w:r>
    </w:p>
    <w:p>
      <w:pPr>
        <w:spacing w:after="0" w:line="172" w:lineRule="exact"/>
        <w:rPr>
          <w:rFonts w:ascii="Arial" w:cs="Arial" w:eastAsia="Arial" w:hAnsi="Arial"/>
          <w:sz w:val="22"/>
          <w:szCs w:val="22"/>
          <w:color w:val="auto"/>
        </w:rPr>
      </w:pPr>
    </w:p>
    <w:p>
      <w:pPr>
        <w:ind w:right="80" w:firstLine="1953"/>
        <w:spacing w:after="0" w:line="236" w:lineRule="auto"/>
        <w:tabs>
          <w:tab w:leader="none" w:pos="2593" w:val="left"/>
        </w:tabs>
        <w:numPr>
          <w:ilvl w:val="1"/>
          <w:numId w:val="157"/>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change in the ownership of a substantial portion of assets of Sempra Energy</w:t>
      </w:r>
      <w:r>
        <w:rPr>
          <w:rFonts w:ascii="Arial" w:cs="Arial" w:eastAsia="Arial" w:hAnsi="Arial"/>
          <w:sz w:val="22"/>
          <w:szCs w:val="22"/>
          <w:color w:val="auto"/>
        </w:rPr>
        <w:t>” occurs on the date any one person, or more than one person acting as a group, acquires (or has acquired during the twelve (12) month period ending on the date of the most recent acquisition by such person or persons) assets from Sempra Energy that have a total gross fair market value equal to or more than eighty-five percent (85%) of the total gross fair market value of all of the assets of Sempra Energy immediately before such acquisition or acquisitions.</w:t>
      </w:r>
    </w:p>
    <w:p>
      <w:pPr>
        <w:spacing w:after="0" w:line="174" w:lineRule="exact"/>
        <w:rPr>
          <w:rFonts w:ascii="Arial" w:cs="Arial" w:eastAsia="Arial" w:hAnsi="Arial"/>
          <w:sz w:val="22"/>
          <w:szCs w:val="22"/>
          <w:color w:val="auto"/>
        </w:rPr>
      </w:pPr>
    </w:p>
    <w:p>
      <w:pPr>
        <w:ind w:right="420" w:firstLine="1305"/>
        <w:spacing w:after="0" w:line="251" w:lineRule="auto"/>
        <w:tabs>
          <w:tab w:leader="none" w:pos="1945" w:val="left"/>
        </w:tabs>
        <w:numPr>
          <w:ilvl w:val="0"/>
          <w:numId w:val="157"/>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change in the ownership of Sempra Energy</w:t>
      </w:r>
      <w:r>
        <w:rPr>
          <w:rFonts w:ascii="Arial" w:cs="Arial" w:eastAsia="Arial" w:hAnsi="Arial"/>
          <w:sz w:val="22"/>
          <w:szCs w:val="22"/>
          <w:color w:val="auto"/>
        </w:rPr>
        <w:t>” or “</w:t>
      </w:r>
      <w:r>
        <w:rPr>
          <w:rFonts w:ascii="Arial" w:cs="Arial" w:eastAsia="Arial" w:hAnsi="Arial"/>
          <w:sz w:val="22"/>
          <w:szCs w:val="22"/>
          <w:u w:val="single" w:color="auto"/>
          <w:color w:val="auto"/>
        </w:rPr>
        <w:t>a change in the effective control of Sempra Energy</w:t>
      </w:r>
      <w:r>
        <w:rPr>
          <w:rFonts w:ascii="Arial" w:cs="Arial" w:eastAsia="Arial" w:hAnsi="Arial"/>
          <w:sz w:val="22"/>
          <w:szCs w:val="22"/>
          <w:color w:val="auto"/>
        </w:rPr>
        <w:t>” shall not occur under clause (a)(i) or (a)(ii) by reason of any of the following:</w:t>
      </w:r>
    </w:p>
    <w:p>
      <w:pPr>
        <w:spacing w:after="0" w:line="173" w:lineRule="exact"/>
        <w:rPr>
          <w:rFonts w:ascii="Arial" w:cs="Arial" w:eastAsia="Arial" w:hAnsi="Arial"/>
          <w:sz w:val="22"/>
          <w:szCs w:val="22"/>
          <w:color w:val="auto"/>
        </w:rPr>
      </w:pPr>
    </w:p>
    <w:p>
      <w:pPr>
        <w:ind w:right="80" w:firstLine="1953"/>
        <w:spacing w:after="0" w:line="251" w:lineRule="auto"/>
        <w:tabs>
          <w:tab w:leader="none" w:pos="2593" w:val="left"/>
        </w:tabs>
        <w:numPr>
          <w:ilvl w:val="1"/>
          <w:numId w:val="158"/>
        </w:numPr>
        <w:rPr>
          <w:rFonts w:ascii="Arial" w:cs="Arial" w:eastAsia="Arial" w:hAnsi="Arial"/>
          <w:sz w:val="22"/>
          <w:szCs w:val="22"/>
          <w:color w:val="auto"/>
        </w:rPr>
      </w:pPr>
      <w:r>
        <w:rPr>
          <w:rFonts w:ascii="Arial" w:cs="Arial" w:eastAsia="Arial" w:hAnsi="Arial"/>
          <w:sz w:val="22"/>
          <w:szCs w:val="22"/>
          <w:color w:val="auto"/>
        </w:rPr>
        <w:t>an acquisition of ownership of stock of Sempra Energy directly from Sempra Energy or its Affiliates other than in connection with the acquisition by Sempra Energy or its Affiliates of a business,</w:t>
      </w:r>
    </w:p>
    <w:p>
      <w:pPr>
        <w:spacing w:after="0" w:line="159" w:lineRule="exact"/>
        <w:rPr>
          <w:rFonts w:ascii="Arial" w:cs="Arial" w:eastAsia="Arial" w:hAnsi="Arial"/>
          <w:sz w:val="22"/>
          <w:szCs w:val="22"/>
          <w:color w:val="auto"/>
        </w:rPr>
      </w:pPr>
    </w:p>
    <w:p>
      <w:pPr>
        <w:ind w:right="60" w:firstLine="1953"/>
        <w:spacing w:after="0" w:line="235" w:lineRule="auto"/>
        <w:tabs>
          <w:tab w:leader="none" w:pos="2593" w:val="left"/>
        </w:tabs>
        <w:numPr>
          <w:ilvl w:val="1"/>
          <w:numId w:val="158"/>
        </w:numPr>
        <w:rPr>
          <w:rFonts w:ascii="Arial" w:cs="Arial" w:eastAsia="Arial" w:hAnsi="Arial"/>
          <w:sz w:val="22"/>
          <w:szCs w:val="22"/>
          <w:color w:val="auto"/>
        </w:rPr>
      </w:pPr>
      <w:r>
        <w:rPr>
          <w:rFonts w:ascii="Arial" w:cs="Arial" w:eastAsia="Arial" w:hAnsi="Arial"/>
          <w:sz w:val="22"/>
          <w:szCs w:val="22"/>
          <w:color w:val="auto"/>
        </w:rPr>
        <w:t>a merger or consolidation which would result in the voting securities of Sempra Energy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at least sixty percent (60%) of the combined voting power of the securities of Sempra Energy or such surviving entity or any parent thereof outstanding immediately after such merger or consolidation, or</w:t>
      </w:r>
    </w:p>
    <w:p>
      <w:pPr>
        <w:spacing w:after="0" w:line="174" w:lineRule="exact"/>
        <w:rPr>
          <w:rFonts w:ascii="Arial" w:cs="Arial" w:eastAsia="Arial" w:hAnsi="Arial"/>
          <w:sz w:val="22"/>
          <w:szCs w:val="22"/>
          <w:color w:val="auto"/>
        </w:rPr>
      </w:pPr>
    </w:p>
    <w:p>
      <w:pPr>
        <w:ind w:right="40" w:firstLine="1953"/>
        <w:spacing w:after="0" w:line="235" w:lineRule="auto"/>
        <w:tabs>
          <w:tab w:leader="none" w:pos="2593" w:val="left"/>
        </w:tabs>
        <w:numPr>
          <w:ilvl w:val="1"/>
          <w:numId w:val="158"/>
        </w:numPr>
        <w:rPr>
          <w:rFonts w:ascii="Arial" w:cs="Arial" w:eastAsia="Arial" w:hAnsi="Arial"/>
          <w:sz w:val="22"/>
          <w:szCs w:val="22"/>
          <w:color w:val="auto"/>
        </w:rPr>
      </w:pPr>
      <w:r>
        <w:rPr>
          <w:rFonts w:ascii="Arial" w:cs="Arial" w:eastAsia="Arial" w:hAnsi="Arial"/>
          <w:sz w:val="22"/>
          <w:szCs w:val="22"/>
          <w:color w:val="auto"/>
        </w:rPr>
        <w:t>a merger or consolidation effected to implement a recapitalization of Sempra Energy (or similar transaction) in which no Person is or becomes the Beneficial Owner (within the meaning of Rule 13d-3 promulgated under the Exchange Act), directly or indirectly, of securities of Sempra Energy (not including the securities beneficially owned by such Person any securities acquired directly from Sempra Energy or its Affiliates other than in connection with the acquisition by Sempra Energy or its Affiliates of a business) representing twenty percent (20%) or more of the combined voting power of Sempra Energy’s then outstanding securities.</w:t>
      </w:r>
    </w:p>
    <w:p>
      <w:pPr>
        <w:spacing w:after="0" w:line="188" w:lineRule="exact"/>
        <w:rPr>
          <w:rFonts w:ascii="Arial" w:cs="Arial" w:eastAsia="Arial" w:hAnsi="Arial"/>
          <w:sz w:val="22"/>
          <w:szCs w:val="22"/>
          <w:color w:val="auto"/>
        </w:rPr>
      </w:pPr>
    </w:p>
    <w:p>
      <w:pPr>
        <w:jc w:val="both"/>
        <w:ind w:firstLine="1305"/>
        <w:spacing w:after="0" w:line="252" w:lineRule="auto"/>
        <w:tabs>
          <w:tab w:leader="none" w:pos="1945" w:val="left"/>
        </w:tabs>
        <w:numPr>
          <w:ilvl w:val="0"/>
          <w:numId w:val="159"/>
        </w:numPr>
        <w:rPr>
          <w:rFonts w:ascii="Arial" w:cs="Arial" w:eastAsia="Arial" w:hAnsi="Arial"/>
          <w:sz w:val="21"/>
          <w:szCs w:val="21"/>
          <w:color w:val="auto"/>
        </w:rPr>
      </w:pPr>
      <w:r>
        <w:rPr>
          <w:rFonts w:ascii="Arial" w:cs="Arial" w:eastAsia="Arial" w:hAnsi="Arial"/>
          <w:sz w:val="21"/>
          <w:szCs w:val="21"/>
          <w:color w:val="auto"/>
        </w:rPr>
        <w:t>A “</w:t>
      </w:r>
      <w:r>
        <w:rPr>
          <w:rFonts w:ascii="Arial" w:cs="Arial" w:eastAsia="Arial" w:hAnsi="Arial"/>
          <w:sz w:val="21"/>
          <w:szCs w:val="21"/>
          <w:u w:val="single" w:color="auto"/>
          <w:color w:val="auto"/>
        </w:rPr>
        <w:t>change in the ownership of a substantial portion of assets of Sempra Energy</w:t>
      </w:r>
      <w:r>
        <w:rPr>
          <w:rFonts w:ascii="Arial" w:cs="Arial" w:eastAsia="Arial" w:hAnsi="Arial"/>
          <w:sz w:val="21"/>
          <w:szCs w:val="21"/>
          <w:color w:val="auto"/>
        </w:rPr>
        <w:t>” shall not occur under clause (a)(iii) by reason of a sale or disposition by Sempra Energy of the assets of Sempra Energy to an entity, at least sixty percent (60%) of the combined voting power of the voting securities of which are owned by shareholders of Sempra Energy in substantially the same proportions as their ownership of Sempra Energy immediately prior to such sale.</w:t>
      </w:r>
    </w:p>
    <w:p>
      <w:pPr>
        <w:spacing w:after="0" w:line="160" w:lineRule="exact"/>
        <w:rPr>
          <w:rFonts w:ascii="Arial" w:cs="Arial" w:eastAsia="Arial" w:hAnsi="Arial"/>
          <w:sz w:val="21"/>
          <w:szCs w:val="21"/>
          <w:color w:val="auto"/>
        </w:rPr>
      </w:pPr>
    </w:p>
    <w:p>
      <w:pPr>
        <w:ind w:right="100" w:firstLine="1305"/>
        <w:spacing w:after="0" w:line="238" w:lineRule="auto"/>
        <w:tabs>
          <w:tab w:leader="none" w:pos="1945"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This definition of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be limited to the definition of a “change in control event” relating to Sempra Energy under Treasury Regulation Section 1.409A-3(i)(5). A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only occur if there is a “change in control event” relating to Sempra Energy under Treasury Regulation Section 1.409A-3(i)(5) with respect to the Executive.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 Date</w:t>
      </w:r>
      <w:r>
        <w:rPr>
          <w:rFonts w:ascii="Arial" w:cs="Arial" w:eastAsia="Arial" w:hAnsi="Arial"/>
          <w:sz w:val="22"/>
          <w:szCs w:val="22"/>
          <w:color w:val="auto"/>
        </w:rPr>
        <w:t>” means the date on which a Change in Control occurs.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Compensation Committee</w:t>
      </w:r>
      <w:r>
        <w:rPr>
          <w:rFonts w:ascii="Arial" w:cs="Arial" w:eastAsia="Arial" w:hAnsi="Arial"/>
          <w:sz w:val="22"/>
          <w:szCs w:val="22"/>
          <w:color w:val="auto"/>
        </w:rPr>
        <w:t>” means the compensation committee of the Board.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Consulting Payment</w:t>
      </w:r>
      <w:r>
        <w:rPr>
          <w:rFonts w:ascii="Arial" w:cs="Arial" w:eastAsia="Arial" w:hAnsi="Arial"/>
          <w:sz w:val="22"/>
          <w:szCs w:val="22"/>
          <w:color w:val="auto"/>
        </w:rPr>
        <w:t>” has the meaning assigned thereto in Section 14(d)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Consulting Period</w:t>
      </w:r>
      <w:r>
        <w:rPr>
          <w:rFonts w:ascii="Arial" w:cs="Arial" w:eastAsia="Arial" w:hAnsi="Arial"/>
          <w:sz w:val="22"/>
          <w:szCs w:val="22"/>
          <w:color w:val="auto"/>
        </w:rPr>
        <w:t>” has the meaning assigned thereto in Section 14(e)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Date of Termination</w:t>
      </w:r>
      <w:r>
        <w:rPr>
          <w:rFonts w:ascii="Arial" w:cs="Arial" w:eastAsia="Arial" w:hAnsi="Arial"/>
          <w:sz w:val="22"/>
          <w:szCs w:val="22"/>
          <w:color w:val="auto"/>
        </w:rPr>
        <w:t>” has the meaning assigned thereto in Section 2(b)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Compensation Plan</w:t>
      </w:r>
      <w:r>
        <w:rPr>
          <w:rFonts w:ascii="Arial" w:cs="Arial" w:eastAsia="Arial" w:hAnsi="Arial"/>
          <w:sz w:val="22"/>
          <w:szCs w:val="22"/>
          <w:color w:val="auto"/>
        </w:rPr>
        <w:t>” has the meaning assigned thereto in Section 4(f) hereof.</w:t>
      </w:r>
    </w:p>
    <w:p>
      <w:pPr>
        <w:spacing w:after="0" w:line="206" w:lineRule="exact"/>
        <w:rPr>
          <w:sz w:val="20"/>
          <w:szCs w:val="20"/>
          <w:color w:val="auto"/>
        </w:rPr>
      </w:pPr>
    </w:p>
    <w:p>
      <w:pPr>
        <w:ind w:right="12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xml:space="preserve">” has the meaning set forth in the Company’s long-term disability plan or its successor;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Board may not terminate the Executive’s employment hereunder by reason of Disability unless (i) at the time of</w:t>
      </w:r>
    </w:p>
    <w:p>
      <w:pPr>
        <w:sectPr>
          <w:pgSz w:w="11900" w:h="16838" w:orient="portrait"/>
          <w:cols w:equalWidth="0" w:num="1">
            <w:col w:w="11380"/>
          </w:cols>
          <w:pgMar w:left="240" w:top="118" w:right="279" w:bottom="0" w:gutter="0" w:footer="0" w:header="0"/>
        </w:sectPr>
      </w:pPr>
    </w:p>
    <w:bookmarkStart w:id="114" w:name="page115"/>
    <w:bookmarkEnd w:id="114"/>
    <w:p>
      <w:pPr>
        <w:ind w:right="280"/>
        <w:spacing w:after="0" w:line="251" w:lineRule="auto"/>
        <w:rPr>
          <w:sz w:val="20"/>
          <w:szCs w:val="20"/>
          <w:color w:val="auto"/>
        </w:rPr>
      </w:pPr>
      <w:r>
        <w:rPr>
          <w:rFonts w:ascii="Arial" w:cs="Arial" w:eastAsia="Arial" w:hAnsi="Arial"/>
          <w:sz w:val="22"/>
          <w:szCs w:val="22"/>
          <w:color w:val="auto"/>
        </w:rPr>
        <w:t>such termination there is no reasonable expectation that the Executive will return to work within the next ninety (90) day period and (ii) such termination is permitted by all applicable disability laws.</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means the Securities Exchange Act of 1934, as amended, and the applicable rulings and regulations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thereunder.</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Excise Tax</w:t>
      </w:r>
      <w:r>
        <w:rPr>
          <w:rFonts w:ascii="Arial" w:cs="Arial" w:eastAsia="Arial" w:hAnsi="Arial"/>
          <w:sz w:val="22"/>
          <w:szCs w:val="22"/>
          <w:color w:val="auto"/>
        </w:rPr>
        <w:t>” has the meaning assigned thereto in Section 8(a)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 Reason</w:t>
      </w:r>
      <w:r>
        <w:rPr>
          <w:rFonts w:ascii="Arial" w:cs="Arial" w:eastAsia="Arial" w:hAnsi="Arial"/>
          <w:sz w:val="22"/>
          <w:szCs w:val="22"/>
          <w:color w:val="auto"/>
        </w:rPr>
        <w:t>” means:</w:t>
      </w:r>
    </w:p>
    <w:p>
      <w:pPr>
        <w:spacing w:after="0" w:line="193" w:lineRule="exact"/>
        <w:rPr>
          <w:sz w:val="20"/>
          <w:szCs w:val="20"/>
          <w:color w:val="auto"/>
        </w:rPr>
      </w:pPr>
    </w:p>
    <w:p>
      <w:pPr>
        <w:jc w:val="both"/>
        <w:ind w:right="100" w:firstLine="1305"/>
        <w:spacing w:after="0"/>
        <w:tabs>
          <w:tab w:leader="none" w:pos="1945" w:val="left"/>
        </w:tabs>
        <w:numPr>
          <w:ilvl w:val="0"/>
          <w:numId w:val="160"/>
        </w:numPr>
        <w:rPr>
          <w:rFonts w:ascii="Arial" w:cs="Arial" w:eastAsia="Arial" w:hAnsi="Arial"/>
          <w:sz w:val="22"/>
          <w:szCs w:val="22"/>
          <w:color w:val="auto"/>
        </w:rPr>
      </w:pPr>
      <w:r>
        <w:rPr>
          <w:rFonts w:ascii="Arial" w:cs="Arial" w:eastAsia="Arial" w:hAnsi="Arial"/>
          <w:sz w:val="22"/>
          <w:szCs w:val="22"/>
          <w:color w:val="auto"/>
        </w:rPr>
        <w:t>Prior to a Change in Control, the occurrence of any of the following without the prior written consent of the Executive, unless such act or failure to act is corrected by the Company prior to the Date of Termination specified in the Notice of Termination (as required under Section 2 hereof):</w:t>
      </w:r>
    </w:p>
    <w:p>
      <w:pPr>
        <w:spacing w:after="0" w:line="186" w:lineRule="exact"/>
        <w:rPr>
          <w:rFonts w:ascii="Arial" w:cs="Arial" w:eastAsia="Arial" w:hAnsi="Arial"/>
          <w:sz w:val="22"/>
          <w:szCs w:val="22"/>
          <w:color w:val="auto"/>
        </w:rPr>
      </w:pPr>
    </w:p>
    <w:p>
      <w:pPr>
        <w:ind w:right="340" w:firstLine="1953"/>
        <w:spacing w:after="0"/>
        <w:tabs>
          <w:tab w:leader="none" w:pos="2593" w:val="left"/>
        </w:tabs>
        <w:numPr>
          <w:ilvl w:val="1"/>
          <w:numId w:val="160"/>
        </w:numPr>
        <w:rPr>
          <w:rFonts w:ascii="Arial" w:cs="Arial" w:eastAsia="Arial" w:hAnsi="Arial"/>
          <w:sz w:val="22"/>
          <w:szCs w:val="22"/>
          <w:color w:val="auto"/>
        </w:rPr>
      </w:pPr>
      <w:r>
        <w:rPr>
          <w:rFonts w:ascii="Arial" w:cs="Arial" w:eastAsia="Arial" w:hAnsi="Arial"/>
          <w:sz w:val="22"/>
          <w:szCs w:val="22"/>
          <w:color w:val="auto"/>
        </w:rPr>
        <w:t>the assignment to the Executive of any duties materially inconsistent with the range of duties and responsibilities appropriate to a senior Executive within the Company (such range determined by reference to past, current and reasonable practices within the Company);</w:t>
      </w:r>
    </w:p>
    <w:p>
      <w:pPr>
        <w:spacing w:after="0" w:line="172" w:lineRule="exact"/>
        <w:rPr>
          <w:rFonts w:ascii="Arial" w:cs="Arial" w:eastAsia="Arial" w:hAnsi="Arial"/>
          <w:sz w:val="22"/>
          <w:szCs w:val="22"/>
          <w:color w:val="auto"/>
        </w:rPr>
      </w:pPr>
    </w:p>
    <w:p>
      <w:pPr>
        <w:ind w:right="60" w:firstLine="1953"/>
        <w:spacing w:after="0"/>
        <w:tabs>
          <w:tab w:leader="none" w:pos="2593" w:val="left"/>
        </w:tabs>
        <w:numPr>
          <w:ilvl w:val="1"/>
          <w:numId w:val="160"/>
        </w:numPr>
        <w:rPr>
          <w:rFonts w:ascii="Arial" w:cs="Arial" w:eastAsia="Arial" w:hAnsi="Arial"/>
          <w:sz w:val="22"/>
          <w:szCs w:val="22"/>
          <w:color w:val="auto"/>
        </w:rPr>
      </w:pPr>
      <w:r>
        <w:rPr>
          <w:rFonts w:ascii="Arial" w:cs="Arial" w:eastAsia="Arial" w:hAnsi="Arial"/>
          <w:sz w:val="22"/>
          <w:szCs w:val="22"/>
          <w:color w:val="auto"/>
        </w:rPr>
        <w:t>a material reduction in the Executive’s overall standing and responsibilities within the Company, but not including (A) a mere change in title or (B) a transfer within the Company, which, in the case of both (A) and (B), does not adversely affect the Executive’s overall status within the Company;</w:t>
      </w:r>
    </w:p>
    <w:p>
      <w:pPr>
        <w:spacing w:after="0" w:line="172" w:lineRule="exact"/>
        <w:rPr>
          <w:rFonts w:ascii="Arial" w:cs="Arial" w:eastAsia="Arial" w:hAnsi="Arial"/>
          <w:sz w:val="22"/>
          <w:szCs w:val="22"/>
          <w:color w:val="auto"/>
        </w:rPr>
      </w:pPr>
    </w:p>
    <w:p>
      <w:pPr>
        <w:ind w:right="340" w:firstLine="1953"/>
        <w:spacing w:after="0" w:line="238" w:lineRule="auto"/>
        <w:tabs>
          <w:tab w:leader="none" w:pos="2593" w:val="left"/>
        </w:tabs>
        <w:numPr>
          <w:ilvl w:val="1"/>
          <w:numId w:val="160"/>
        </w:numPr>
        <w:rPr>
          <w:rFonts w:ascii="Arial" w:cs="Arial" w:eastAsia="Arial" w:hAnsi="Arial"/>
          <w:sz w:val="22"/>
          <w:szCs w:val="22"/>
          <w:color w:val="auto"/>
        </w:rPr>
      </w:pPr>
      <w:r>
        <w:rPr>
          <w:rFonts w:ascii="Arial" w:cs="Arial" w:eastAsia="Arial" w:hAnsi="Arial"/>
          <w:sz w:val="22"/>
          <w:szCs w:val="22"/>
          <w:color w:val="auto"/>
        </w:rPr>
        <w:t>a material reduction by the Company in the Executive’s aggregate annualized compensation and benefits opportunities, except for across-the-board reductions (or modifications of benefit plans) similarly affecting all similarly situated executives (both of the Company and of any Person then in control of the Company) of comparable rank with the Executive;</w:t>
      </w:r>
    </w:p>
    <w:p>
      <w:pPr>
        <w:spacing w:after="0" w:line="185" w:lineRule="exact"/>
        <w:rPr>
          <w:rFonts w:ascii="Arial" w:cs="Arial" w:eastAsia="Arial" w:hAnsi="Arial"/>
          <w:sz w:val="22"/>
          <w:szCs w:val="22"/>
          <w:color w:val="auto"/>
        </w:rPr>
      </w:pPr>
    </w:p>
    <w:p>
      <w:pPr>
        <w:ind w:right="80" w:firstLine="1953"/>
        <w:spacing w:after="0"/>
        <w:tabs>
          <w:tab w:leader="none" w:pos="2593" w:val="left"/>
        </w:tabs>
        <w:numPr>
          <w:ilvl w:val="1"/>
          <w:numId w:val="160"/>
        </w:numPr>
        <w:rPr>
          <w:rFonts w:ascii="Arial" w:cs="Arial" w:eastAsia="Arial" w:hAnsi="Arial"/>
          <w:sz w:val="22"/>
          <w:szCs w:val="22"/>
          <w:color w:val="auto"/>
        </w:rPr>
      </w:pPr>
      <w:r>
        <w:rPr>
          <w:rFonts w:ascii="Arial" w:cs="Arial" w:eastAsia="Arial" w:hAnsi="Arial"/>
          <w:sz w:val="22"/>
          <w:szCs w:val="22"/>
          <w:color w:val="auto"/>
        </w:rPr>
        <w:t>the failure by the Company to pay to the Executive any portion of the Executive’s current compensation and benefits or any portion of an installment of deferred compensation under any deferred compensation program of the Company within thirty (30) days of the date such compensation is due;</w:t>
      </w:r>
    </w:p>
    <w:p>
      <w:pPr>
        <w:spacing w:after="0" w:line="172" w:lineRule="exact"/>
        <w:rPr>
          <w:rFonts w:ascii="Arial" w:cs="Arial" w:eastAsia="Arial" w:hAnsi="Arial"/>
          <w:sz w:val="22"/>
          <w:szCs w:val="22"/>
          <w:color w:val="auto"/>
        </w:rPr>
      </w:pPr>
    </w:p>
    <w:p>
      <w:pPr>
        <w:jc w:val="both"/>
        <w:ind w:firstLine="1953"/>
        <w:spacing w:after="0"/>
        <w:tabs>
          <w:tab w:leader="none" w:pos="2593" w:val="left"/>
        </w:tabs>
        <w:numPr>
          <w:ilvl w:val="1"/>
          <w:numId w:val="160"/>
        </w:numPr>
        <w:rPr>
          <w:rFonts w:ascii="Arial" w:cs="Arial" w:eastAsia="Arial" w:hAnsi="Arial"/>
          <w:sz w:val="22"/>
          <w:szCs w:val="22"/>
          <w:color w:val="auto"/>
        </w:rPr>
      </w:pPr>
      <w:r>
        <w:rPr>
          <w:rFonts w:ascii="Arial" w:cs="Arial" w:eastAsia="Arial" w:hAnsi="Arial"/>
          <w:sz w:val="22"/>
          <w:szCs w:val="22"/>
          <w:color w:val="auto"/>
        </w:rPr>
        <w:t>any purported termination of the Executive’s employment that is not effected pursuant to a Notice of Termination satisfying the requirements of Section 2 hereof; for purposes of this Agreement, no such purported termination shall be effective;</w:t>
      </w:r>
    </w:p>
    <w:p>
      <w:pPr>
        <w:spacing w:after="0" w:line="172" w:lineRule="exact"/>
        <w:rPr>
          <w:rFonts w:ascii="Arial" w:cs="Arial" w:eastAsia="Arial" w:hAnsi="Arial"/>
          <w:sz w:val="22"/>
          <w:szCs w:val="22"/>
          <w:color w:val="auto"/>
        </w:rPr>
      </w:pPr>
    </w:p>
    <w:p>
      <w:pPr>
        <w:ind w:left="2600" w:hanging="647"/>
        <w:spacing w:after="0"/>
        <w:tabs>
          <w:tab w:leader="none" w:pos="2600" w:val="left"/>
        </w:tabs>
        <w:numPr>
          <w:ilvl w:val="1"/>
          <w:numId w:val="160"/>
        </w:numPr>
        <w:rPr>
          <w:rFonts w:ascii="Arial" w:cs="Arial" w:eastAsia="Arial" w:hAnsi="Arial"/>
          <w:sz w:val="21"/>
          <w:szCs w:val="21"/>
          <w:color w:val="auto"/>
        </w:rPr>
      </w:pPr>
      <w:r>
        <w:rPr>
          <w:rFonts w:ascii="Arial" w:cs="Arial" w:eastAsia="Arial" w:hAnsi="Arial"/>
          <w:sz w:val="21"/>
          <w:szCs w:val="21"/>
          <w:color w:val="auto"/>
        </w:rPr>
        <w:t>the failure by Sempra Energy to perform its obligations under Section 16(c), (d) or (e) hereof;</w:t>
      </w:r>
    </w:p>
    <w:p>
      <w:pPr>
        <w:spacing w:after="0" w:line="217" w:lineRule="exact"/>
        <w:rPr>
          <w:rFonts w:ascii="Arial" w:cs="Arial" w:eastAsia="Arial" w:hAnsi="Arial"/>
          <w:sz w:val="21"/>
          <w:szCs w:val="21"/>
          <w:color w:val="auto"/>
        </w:rPr>
      </w:pPr>
    </w:p>
    <w:p>
      <w:pPr>
        <w:ind w:right="80" w:firstLine="1953"/>
        <w:spacing w:after="0" w:line="251" w:lineRule="auto"/>
        <w:tabs>
          <w:tab w:leader="none" w:pos="2593" w:val="left"/>
        </w:tabs>
        <w:numPr>
          <w:ilvl w:val="1"/>
          <w:numId w:val="160"/>
        </w:numPr>
        <w:rPr>
          <w:rFonts w:ascii="Arial" w:cs="Arial" w:eastAsia="Arial" w:hAnsi="Arial"/>
          <w:sz w:val="22"/>
          <w:szCs w:val="22"/>
          <w:color w:val="auto"/>
        </w:rPr>
      </w:pPr>
      <w:r>
        <w:rPr>
          <w:rFonts w:ascii="Arial" w:cs="Arial" w:eastAsia="Arial" w:hAnsi="Arial"/>
          <w:sz w:val="22"/>
          <w:szCs w:val="22"/>
          <w:color w:val="auto"/>
        </w:rPr>
        <w:t>the failure by the Company to provide the indemnification and D&amp;O insurance protection Section 10 of this Agreement requires it to provide; or</w:t>
      </w:r>
    </w:p>
    <w:p>
      <w:pPr>
        <w:spacing w:after="0" w:line="159" w:lineRule="exact"/>
        <w:rPr>
          <w:rFonts w:ascii="Arial" w:cs="Arial" w:eastAsia="Arial" w:hAnsi="Arial"/>
          <w:sz w:val="22"/>
          <w:szCs w:val="22"/>
          <w:color w:val="auto"/>
        </w:rPr>
      </w:pPr>
    </w:p>
    <w:p>
      <w:pPr>
        <w:ind w:left="2600" w:hanging="647"/>
        <w:spacing w:after="0"/>
        <w:tabs>
          <w:tab w:leader="none" w:pos="2600" w:val="left"/>
        </w:tabs>
        <w:numPr>
          <w:ilvl w:val="1"/>
          <w:numId w:val="160"/>
        </w:numPr>
        <w:rPr>
          <w:rFonts w:ascii="Arial" w:cs="Arial" w:eastAsia="Arial" w:hAnsi="Arial"/>
          <w:sz w:val="22"/>
          <w:szCs w:val="22"/>
          <w:color w:val="auto"/>
        </w:rPr>
      </w:pPr>
      <w:r>
        <w:rPr>
          <w:rFonts w:ascii="Arial" w:cs="Arial" w:eastAsia="Arial" w:hAnsi="Arial"/>
          <w:sz w:val="22"/>
          <w:szCs w:val="22"/>
          <w:color w:val="auto"/>
        </w:rPr>
        <w:t>the failure by Sempra Energy to comply with any material provision of this Agreement.</w:t>
      </w:r>
    </w:p>
    <w:p>
      <w:pPr>
        <w:spacing w:after="0" w:line="192" w:lineRule="exact"/>
        <w:rPr>
          <w:rFonts w:ascii="Arial" w:cs="Arial" w:eastAsia="Arial" w:hAnsi="Arial"/>
          <w:sz w:val="22"/>
          <w:szCs w:val="22"/>
          <w:color w:val="auto"/>
        </w:rPr>
      </w:pPr>
    </w:p>
    <w:p>
      <w:pPr>
        <w:ind w:right="60" w:firstLine="1305"/>
        <w:spacing w:after="0"/>
        <w:tabs>
          <w:tab w:leader="none" w:pos="1945" w:val="left"/>
        </w:tabs>
        <w:numPr>
          <w:ilvl w:val="0"/>
          <w:numId w:val="160"/>
        </w:numPr>
        <w:rPr>
          <w:rFonts w:ascii="Arial" w:cs="Arial" w:eastAsia="Arial" w:hAnsi="Arial"/>
          <w:sz w:val="22"/>
          <w:szCs w:val="22"/>
          <w:color w:val="auto"/>
        </w:rPr>
      </w:pPr>
      <w:r>
        <w:rPr>
          <w:rFonts w:ascii="Arial" w:cs="Arial" w:eastAsia="Arial" w:hAnsi="Arial"/>
          <w:sz w:val="22"/>
          <w:szCs w:val="22"/>
          <w:color w:val="auto"/>
        </w:rPr>
        <w:t>From and after a Change in Control, the occurrence of any of the following without the prior written consent of the Executive, unless such act or failure to act is corrected by the Company prior to the Date of Termination specified in the Notice of Termination (as required under Section 2 hereof):</w:t>
      </w:r>
    </w:p>
    <w:p>
      <w:pPr>
        <w:spacing w:after="0" w:line="186" w:lineRule="exact"/>
        <w:rPr>
          <w:rFonts w:ascii="Arial" w:cs="Arial" w:eastAsia="Arial" w:hAnsi="Arial"/>
          <w:sz w:val="22"/>
          <w:szCs w:val="22"/>
          <w:color w:val="auto"/>
        </w:rPr>
      </w:pPr>
    </w:p>
    <w:p>
      <w:pPr>
        <w:ind w:right="260" w:firstLine="1953"/>
        <w:spacing w:after="0" w:line="251" w:lineRule="auto"/>
        <w:tabs>
          <w:tab w:leader="none" w:pos="2593" w:val="left"/>
        </w:tabs>
        <w:numPr>
          <w:ilvl w:val="1"/>
          <w:numId w:val="160"/>
        </w:numPr>
        <w:rPr>
          <w:rFonts w:ascii="Arial" w:cs="Arial" w:eastAsia="Arial" w:hAnsi="Arial"/>
          <w:sz w:val="22"/>
          <w:szCs w:val="22"/>
          <w:color w:val="auto"/>
        </w:rPr>
      </w:pPr>
      <w:r>
        <w:rPr>
          <w:rFonts w:ascii="Arial" w:cs="Arial" w:eastAsia="Arial" w:hAnsi="Arial"/>
          <w:sz w:val="22"/>
          <w:szCs w:val="22"/>
          <w:color w:val="auto"/>
        </w:rPr>
        <w:t>an adverse change in the Executive’s title, authority, duties, responsibilities or reporting lines as in effect immediately prior to the Change in Control;</w:t>
      </w:r>
    </w:p>
    <w:p>
      <w:pPr>
        <w:spacing w:after="0" w:line="159" w:lineRule="exact"/>
        <w:rPr>
          <w:rFonts w:ascii="Arial" w:cs="Arial" w:eastAsia="Arial" w:hAnsi="Arial"/>
          <w:sz w:val="22"/>
          <w:szCs w:val="22"/>
          <w:color w:val="auto"/>
        </w:rPr>
      </w:pPr>
    </w:p>
    <w:p>
      <w:pPr>
        <w:ind w:right="20" w:firstLine="1953"/>
        <w:spacing w:after="0" w:line="245" w:lineRule="auto"/>
        <w:tabs>
          <w:tab w:leader="none" w:pos="2593" w:val="left"/>
        </w:tabs>
        <w:numPr>
          <w:ilvl w:val="1"/>
          <w:numId w:val="160"/>
        </w:numPr>
        <w:rPr>
          <w:rFonts w:ascii="Arial" w:cs="Arial" w:eastAsia="Arial" w:hAnsi="Arial"/>
          <w:sz w:val="21"/>
          <w:szCs w:val="21"/>
          <w:color w:val="auto"/>
        </w:rPr>
      </w:pPr>
      <w:r>
        <w:rPr>
          <w:rFonts w:ascii="Arial" w:cs="Arial" w:eastAsia="Arial" w:hAnsi="Arial"/>
          <w:sz w:val="21"/>
          <w:szCs w:val="21"/>
          <w:color w:val="auto"/>
        </w:rPr>
        <w:t>a reduction by the Company in the Executive’s aggregate annualized compensation opportunities, except for across-the-board reductions in base salaries, annual bonus opportunities or long-term incentive compensation opportunities of less than ten percent (10%) similarly affecting all similarly situated executives (both of the Company and of any Person then in control of the Company) of comparable rank with the Executive; or the failure by the Company to continue in effect any material benefit plan in which the Executive participates immediately prior to the Change in Control, unless an equitable arrangement (embodied in an ongoing substitute or alternative plan) has been made with respect to such plan, or the failure by the Company to continue the Executive's participation therein (or in such substitute or alternative plan) on a basis not materially less favorable, both in terms of the amount of benefits provided and the level of the Executive's participation relative to other participants, as existed at the time of the Change in Control;</w:t>
      </w:r>
    </w:p>
    <w:p>
      <w:pPr>
        <w:spacing w:after="0" w:line="171" w:lineRule="exact"/>
        <w:rPr>
          <w:rFonts w:ascii="Arial" w:cs="Arial" w:eastAsia="Arial" w:hAnsi="Arial"/>
          <w:sz w:val="21"/>
          <w:szCs w:val="21"/>
          <w:color w:val="auto"/>
        </w:rPr>
      </w:pPr>
    </w:p>
    <w:p>
      <w:pPr>
        <w:ind w:right="40" w:firstLine="1953"/>
        <w:spacing w:after="0" w:line="234" w:lineRule="auto"/>
        <w:tabs>
          <w:tab w:leader="none" w:pos="2593" w:val="left"/>
        </w:tabs>
        <w:numPr>
          <w:ilvl w:val="1"/>
          <w:numId w:val="160"/>
        </w:numPr>
        <w:rPr>
          <w:rFonts w:ascii="Arial" w:cs="Arial" w:eastAsia="Arial" w:hAnsi="Arial"/>
          <w:sz w:val="22"/>
          <w:szCs w:val="22"/>
          <w:color w:val="auto"/>
        </w:rPr>
      </w:pPr>
      <w:r>
        <w:rPr>
          <w:rFonts w:ascii="Arial" w:cs="Arial" w:eastAsia="Arial" w:hAnsi="Arial"/>
          <w:sz w:val="22"/>
          <w:szCs w:val="22"/>
          <w:color w:val="auto"/>
        </w:rPr>
        <w:t>the relocation of the Executive’s principal place of employment immediately prior to the Change in Control Date (the “</w:t>
      </w:r>
      <w:r>
        <w:rPr>
          <w:rFonts w:ascii="Arial" w:cs="Arial" w:eastAsia="Arial" w:hAnsi="Arial"/>
          <w:sz w:val="22"/>
          <w:szCs w:val="22"/>
          <w:u w:val="single" w:color="auto"/>
          <w:color w:val="auto"/>
        </w:rPr>
        <w:t>Principal Location</w:t>
      </w:r>
      <w:r>
        <w:rPr>
          <w:rFonts w:ascii="Arial" w:cs="Arial" w:eastAsia="Arial" w:hAnsi="Arial"/>
          <w:sz w:val="22"/>
          <w:szCs w:val="22"/>
          <w:color w:val="auto"/>
        </w:rPr>
        <w:t>”) to a location which is both further away from the Executive’s residence and more than thirty (30) miles from such Principal Location, or the Company’s requiring the Executive to be based anywhere other than such Principal Location (or permitted relocation thereof), or a substantial increase in the Executive’s business travel obligations outside of the Southern California area as of the Effective Date other than any such increase that (A) arises in connection with extraordinary business activities of the Company of limited duration and (B) is understood not to be part of the Executive’s regular duties with the Company;</w:t>
      </w:r>
    </w:p>
    <w:p>
      <w:pPr>
        <w:spacing w:after="0" w:line="191" w:lineRule="exact"/>
        <w:rPr>
          <w:rFonts w:ascii="Arial" w:cs="Arial" w:eastAsia="Arial" w:hAnsi="Arial"/>
          <w:sz w:val="22"/>
          <w:szCs w:val="22"/>
          <w:color w:val="auto"/>
        </w:rPr>
      </w:pPr>
    </w:p>
    <w:p>
      <w:pPr>
        <w:ind w:right="80" w:firstLine="1953"/>
        <w:spacing w:after="0"/>
        <w:tabs>
          <w:tab w:leader="none" w:pos="2593" w:val="left"/>
        </w:tabs>
        <w:numPr>
          <w:ilvl w:val="1"/>
          <w:numId w:val="160"/>
        </w:numPr>
        <w:rPr>
          <w:rFonts w:ascii="Arial" w:cs="Arial" w:eastAsia="Arial" w:hAnsi="Arial"/>
          <w:sz w:val="22"/>
          <w:szCs w:val="22"/>
          <w:color w:val="auto"/>
        </w:rPr>
      </w:pPr>
      <w:r>
        <w:rPr>
          <w:rFonts w:ascii="Arial" w:cs="Arial" w:eastAsia="Arial" w:hAnsi="Arial"/>
          <w:sz w:val="22"/>
          <w:szCs w:val="22"/>
          <w:color w:val="auto"/>
        </w:rPr>
        <w:t>the failure by the Company to pay to the Executive any portion of the Executive’s current compensation and benefits or any portion of an installment of deferred compensation under any deferred compensation program of the Company within thirty (30) days of the date such compensation is due;</w:t>
      </w:r>
    </w:p>
    <w:p>
      <w:pPr>
        <w:sectPr>
          <w:pgSz w:w="11900" w:h="16838" w:orient="portrait"/>
          <w:cols w:equalWidth="0" w:num="1">
            <w:col w:w="11400"/>
          </w:cols>
          <w:pgMar w:left="240" w:top="118" w:right="259" w:bottom="0" w:gutter="0" w:footer="0" w:header="0"/>
        </w:sectPr>
      </w:pPr>
    </w:p>
    <w:bookmarkStart w:id="115" w:name="page116"/>
    <w:bookmarkEnd w:id="115"/>
    <w:p>
      <w:pPr>
        <w:jc w:val="both"/>
        <w:ind w:right="20" w:firstLine="1953"/>
        <w:spacing w:after="0" w:line="241" w:lineRule="auto"/>
        <w:tabs>
          <w:tab w:leader="none" w:pos="2593"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any purported termination of the Executive’s employment that is not effected pursuant to a Notice of Termination satisfying the requirements of Section 2 hereof; for purposes of this Agreement, no such purported termination shall be effective;</w:t>
      </w:r>
    </w:p>
    <w:p>
      <w:pPr>
        <w:spacing w:after="0" w:line="170" w:lineRule="exact"/>
        <w:rPr>
          <w:rFonts w:ascii="Arial" w:cs="Arial" w:eastAsia="Arial" w:hAnsi="Arial"/>
          <w:sz w:val="22"/>
          <w:szCs w:val="22"/>
          <w:color w:val="auto"/>
        </w:rPr>
      </w:pPr>
    </w:p>
    <w:p>
      <w:pPr>
        <w:ind w:left="2600" w:hanging="647"/>
        <w:spacing w:after="0"/>
        <w:tabs>
          <w:tab w:leader="none" w:pos="2600" w:val="left"/>
        </w:tabs>
        <w:numPr>
          <w:ilvl w:val="0"/>
          <w:numId w:val="161"/>
        </w:numPr>
        <w:rPr>
          <w:rFonts w:ascii="Arial" w:cs="Arial" w:eastAsia="Arial" w:hAnsi="Arial"/>
          <w:sz w:val="21"/>
          <w:szCs w:val="21"/>
          <w:color w:val="auto"/>
        </w:rPr>
      </w:pPr>
      <w:r>
        <w:rPr>
          <w:rFonts w:ascii="Arial" w:cs="Arial" w:eastAsia="Arial" w:hAnsi="Arial"/>
          <w:sz w:val="21"/>
          <w:szCs w:val="21"/>
          <w:color w:val="auto"/>
        </w:rPr>
        <w:t>the failure by Sempra Energy to perform its obligations under Section 16(c), (d) or (e) hereof;</w:t>
      </w:r>
    </w:p>
    <w:p>
      <w:pPr>
        <w:spacing w:after="0" w:line="217" w:lineRule="exact"/>
        <w:rPr>
          <w:rFonts w:ascii="Arial" w:cs="Arial" w:eastAsia="Arial" w:hAnsi="Arial"/>
          <w:sz w:val="21"/>
          <w:szCs w:val="21"/>
          <w:color w:val="auto"/>
        </w:rPr>
      </w:pPr>
    </w:p>
    <w:p>
      <w:pPr>
        <w:ind w:right="100" w:firstLine="1953"/>
        <w:spacing w:after="0" w:line="251" w:lineRule="auto"/>
        <w:tabs>
          <w:tab w:leader="none" w:pos="2593" w:val="left"/>
        </w:tabs>
        <w:numPr>
          <w:ilvl w:val="0"/>
          <w:numId w:val="161"/>
        </w:numPr>
        <w:rPr>
          <w:rFonts w:ascii="Arial" w:cs="Arial" w:eastAsia="Arial" w:hAnsi="Arial"/>
          <w:sz w:val="22"/>
          <w:szCs w:val="22"/>
          <w:color w:val="auto"/>
        </w:rPr>
      </w:pPr>
      <w:r>
        <w:rPr>
          <w:rFonts w:ascii="Arial" w:cs="Arial" w:eastAsia="Arial" w:hAnsi="Arial"/>
          <w:sz w:val="22"/>
          <w:szCs w:val="22"/>
          <w:color w:val="auto"/>
        </w:rPr>
        <w:t>the failure by the Company to provide the indemnification and D&amp;O insurance protection Section 10 of this Agreement requires it to provide; or</w:t>
      </w:r>
    </w:p>
    <w:p>
      <w:pPr>
        <w:spacing w:after="0" w:line="159" w:lineRule="exact"/>
        <w:rPr>
          <w:rFonts w:ascii="Arial" w:cs="Arial" w:eastAsia="Arial" w:hAnsi="Arial"/>
          <w:sz w:val="22"/>
          <w:szCs w:val="22"/>
          <w:color w:val="auto"/>
        </w:rPr>
      </w:pPr>
    </w:p>
    <w:p>
      <w:pPr>
        <w:ind w:left="2600" w:hanging="647"/>
        <w:spacing w:after="0"/>
        <w:tabs>
          <w:tab w:leader="none" w:pos="260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the failure by Sempra Energy to comply with any material provision of this Agreement.</w:t>
      </w:r>
    </w:p>
    <w:p>
      <w:pPr>
        <w:spacing w:after="0" w:line="206" w:lineRule="exact"/>
        <w:rPr>
          <w:sz w:val="20"/>
          <w:szCs w:val="20"/>
          <w:color w:val="auto"/>
        </w:rPr>
      </w:pPr>
    </w:p>
    <w:p>
      <w:pPr>
        <w:ind w:right="160" w:firstLine="1297"/>
        <w:spacing w:after="0" w:line="282" w:lineRule="auto"/>
        <w:rPr>
          <w:sz w:val="20"/>
          <w:szCs w:val="20"/>
          <w:color w:val="auto"/>
        </w:rPr>
      </w:pPr>
      <w:r>
        <w:rPr>
          <w:rFonts w:ascii="Arial" w:cs="Arial" w:eastAsia="Arial" w:hAnsi="Arial"/>
          <w:sz w:val="19"/>
          <w:szCs w:val="19"/>
          <w:color w:val="auto"/>
        </w:rPr>
        <w:t>Following a Change in Control, the Executive’s determination that an act or failure to act constitutes Good Reason shall be presumed to be valid unless such determination is deemed to be unreasonable by an arbitrator pursuant to the procedure described in Section 13 hereof. The Executive’s right to terminate the Executive’s employment for Good Reason shall not be affected by the Executive’s incapacity due to physical or mental illness. The Executive’s continued employment shall not constitute consent to, or a waiver of rights with respect to, any act or failure to act constituting Good Reason hereunder.</w:t>
      </w:r>
    </w:p>
    <w:p>
      <w:pPr>
        <w:spacing w:after="0" w:line="148" w:lineRule="exact"/>
        <w:rPr>
          <w:sz w:val="20"/>
          <w:szCs w:val="20"/>
          <w:color w:val="auto"/>
        </w:rPr>
      </w:pPr>
    </w:p>
    <w:p>
      <w:pPr>
        <w:ind w:left="60" w:right="700" w:firstLine="1243"/>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Incentive Compensation Awards</w:t>
      </w:r>
      <w:r>
        <w:rPr>
          <w:rFonts w:ascii="Arial" w:cs="Arial" w:eastAsia="Arial" w:hAnsi="Arial"/>
          <w:sz w:val="19"/>
          <w:szCs w:val="19"/>
          <w:color w:val="auto"/>
        </w:rPr>
        <w:t>” means awards granted under Incentive Compensation Plans providing the Executive with the opportunity to earn, on a year-by-year basis, annual and long-term incentive compensation.</w:t>
      </w:r>
    </w:p>
    <w:p>
      <w:pPr>
        <w:spacing w:after="0" w:line="105"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Incentive Compensation Plans</w:t>
      </w:r>
      <w:r>
        <w:rPr>
          <w:rFonts w:ascii="Arial" w:cs="Arial" w:eastAsia="Arial" w:hAnsi="Arial"/>
          <w:sz w:val="22"/>
          <w:szCs w:val="22"/>
          <w:color w:val="auto"/>
        </w:rPr>
        <w:t>” means annual incentive compensation plans and long-term incentive compensation plans of the Company, which long-term incentive compensation plans may include plans offering stock options, restricted stock and other long-term incentive compensation.</w:t>
      </w:r>
    </w:p>
    <w:p>
      <w:pPr>
        <w:spacing w:after="0" w:line="186" w:lineRule="exact"/>
        <w:rPr>
          <w:sz w:val="20"/>
          <w:szCs w:val="20"/>
          <w:color w:val="auto"/>
        </w:rPr>
      </w:pPr>
    </w:p>
    <w:p>
      <w:pPr>
        <w:ind w:right="56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Involuntary Termination</w:t>
      </w:r>
      <w:r>
        <w:rPr>
          <w:rFonts w:ascii="Arial" w:cs="Arial" w:eastAsia="Arial" w:hAnsi="Arial"/>
          <w:sz w:val="22"/>
          <w:szCs w:val="22"/>
          <w:color w:val="auto"/>
        </w:rPr>
        <w:t>” means (a) the Executive’s Separation from Service by reason other than for Cause, death, or Disability, or Mandatory Retirement, or (b) the Executive’s Separation from Service by reason of resignation of employment for Good Reason.</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JAMS Rules</w:t>
      </w:r>
      <w:r>
        <w:rPr>
          <w:rFonts w:ascii="Arial" w:cs="Arial" w:eastAsia="Arial" w:hAnsi="Arial"/>
          <w:sz w:val="22"/>
          <w:szCs w:val="22"/>
          <w:color w:val="auto"/>
        </w:rPr>
        <w:t>” has the meaning assigned thereto in Section 13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Mandatory Retirement</w:t>
      </w:r>
      <w:r>
        <w:rPr>
          <w:rFonts w:ascii="Arial" w:cs="Arial" w:eastAsia="Arial" w:hAnsi="Arial"/>
          <w:sz w:val="19"/>
          <w:szCs w:val="19"/>
          <w:color w:val="auto"/>
        </w:rPr>
        <w:t>” means termination of employment pursuant to the Company’s mandatory retirement policy.</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Termination</w:t>
      </w:r>
      <w:r>
        <w:rPr>
          <w:rFonts w:ascii="Arial" w:cs="Arial" w:eastAsia="Arial" w:hAnsi="Arial"/>
          <w:sz w:val="22"/>
          <w:szCs w:val="22"/>
          <w:color w:val="auto"/>
        </w:rPr>
        <w:t>” has the meaning assigned thereto in Section 2(a)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w:t>
      </w:r>
      <w:r>
        <w:rPr>
          <w:rFonts w:ascii="Arial" w:cs="Arial" w:eastAsia="Arial" w:hAnsi="Arial"/>
          <w:sz w:val="22"/>
          <w:szCs w:val="22"/>
          <w:color w:val="auto"/>
        </w:rPr>
        <w:t>” has the meaning assigned thereto in Section 8(a)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in Lieu of Notice</w:t>
      </w:r>
      <w:r>
        <w:rPr>
          <w:rFonts w:ascii="Arial" w:cs="Arial" w:eastAsia="Arial" w:hAnsi="Arial"/>
          <w:sz w:val="22"/>
          <w:szCs w:val="22"/>
          <w:color w:val="auto"/>
        </w:rPr>
        <w:t>” has the meaning assigned thereto in Section 2(b) hereof.</w:t>
      </w:r>
    </w:p>
    <w:p>
      <w:pPr>
        <w:spacing w:after="0" w:line="206" w:lineRule="exact"/>
        <w:rPr>
          <w:sz w:val="20"/>
          <w:szCs w:val="20"/>
          <w:color w:val="auto"/>
        </w:rPr>
      </w:pPr>
    </w:p>
    <w:p>
      <w:pPr>
        <w:ind w:right="160" w:firstLine="12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has the meaning set forth in section 3(a)(9) of the Exchange Act, as modified and used in sections 13(d) and 14(d) thereof, except that such term shall not include (i) the Company or any of its Affiliates, (ii) a trustee or other fiduciary holding securities under an employee benefit plan of the Company or any of its Affiliates, (iii) an underwriter temporarily holding securities pursuant to an offering of such securities, (iv) a corporation owned, directly or indirectly, by the shareholders of the Company in substantially the same proportions as their ownership of stock of the Company, or (v) a person or group as used in Rule 13d-1(b) promulgated under the Exchange Act.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Post-Change in Control Severance Payment</w:t>
      </w:r>
      <w:r>
        <w:rPr>
          <w:rFonts w:ascii="Arial" w:cs="Arial" w:eastAsia="Arial" w:hAnsi="Arial"/>
          <w:sz w:val="22"/>
          <w:szCs w:val="22"/>
          <w:color w:val="auto"/>
        </w:rPr>
        <w:t>” has the meaning assigned thereto in Section 5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Pre-Change in Control Severance Payment</w:t>
      </w:r>
      <w:r>
        <w:rPr>
          <w:rFonts w:ascii="Arial" w:cs="Arial" w:eastAsia="Arial" w:hAnsi="Arial"/>
          <w:sz w:val="22"/>
          <w:szCs w:val="22"/>
          <w:color w:val="auto"/>
        </w:rPr>
        <w:t>” has the meaning assigned thereto in Section 4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Principal Location</w:t>
      </w:r>
      <w:r>
        <w:rPr>
          <w:rFonts w:ascii="Arial" w:cs="Arial" w:eastAsia="Arial" w:hAnsi="Arial"/>
          <w:sz w:val="19"/>
          <w:szCs w:val="19"/>
          <w:color w:val="auto"/>
        </w:rPr>
        <w:t>” has the meaning assigned thereto in clause (b)(iii) of the definition of Good Reason, above.</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Proprietary Information</w:t>
      </w:r>
      <w:r>
        <w:rPr>
          <w:rFonts w:ascii="Arial" w:cs="Arial" w:eastAsia="Arial" w:hAnsi="Arial"/>
          <w:sz w:val="22"/>
          <w:szCs w:val="22"/>
          <w:color w:val="auto"/>
        </w:rPr>
        <w:t>” has the meaning assigned thereto in Section 14(a)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 Rata Bonus</w:t>
      </w:r>
      <w:r>
        <w:rPr>
          <w:rFonts w:ascii="Arial" w:cs="Arial" w:eastAsia="Arial" w:hAnsi="Arial"/>
          <w:sz w:val="22"/>
          <w:szCs w:val="22"/>
          <w:color w:val="auto"/>
        </w:rPr>
        <w:t>” has the meaning assigned thereto in Section 5(b)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has the meaning assigned thereto in Section 4 hereof.</w:t>
      </w:r>
    </w:p>
    <w:p>
      <w:pPr>
        <w:spacing w:after="0" w:line="206" w:lineRule="exact"/>
        <w:rPr>
          <w:sz w:val="20"/>
          <w:szCs w:val="20"/>
          <w:color w:val="auto"/>
        </w:rPr>
      </w:pPr>
    </w:p>
    <w:p>
      <w:pPr>
        <w:ind w:right="40" w:firstLine="12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Section 409A Payments</w:t>
      </w:r>
      <w:r>
        <w:rPr>
          <w:rFonts w:ascii="Arial" w:cs="Arial" w:eastAsia="Arial" w:hAnsi="Arial"/>
          <w:sz w:val="19"/>
          <w:szCs w:val="19"/>
          <w:color w:val="auto"/>
        </w:rPr>
        <w:t>” means any of the following: (a) the Payment in Lieu of Notice; (b) the Pre-Change in Control Severance Payment; (c) the Post-Change in Control Severance Payment; (d) the Pro Rata Bonus; (e) the Consulting Payment; (f) the payment under Section 5(c); (g) the financial planning services and the related payments provided under Sections 4(e) and 5(g); (h) the legal fees and expenses reimbursed under Section 15; and (i) any other payment that the Company determines in its sole discretion is subject to Section 409A of the Code as non-qualified deferred compensation.</w:t>
      </w:r>
    </w:p>
    <w:p>
      <w:pPr>
        <w:spacing w:after="0" w:line="148" w:lineRule="exact"/>
        <w:rPr>
          <w:sz w:val="20"/>
          <w:szCs w:val="20"/>
          <w:color w:val="auto"/>
        </w:rPr>
      </w:pPr>
    </w:p>
    <w:p>
      <w:pPr>
        <w:ind w:right="66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Sempra Energy Control Group</w:t>
      </w:r>
      <w:r>
        <w:rPr>
          <w:rFonts w:ascii="Arial" w:cs="Arial" w:eastAsia="Arial" w:hAnsi="Arial"/>
          <w:sz w:val="19"/>
          <w:szCs w:val="19"/>
          <w:color w:val="auto"/>
        </w:rPr>
        <w:t>” means Sempra Energy and all persons with whom Sempra Energy would be considered a single employer under Section 414(b) or 414(c) of the Code, as determined from time to time.</w:t>
      </w:r>
    </w:p>
    <w:p>
      <w:pPr>
        <w:spacing w:after="0" w:line="105" w:lineRule="exact"/>
        <w:rPr>
          <w:sz w:val="20"/>
          <w:szCs w:val="20"/>
          <w:color w:val="auto"/>
        </w:rPr>
      </w:pPr>
    </w:p>
    <w:p>
      <w:pPr>
        <w:ind w:right="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Separation from Service</w:t>
      </w:r>
      <w:r>
        <w:rPr>
          <w:rFonts w:ascii="Arial" w:cs="Arial" w:eastAsia="Arial" w:hAnsi="Arial"/>
          <w:sz w:val="22"/>
          <w:szCs w:val="22"/>
          <w:color w:val="auto"/>
        </w:rPr>
        <w:t>” has the meaning set forth in Treasury Regulation Section 1.409A-1(h), with respect to the Service Recipient.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SERP</w:t>
      </w:r>
      <w:r>
        <w:rPr>
          <w:rFonts w:ascii="Arial" w:cs="Arial" w:eastAsia="Arial" w:hAnsi="Arial"/>
          <w:sz w:val="22"/>
          <w:szCs w:val="22"/>
          <w:color w:val="auto"/>
        </w:rPr>
        <w:t>” has the meaning assigned thereto in Section 5(c) hereof.</w:t>
      </w:r>
    </w:p>
    <w:p>
      <w:pPr>
        <w:sectPr>
          <w:pgSz w:w="11900" w:h="16838" w:orient="portrait"/>
          <w:cols w:equalWidth="0" w:num="1">
            <w:col w:w="11420"/>
          </w:cols>
          <w:pgMar w:left="240" w:top="118" w:right="239" w:bottom="0" w:gutter="0" w:footer="0" w:header="0"/>
        </w:sectPr>
      </w:pPr>
    </w:p>
    <w:bookmarkStart w:id="116" w:name="page117"/>
    <w:bookmarkEnd w:id="116"/>
    <w:p>
      <w:pPr>
        <w:ind w:right="2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Employee</w:t>
      </w:r>
      <w:r>
        <w:rPr>
          <w:rFonts w:ascii="Arial" w:cs="Arial" w:eastAsia="Arial" w:hAnsi="Arial"/>
          <w:sz w:val="22"/>
          <w:szCs w:val="22"/>
          <w:color w:val="auto"/>
        </w:rPr>
        <w:t>” shall be determined in accordance with Section 409A(a)(2)(B)(i) of the Code and Treasury Regulation 1.409A-1(i).</w:t>
      </w:r>
    </w:p>
    <w:p>
      <w:pPr>
        <w:spacing w:after="0" w:line="174" w:lineRule="exact"/>
        <w:rPr>
          <w:sz w:val="20"/>
          <w:szCs w:val="20"/>
          <w:color w:val="auto"/>
        </w:rPr>
      </w:pPr>
    </w:p>
    <w:p>
      <w:pPr>
        <w:ind w:right="60" w:firstLine="1297"/>
        <w:spacing w:after="0" w:line="251" w:lineRule="auto"/>
        <w:rPr>
          <w:sz w:val="20"/>
          <w:szCs w:val="20"/>
          <w:color w:val="auto"/>
        </w:rPr>
      </w:pPr>
      <w:r>
        <w:rPr>
          <w:rFonts w:ascii="Arial" w:cs="Arial" w:eastAsia="Arial" w:hAnsi="Arial"/>
          <w:sz w:val="22"/>
          <w:szCs w:val="22"/>
          <w:color w:val="auto"/>
        </w:rPr>
        <w:t>For purposes of this Agreement, references to any “</w:t>
      </w:r>
      <w:r>
        <w:rPr>
          <w:rFonts w:ascii="Arial" w:cs="Arial" w:eastAsia="Arial" w:hAnsi="Arial"/>
          <w:sz w:val="22"/>
          <w:szCs w:val="22"/>
          <w:u w:val="single" w:color="auto"/>
          <w:color w:val="auto"/>
        </w:rPr>
        <w:t>Treasury Regulation</w:t>
      </w:r>
      <w:r>
        <w:rPr>
          <w:rFonts w:ascii="Arial" w:cs="Arial" w:eastAsia="Arial" w:hAnsi="Arial"/>
          <w:sz w:val="22"/>
          <w:szCs w:val="22"/>
          <w:color w:val="auto"/>
        </w:rPr>
        <w:t>” shall mean such Treasury Regulation as in effect on the date hereof.</w:t>
      </w:r>
    </w:p>
    <w:p>
      <w:pPr>
        <w:spacing w:after="0" w:line="16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19"/>
          <w:szCs w:val="19"/>
          <w:u w:val="single" w:color="auto"/>
          <w:color w:val="auto"/>
        </w:rPr>
        <w:t>Notice and Date of Termination</w:t>
      </w:r>
      <w:r>
        <w:rPr>
          <w:rFonts w:ascii="Arial" w:cs="Arial" w:eastAsia="Arial" w:hAnsi="Arial"/>
          <w:sz w:val="19"/>
          <w:szCs w:val="19"/>
          <w:color w:val="auto"/>
        </w:rPr>
        <w:t>.</w:t>
      </w:r>
    </w:p>
    <w:p>
      <w:pPr>
        <w:spacing w:after="0" w:line="206" w:lineRule="exact"/>
        <w:rPr>
          <w:sz w:val="20"/>
          <w:szCs w:val="20"/>
          <w:color w:val="auto"/>
        </w:rPr>
      </w:pPr>
    </w:p>
    <w:p>
      <w:pPr>
        <w:ind w:right="100" w:firstLine="1305"/>
        <w:spacing w:after="0" w:line="279" w:lineRule="auto"/>
        <w:tabs>
          <w:tab w:leader="none" w:pos="1945" w:val="left"/>
        </w:tabs>
        <w:numPr>
          <w:ilvl w:val="0"/>
          <w:numId w:val="162"/>
        </w:numPr>
        <w:rPr>
          <w:rFonts w:ascii="Arial" w:cs="Arial" w:eastAsia="Arial" w:hAnsi="Arial"/>
          <w:sz w:val="19"/>
          <w:szCs w:val="19"/>
          <w:color w:val="auto"/>
        </w:rPr>
      </w:pPr>
      <w:r>
        <w:rPr>
          <w:rFonts w:ascii="Arial" w:cs="Arial" w:eastAsia="Arial" w:hAnsi="Arial"/>
          <w:sz w:val="19"/>
          <w:szCs w:val="19"/>
          <w:color w:val="auto"/>
        </w:rPr>
        <w:t>Any termination of the Executive’s employment by the Company or by the Executive shall be communicated by a written notice of termination to the other party (the “</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Where applicable, the Notice of Termination shall indicate the specific termination provision in this Agreement relied upon and shall set forth in reasonable detail the facts and circumstances claimed to provide a basis for termination of the Executive’s employment under the provision so indicated. Unless the Board determines otherwise, a Notice of Termination by the Executive alleging a termination for Good Reason must be made within 180 days of the act or failure to act that the Executive alleges to constitute Good Reason.</w:t>
      </w:r>
    </w:p>
    <w:p>
      <w:pPr>
        <w:spacing w:after="0" w:line="137" w:lineRule="exact"/>
        <w:rPr>
          <w:rFonts w:ascii="Arial" w:cs="Arial" w:eastAsia="Arial" w:hAnsi="Arial"/>
          <w:sz w:val="19"/>
          <w:szCs w:val="19"/>
          <w:color w:val="auto"/>
        </w:rPr>
      </w:pPr>
    </w:p>
    <w:p>
      <w:pPr>
        <w:ind w:right="40" w:firstLine="1305"/>
        <w:spacing w:after="0" w:line="244" w:lineRule="auto"/>
        <w:tabs>
          <w:tab w:leader="none" w:pos="1945" w:val="left"/>
        </w:tabs>
        <w:numPr>
          <w:ilvl w:val="0"/>
          <w:numId w:val="162"/>
        </w:numPr>
        <w:rPr>
          <w:rFonts w:ascii="Arial" w:cs="Arial" w:eastAsia="Arial" w:hAnsi="Arial"/>
          <w:sz w:val="21"/>
          <w:szCs w:val="21"/>
          <w:color w:val="auto"/>
        </w:rPr>
      </w:pPr>
      <w:r>
        <w:rPr>
          <w:rFonts w:ascii="Arial" w:cs="Arial" w:eastAsia="Arial" w:hAnsi="Arial"/>
          <w:sz w:val="21"/>
          <w:szCs w:val="21"/>
          <w:color w:val="auto"/>
        </w:rPr>
        <w:t>The date of the Executive’s termination of employment with the Company (the “</w:t>
      </w:r>
      <w:r>
        <w:rPr>
          <w:rFonts w:ascii="Arial" w:cs="Arial" w:eastAsia="Arial" w:hAnsi="Arial"/>
          <w:sz w:val="21"/>
          <w:szCs w:val="21"/>
          <w:u w:val="single" w:color="auto"/>
          <w:color w:val="auto"/>
        </w:rPr>
        <w:t>Date of Termination</w:t>
      </w:r>
      <w:r>
        <w:rPr>
          <w:rFonts w:ascii="Arial" w:cs="Arial" w:eastAsia="Arial" w:hAnsi="Arial"/>
          <w:sz w:val="21"/>
          <w:szCs w:val="21"/>
          <w:color w:val="auto"/>
        </w:rPr>
        <w:t>”) shall be determined as follows: (i) if the Executive’s Separation from Service is at the volition of the Company, the Date of Termination shall be the date specified in the Notice of Termination (which, in the case of a termination by the Company other than for Cause, shall not be less than two (2) weeks from the date such Notice of Termination is given unless the Company elects to pay the Executive, in addition to any other amounts payable hereunder, an amount (the “</w:t>
      </w:r>
      <w:r>
        <w:rPr>
          <w:rFonts w:ascii="Arial" w:cs="Arial" w:eastAsia="Arial" w:hAnsi="Arial"/>
          <w:sz w:val="21"/>
          <w:szCs w:val="21"/>
          <w:u w:val="single" w:color="auto"/>
          <w:color w:val="auto"/>
        </w:rPr>
        <w:t>Payment in Lieu of Notice</w:t>
      </w:r>
      <w:r>
        <w:rPr>
          <w:rFonts w:ascii="Arial" w:cs="Arial" w:eastAsia="Arial" w:hAnsi="Arial"/>
          <w:sz w:val="21"/>
          <w:szCs w:val="21"/>
          <w:color w:val="auto"/>
        </w:rPr>
        <w:t xml:space="preserve">”) equal to two (2) weeks of the Executive’s Annual Base Salary in effect on the Date of Termination), and (ii) if the Executive’s Separation from Service is by the Executive for Good Reason, the Date of Termination shall be determined by the Executive and specified in the Notice of Termination, but shall not in any event be less than fifteen (15) days nor more than sixty (60) days after the date such Notice of Termination is given. The Payment in Lieu of Notice shall be paid on such date as is required by law, but no later than thirty (30) days after the date of the Executive’s Separation from Service; </w:t>
      </w:r>
      <w:r>
        <w:rPr>
          <w:rFonts w:ascii="Arial" w:cs="Arial" w:eastAsia="Arial" w:hAnsi="Arial"/>
          <w:sz w:val="21"/>
          <w:szCs w:val="21"/>
          <w:i w:val="1"/>
          <w:iCs w:val="1"/>
          <w:color w:val="auto"/>
        </w:rPr>
        <w:t>provided, however</w:t>
      </w:r>
      <w:r>
        <w:rPr>
          <w:rFonts w:ascii="Arial" w:cs="Arial" w:eastAsia="Arial" w:hAnsi="Arial"/>
          <w:sz w:val="21"/>
          <w:szCs w:val="21"/>
          <w:color w:val="auto"/>
        </w:rPr>
        <w:t>, that if the Executive is a Specified Employee on the date of his or her Separation from Service, such Payment in Lieu of Notice shall be paid as provided in Section 9 hereof.</w:t>
      </w:r>
    </w:p>
    <w:p>
      <w:pPr>
        <w:spacing w:after="0" w:line="174" w:lineRule="exact"/>
        <w:rPr>
          <w:sz w:val="20"/>
          <w:szCs w:val="20"/>
          <w:color w:val="auto"/>
        </w:rPr>
      </w:pPr>
    </w:p>
    <w:p>
      <w:pPr>
        <w:ind w:right="100" w:firstLine="1297"/>
        <w:spacing w:after="0" w:line="297" w:lineRule="auto"/>
        <w:rPr>
          <w:sz w:val="20"/>
          <w:szCs w:val="20"/>
          <w:color w:val="auto"/>
        </w:rPr>
      </w:pPr>
      <w:r>
        <w:rPr>
          <w:rFonts w:ascii="Arial" w:cs="Arial" w:eastAsia="Arial" w:hAnsi="Arial"/>
          <w:sz w:val="19"/>
          <w:szCs w:val="19"/>
          <w:b w:val="1"/>
          <w:bCs w:val="1"/>
          <w:color w:val="auto"/>
        </w:rPr>
        <w:t xml:space="preserve">Section 3. </w:t>
      </w:r>
      <w:r>
        <w:rPr>
          <w:rFonts w:ascii="Arial" w:cs="Arial" w:eastAsia="Arial" w:hAnsi="Arial"/>
          <w:sz w:val="19"/>
          <w:szCs w:val="19"/>
          <w:u w:val="single" w:color="auto"/>
          <w:color w:val="auto"/>
        </w:rPr>
        <w:t>Termination from the Board</w:t>
      </w:r>
      <w:r>
        <w:rPr>
          <w:rFonts w:ascii="Arial" w:cs="Arial" w:eastAsia="Arial" w:hAnsi="Arial"/>
          <w:sz w:val="19"/>
          <w:szCs w:val="19"/>
          <w:color w:val="auto"/>
        </w:rPr>
        <w:t>. Upon the termination of the Executive’s employment for any reason,</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Executive’s membership on the Board, the board of directors of any of the Company’s Affiliates, any committees of the Board and any committees of the board of directors of any of the Company’s Affiliates, if applicable, shall be automatically terminated.</w:t>
      </w:r>
    </w:p>
    <w:p>
      <w:pPr>
        <w:spacing w:after="0" w:line="128" w:lineRule="exact"/>
        <w:rPr>
          <w:sz w:val="20"/>
          <w:szCs w:val="20"/>
          <w:color w:val="auto"/>
        </w:rPr>
      </w:pPr>
    </w:p>
    <w:p>
      <w:pPr>
        <w:ind w:firstLine="1297"/>
        <w:spacing w:after="0" w:line="271" w:lineRule="auto"/>
        <w:rPr>
          <w:sz w:val="20"/>
          <w:szCs w:val="20"/>
          <w:color w:val="auto"/>
        </w:rPr>
      </w:pPr>
      <w:r>
        <w:rPr>
          <w:rFonts w:ascii="Arial" w:cs="Arial" w:eastAsia="Arial" w:hAnsi="Arial"/>
          <w:sz w:val="19"/>
          <w:szCs w:val="19"/>
          <w:b w:val="1"/>
          <w:bCs w:val="1"/>
          <w:color w:val="auto"/>
        </w:rPr>
        <w:t xml:space="preserve">Section 4. </w:t>
      </w:r>
      <w:r>
        <w:rPr>
          <w:rFonts w:ascii="Arial" w:cs="Arial" w:eastAsia="Arial" w:hAnsi="Arial"/>
          <w:sz w:val="19"/>
          <w:szCs w:val="19"/>
          <w:u w:val="single" w:color="auto"/>
          <w:color w:val="auto"/>
        </w:rPr>
        <w:t>Severance Benefits upon Involuntary Termination Prior to Change in Control</w:t>
      </w:r>
      <w:r>
        <w:rPr>
          <w:rFonts w:ascii="Arial" w:cs="Arial" w:eastAsia="Arial" w:hAnsi="Arial"/>
          <w:sz w:val="19"/>
          <w:szCs w:val="19"/>
          <w:color w:val="auto"/>
        </w:rPr>
        <w:t>. Except as provided in</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5(h) and Section 19(i) hereof, in the event of the Involuntary Termination of the Executive prior to a Change in Control, the Company shall pay the Executive, in one lump sum cash payment, an amount (the “</w:t>
      </w:r>
      <w:r>
        <w:rPr>
          <w:rFonts w:ascii="Arial" w:cs="Arial" w:eastAsia="Arial" w:hAnsi="Arial"/>
          <w:sz w:val="19"/>
          <w:szCs w:val="19"/>
          <w:u w:val="single" w:color="auto"/>
          <w:color w:val="auto"/>
        </w:rPr>
        <w:t>Pre-Change in Control Severance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Payment</w:t>
      </w:r>
      <w:r>
        <w:rPr>
          <w:rFonts w:ascii="Arial" w:cs="Arial" w:eastAsia="Arial" w:hAnsi="Arial"/>
          <w:sz w:val="19"/>
          <w:szCs w:val="19"/>
          <w:color w:val="auto"/>
        </w:rPr>
        <w:t>”) equal to one-half (0.5) times the greater of: (X) 150% of the Executive’s Annual Base Salary as in effect on the Date of Termination, and (Y) the Executive’s Annual Base Salary as in effect on the Date of Termination, plus the Executive’s Average Annual Bonus. In addition to the Pre-Change in Control Severance Payment, the Executive shall be entitled to the following additional benefits specified in subsections (a) through (e). The Company's obligation to pay the Pre-Change in Control Severance Payment or provide the benefits set forth in subsections (c), (d) and (e) are subject to and conditioned upon the Executive executing a release (the “</w:t>
      </w: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of all claims substantially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within fifty (50) days after the date of Involuntary Termination and Executive not revoking such Release in accordance with the terms thereof. Except as provided in Section 4(f), the Pre-Change in Control Severance Payment shall be paid on such date as is determined by the Company within sixty (60) days after the date of the Involuntary Termination; but not before the Release becomes effective and irrevocable. If the fifty (50) day period in which the Release could become effective spans more than one taxable year, then the Pre-Change in Control Severance Payment shall not be made until the later taxable year. Notwithstanding the foregoing, if the Executive is a Specified Employee on the date of the Executive’s Involuntary Termination, the Pre-Change in Control Severance Payment and the financial planning services and the related payments provided under Section 4(e) shall be paid as provided in Section 9 hereof.</w:t>
      </w:r>
    </w:p>
    <w:p>
      <w:pPr>
        <w:spacing w:after="0" w:line="151" w:lineRule="exact"/>
        <w:rPr>
          <w:sz w:val="20"/>
          <w:szCs w:val="20"/>
          <w:color w:val="auto"/>
        </w:rPr>
      </w:pPr>
    </w:p>
    <w:p>
      <w:pPr>
        <w:ind w:right="660" w:firstLine="1305"/>
        <w:spacing w:after="0" w:line="251" w:lineRule="auto"/>
        <w:tabs>
          <w:tab w:leader="none" w:pos="1945"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Accrued Obligations</w:t>
      </w:r>
      <w:r>
        <w:rPr>
          <w:rFonts w:ascii="Arial" w:cs="Arial" w:eastAsia="Arial" w:hAnsi="Arial"/>
          <w:sz w:val="22"/>
          <w:szCs w:val="22"/>
          <w:color w:val="auto"/>
        </w:rPr>
        <w:t>. The Company shall pay the Executive a lump sum amount in cash equal to the Accrued Obligations within the time required by law.</w:t>
      </w:r>
    </w:p>
    <w:p>
      <w:pPr>
        <w:spacing w:after="0" w:line="159" w:lineRule="exact"/>
        <w:rPr>
          <w:rFonts w:ascii="Arial" w:cs="Arial" w:eastAsia="Arial" w:hAnsi="Arial"/>
          <w:sz w:val="22"/>
          <w:szCs w:val="22"/>
          <w:color w:val="auto"/>
        </w:rPr>
      </w:pPr>
    </w:p>
    <w:p>
      <w:pPr>
        <w:ind w:right="20" w:firstLine="1305"/>
        <w:spacing w:after="0" w:line="251" w:lineRule="auto"/>
        <w:tabs>
          <w:tab w:leader="none" w:pos="1945"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Equity Based Compensation</w:t>
      </w:r>
      <w:r>
        <w:rPr>
          <w:rFonts w:ascii="Arial" w:cs="Arial" w:eastAsia="Arial" w:hAnsi="Arial"/>
          <w:sz w:val="22"/>
          <w:szCs w:val="22"/>
          <w:color w:val="auto"/>
        </w:rPr>
        <w:t>. The Executive shall retain all rights to any equity-based compensation awards to the extent set forth in the applicable plan and/or award agreement.</w:t>
      </w:r>
    </w:p>
    <w:p>
      <w:pPr>
        <w:spacing w:after="0" w:line="173" w:lineRule="exact"/>
        <w:rPr>
          <w:rFonts w:ascii="Arial" w:cs="Arial" w:eastAsia="Arial" w:hAnsi="Arial"/>
          <w:sz w:val="22"/>
          <w:szCs w:val="22"/>
          <w:color w:val="auto"/>
        </w:rPr>
      </w:pPr>
    </w:p>
    <w:p>
      <w:pPr>
        <w:ind w:right="60" w:firstLine="1305"/>
        <w:spacing w:after="0" w:line="271" w:lineRule="auto"/>
        <w:tabs>
          <w:tab w:leader="none" w:pos="1945"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Welfare Benefits</w:t>
      </w:r>
      <w:r>
        <w:rPr>
          <w:rFonts w:ascii="Arial" w:cs="Arial" w:eastAsia="Arial" w:hAnsi="Arial"/>
          <w:sz w:val="19"/>
          <w:szCs w:val="19"/>
          <w:color w:val="auto"/>
        </w:rPr>
        <w:t xml:space="preserve">. Subject to Section 12 below, for a period of six (6) months following the date of the Involuntary Termination (and an additional twelve (12) months if the Executive provides consulting services under Section 14(e) hereof), the Executive and his dependents shall be provided with health insurance benefits substantially similar to those provided to the Executive and his dependents immediately prior to the date of the Involuntary Termination;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such benefits shall be provided on substantially the same terms and conditions and at the same cost to the Executive as in effect immediately prior to the date of the Involuntary Termination. Such benefits shall be provided through insurance maintained by the Company under the Company’s benefit plans. Such benefits shall be provided in a manner that complies with Treasury Regulation Section 1.409A-1(a)(5). Notwithstanding the foregoing, if the Company determines in its sole discretion that it cannot provide the foregoing benefit without potentially violating applicable law (including, without limitation, Section 2716 of the Public Health Service Act), the Company shall in lieu thereof provide to the Executive a taxable monthly payment in an amount equal to the monthly premium that the Executive would be required to pay to continue the Executive’s and his covered dependents’ group insurance coverages under COBRA as in effect on the Date of Termination (which amount shall be based on the premiums for the first month of COBRA coverage);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the Executive is a Specified Employee on the Date of Termination, then such payments shall be paid as provided in Section 9 hereof.</w:t>
      </w:r>
    </w:p>
    <w:p>
      <w:pPr>
        <w:sectPr>
          <w:pgSz w:w="11900" w:h="16838" w:orient="portrait"/>
          <w:cols w:equalWidth="0" w:num="1">
            <w:col w:w="11400"/>
          </w:cols>
          <w:pgMar w:left="240" w:top="118" w:right="259" w:bottom="0" w:gutter="0" w:footer="0" w:header="0"/>
        </w:sectPr>
      </w:pPr>
    </w:p>
    <w:bookmarkStart w:id="117" w:name="page118"/>
    <w:bookmarkEnd w:id="117"/>
    <w:p>
      <w:pPr>
        <w:spacing w:after="0" w:line="91" w:lineRule="exact"/>
        <w:rPr>
          <w:sz w:val="20"/>
          <w:szCs w:val="20"/>
          <w:color w:val="auto"/>
        </w:rPr>
      </w:pPr>
    </w:p>
    <w:p>
      <w:pPr>
        <w:ind w:right="120" w:firstLine="1305"/>
        <w:spacing w:after="0" w:line="235" w:lineRule="auto"/>
        <w:tabs>
          <w:tab w:leader="none" w:pos="1945"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Outplacement Services</w:t>
      </w:r>
      <w:r>
        <w:rPr>
          <w:rFonts w:ascii="Arial" w:cs="Arial" w:eastAsia="Arial" w:hAnsi="Arial"/>
          <w:sz w:val="22"/>
          <w:szCs w:val="22"/>
          <w:color w:val="auto"/>
        </w:rPr>
        <w:t>. The Executive shall receive reasonable outplacement services, on an in-kind basis, suitable to his position and directly related to the Executive’s Involuntary Termination, for a period of eighteen (18) months following the date of the Involuntary Termination, in an aggregate amount of cost to the Company not to exceed $50,000. Notwithstanding the foregoing, the Executive shall cease to receive outplacement services on the date the Executive accepts employment with a subsequent employer. Such outplacement services shall be provided in a manner that complies with Treasury Regulation Section 1.409A-1(b)(9)(v)(A).</w:t>
      </w:r>
    </w:p>
    <w:p>
      <w:pPr>
        <w:spacing w:after="0" w:line="175" w:lineRule="exact"/>
        <w:rPr>
          <w:rFonts w:ascii="Arial" w:cs="Arial" w:eastAsia="Arial" w:hAnsi="Arial"/>
          <w:sz w:val="22"/>
          <w:szCs w:val="22"/>
          <w:color w:val="auto"/>
        </w:rPr>
      </w:pPr>
    </w:p>
    <w:p>
      <w:pPr>
        <w:ind w:right="80" w:firstLine="1305"/>
        <w:spacing w:after="0" w:line="273" w:lineRule="auto"/>
        <w:tabs>
          <w:tab w:leader="none" w:pos="1945"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Financial Planning Services</w:t>
      </w:r>
      <w:r>
        <w:rPr>
          <w:rFonts w:ascii="Arial" w:cs="Arial" w:eastAsia="Arial" w:hAnsi="Arial"/>
          <w:sz w:val="19"/>
          <w:szCs w:val="19"/>
          <w:color w:val="auto"/>
        </w:rPr>
        <w:t xml:space="preserve">. The Executive shall receive financial planning services, on an in-kind basis, for a period of eighteen (18) months following the Date of Termination. Such financial planning services shall include expert financial and legal resources to assist the Executive with financial planning needs and shall be limited to (i) current investment portfolio management, (ii) tax planning, (iii) tax return preparation, and (iv) estate planning advice and document preparation (including wills and trusts);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Company shall provide such financial planning services during any taxable year of the Executive only to the extent the cost to the Company for such taxable year does not exceed </w:t>
      </w:r>
      <w:r>
        <w:rPr>
          <w:rFonts w:ascii="Arial" w:cs="Arial" w:eastAsia="Arial" w:hAnsi="Arial"/>
          <w:sz w:val="19"/>
          <w:szCs w:val="19"/>
          <w:i w:val="1"/>
          <w:iCs w:val="1"/>
          <w:color w:val="auto"/>
        </w:rPr>
        <w:t>[$25,000</w:t>
      </w:r>
      <w:r>
        <w:rPr>
          <w:rFonts w:ascii="Arial" w:cs="Arial" w:eastAsia="Arial" w:hAnsi="Arial"/>
          <w:sz w:val="19"/>
          <w:szCs w:val="19"/>
          <w:color w:val="auto"/>
        </w:rPr>
        <w:t>]. The Company shall provide such financial planning services through a financial planner selected by the Company, and shall pay the fees for such financial planning services. The financial planning services provided during any taxable year of the Executive shall not affect the financial planning services provided in any other taxable year of the Executive. The Executive’s right to financial planning services shall not be subject to liquidation or exchange for any other benefit. Such financial planning services shall be provided in a manner that complies with Treasury Regulation Section 1.409A-3(i)(1)(iv).</w:t>
      </w:r>
    </w:p>
    <w:p>
      <w:pPr>
        <w:spacing w:after="0" w:line="156" w:lineRule="exact"/>
        <w:rPr>
          <w:rFonts w:ascii="Arial" w:cs="Arial" w:eastAsia="Arial" w:hAnsi="Arial"/>
          <w:sz w:val="19"/>
          <w:szCs w:val="19"/>
          <w:color w:val="auto"/>
        </w:rPr>
      </w:pPr>
    </w:p>
    <w:p>
      <w:pPr>
        <w:jc w:val="both"/>
        <w:ind w:right="620" w:firstLine="1305"/>
        <w:spacing w:after="0" w:line="238" w:lineRule="auto"/>
        <w:tabs>
          <w:tab w:leader="none" w:pos="1945"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Deferral of Payments</w:t>
      </w:r>
      <w:r>
        <w:rPr>
          <w:rFonts w:ascii="Arial" w:cs="Arial" w:eastAsia="Arial" w:hAnsi="Arial"/>
          <w:sz w:val="22"/>
          <w:szCs w:val="22"/>
          <w:color w:val="auto"/>
        </w:rPr>
        <w:t>. The Executive shall have the right to elect to defer the Pre-Change in Control Severance Payment to be received by the Executive pursuant to this Section 4 under the terms and conditions of the Sempra Energy 2005 Deferred Compensation Plan (the “</w:t>
      </w:r>
      <w:r>
        <w:rPr>
          <w:rFonts w:ascii="Arial" w:cs="Arial" w:eastAsia="Arial" w:hAnsi="Arial"/>
          <w:sz w:val="22"/>
          <w:szCs w:val="22"/>
          <w:u w:val="single" w:color="auto"/>
          <w:color w:val="auto"/>
        </w:rPr>
        <w:t>Deferred Compensation Plan</w:t>
      </w:r>
      <w:r>
        <w:rPr>
          <w:rFonts w:ascii="Arial" w:cs="Arial" w:eastAsia="Arial" w:hAnsi="Arial"/>
          <w:sz w:val="22"/>
          <w:szCs w:val="22"/>
          <w:color w:val="auto"/>
        </w:rPr>
        <w:t>”). Any such deferral election shall be made in accordance with Section 18(b) hereof.</w:t>
      </w:r>
    </w:p>
    <w:p>
      <w:pPr>
        <w:spacing w:after="0" w:line="172" w:lineRule="exact"/>
        <w:rPr>
          <w:sz w:val="20"/>
          <w:szCs w:val="20"/>
          <w:color w:val="auto"/>
        </w:rPr>
      </w:pPr>
    </w:p>
    <w:p>
      <w:pPr>
        <w:ind w:firstLine="1297"/>
        <w:spacing w:after="0" w:line="270" w:lineRule="auto"/>
        <w:rPr>
          <w:sz w:val="20"/>
          <w:szCs w:val="20"/>
          <w:color w:val="auto"/>
        </w:rPr>
      </w:pPr>
      <w:r>
        <w:rPr>
          <w:rFonts w:ascii="Arial" w:cs="Arial" w:eastAsia="Arial" w:hAnsi="Arial"/>
          <w:sz w:val="19"/>
          <w:szCs w:val="19"/>
          <w:b w:val="1"/>
          <w:bCs w:val="1"/>
          <w:color w:val="auto"/>
        </w:rPr>
        <w:t xml:space="preserve">Section 5. </w:t>
      </w:r>
      <w:r>
        <w:rPr>
          <w:rFonts w:ascii="Arial" w:cs="Arial" w:eastAsia="Arial" w:hAnsi="Arial"/>
          <w:sz w:val="19"/>
          <w:szCs w:val="19"/>
          <w:u w:val="single" w:color="auto"/>
          <w:color w:val="auto"/>
        </w:rPr>
        <w:t>Severance Benefits upon Involuntary Termination in Connection with and after Change in Control</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the provisions of Section 4 above, and except as provided in Section 19(i) hereof, in the event of the Involuntary Termination of the Executive on or within two (2) years following a Change in Control, in lieu of the payments described in Section 4 above, the Company shall pay the Executive, in one lump sum cash payment, an amount (the “</w:t>
      </w:r>
      <w:r>
        <w:rPr>
          <w:rFonts w:ascii="Arial" w:cs="Arial" w:eastAsia="Arial" w:hAnsi="Arial"/>
          <w:sz w:val="19"/>
          <w:szCs w:val="19"/>
          <w:u w:val="single" w:color="auto"/>
          <w:color w:val="auto"/>
        </w:rPr>
        <w:t>Post-Change in Control</w:t>
      </w:r>
      <w:r>
        <w:rPr>
          <w:rFonts w:ascii="Arial" w:cs="Arial" w:eastAsia="Arial" w:hAnsi="Arial"/>
          <w:sz w:val="19"/>
          <w:szCs w:val="19"/>
          <w:color w:val="auto"/>
        </w:rPr>
        <w:t xml:space="preserve"> </w:t>
      </w:r>
      <w:r>
        <w:rPr>
          <w:rFonts w:ascii="Arial" w:cs="Arial" w:eastAsia="Arial" w:hAnsi="Arial"/>
          <w:sz w:val="19"/>
          <w:szCs w:val="19"/>
          <w:u w:val="single" w:color="auto"/>
          <w:color w:val="auto"/>
        </w:rPr>
        <w:t>Severance Payment</w:t>
      </w:r>
      <w:r>
        <w:rPr>
          <w:rFonts w:ascii="Arial" w:cs="Arial" w:eastAsia="Arial" w:hAnsi="Arial"/>
          <w:sz w:val="19"/>
          <w:szCs w:val="19"/>
          <w:color w:val="auto"/>
        </w:rPr>
        <w:t>”) equal to the greater of: (X) 150% of the Executive’s Annual Base Salary as in effect immediately prior to the Change in Control or the Date of Termination, whichever is greater, and (Y) the Executive’s Annual Base Salary as in effect immediately prior to the Change in Control or on the Date of Termination, whichever is greater, plus the Executive’s Average Annual Bonus. In addition to the Post-Change in Control Severance Payment, the Executive shall be entitled to the following additional benefits specified in subsections (a) through (g). The Company's obligation to pay the Post-Change in Control Severance Payment or provide the benefits set forth in subsections (b),(c), (d), (e), (f) and (g) are subject to and conditioned upon the Executive executing the Release within fifty (50) days after the date of Involuntary Termination and Executive not revoking such Release in accordance with the terms thereof. Except as provided in Sections 5(h) and 5(i), the Post-Change in Control Severance Payment, the Pro Rata Bonus and the payments under Section 6(c) shall be paid on such date as is determined by the Company within sixty (60) days after the date of the Involuntary Termination. If the fifty (50) day period in which the Release could become effective spans more than one taxable year, then the Post-Change in Control Severance Payment, Pro Rata Bonus and payments under Section 5(c) shall not be made until the later taxable year. Notwithstanding the foregoing, if the Executive is a Specified Employee on the date of the Executive’s Involuntary Termination, the Post-Change in Control Severance Payment, the Pro Rata Bonus, the payment under Section 5(c) and the financial planning services and the related payments provided under Section 5(g) shall be paid as provided in Section 9 hereof.</w:t>
      </w:r>
    </w:p>
    <w:p>
      <w:pPr>
        <w:spacing w:after="0" w:line="397" w:lineRule="exact"/>
        <w:rPr>
          <w:sz w:val="20"/>
          <w:szCs w:val="20"/>
          <w:color w:val="auto"/>
        </w:rPr>
      </w:pPr>
    </w:p>
    <w:p>
      <w:pPr>
        <w:ind w:right="740" w:firstLine="1305"/>
        <w:spacing w:after="0" w:line="251" w:lineRule="auto"/>
        <w:tabs>
          <w:tab w:leader="none" w:pos="1945" w:val="left"/>
        </w:tabs>
        <w:numPr>
          <w:ilvl w:val="0"/>
          <w:numId w:val="165"/>
        </w:numPr>
        <w:rPr>
          <w:rFonts w:ascii="Arial" w:cs="Arial" w:eastAsia="Arial" w:hAnsi="Arial"/>
          <w:sz w:val="22"/>
          <w:szCs w:val="22"/>
          <w:color w:val="auto"/>
        </w:rPr>
      </w:pPr>
      <w:r>
        <w:rPr>
          <w:rFonts w:ascii="Arial" w:cs="Arial" w:eastAsia="Arial" w:hAnsi="Arial"/>
          <w:sz w:val="22"/>
          <w:szCs w:val="22"/>
          <w:u w:val="single" w:color="auto"/>
          <w:color w:val="auto"/>
        </w:rPr>
        <w:t>Accrued Obligations</w:t>
      </w:r>
      <w:r>
        <w:rPr>
          <w:rFonts w:ascii="Arial" w:cs="Arial" w:eastAsia="Arial" w:hAnsi="Arial"/>
          <w:sz w:val="22"/>
          <w:szCs w:val="22"/>
          <w:color w:val="auto"/>
        </w:rPr>
        <w:t>. The Company shall pay the Executive a lump sum amount in cash equal to the Accrued Obligations within the time required by law.</w:t>
      </w:r>
    </w:p>
    <w:p>
      <w:pPr>
        <w:spacing w:after="0" w:line="173" w:lineRule="exact"/>
        <w:rPr>
          <w:rFonts w:ascii="Arial" w:cs="Arial" w:eastAsia="Arial" w:hAnsi="Arial"/>
          <w:sz w:val="22"/>
          <w:szCs w:val="22"/>
          <w:color w:val="auto"/>
        </w:rPr>
      </w:pPr>
    </w:p>
    <w:p>
      <w:pPr>
        <w:ind w:left="1960" w:hanging="655"/>
        <w:spacing w:after="0"/>
        <w:tabs>
          <w:tab w:leader="none" w:pos="1960" w:val="left"/>
        </w:tabs>
        <w:numPr>
          <w:ilvl w:val="0"/>
          <w:numId w:val="165"/>
        </w:numPr>
        <w:rPr>
          <w:rFonts w:ascii="Arial" w:cs="Arial" w:eastAsia="Arial" w:hAnsi="Arial"/>
          <w:sz w:val="19"/>
          <w:szCs w:val="19"/>
          <w:color w:val="auto"/>
        </w:rPr>
      </w:pPr>
      <w:r>
        <w:rPr>
          <w:rFonts w:ascii="Arial" w:cs="Arial" w:eastAsia="Arial" w:hAnsi="Arial"/>
          <w:sz w:val="19"/>
          <w:szCs w:val="19"/>
          <w:u w:val="single" w:color="auto"/>
          <w:color w:val="auto"/>
        </w:rPr>
        <w:t>Pro Rata Bonus</w:t>
      </w:r>
      <w:r>
        <w:rPr>
          <w:rFonts w:ascii="Arial" w:cs="Arial" w:eastAsia="Arial" w:hAnsi="Arial"/>
          <w:sz w:val="19"/>
          <w:szCs w:val="19"/>
          <w:color w:val="auto"/>
        </w:rPr>
        <w:t>. The Company shall pay the Executive a lump sum amount in cash equal to: (i) the greater</w:t>
      </w:r>
    </w:p>
    <w:p>
      <w:pPr>
        <w:spacing w:after="0" w:line="42" w:lineRule="exact"/>
        <w:rPr>
          <w:rFonts w:ascii="Arial" w:cs="Arial" w:eastAsia="Arial" w:hAnsi="Arial"/>
          <w:sz w:val="19"/>
          <w:szCs w:val="19"/>
          <w:color w:val="auto"/>
        </w:rPr>
      </w:pPr>
    </w:p>
    <w:p>
      <w:pPr>
        <w:ind w:right="420"/>
        <w:spacing w:after="0" w:line="233" w:lineRule="auto"/>
        <w:rPr>
          <w:rFonts w:ascii="Arial" w:cs="Arial" w:eastAsia="Arial" w:hAnsi="Arial"/>
          <w:sz w:val="19"/>
          <w:szCs w:val="19"/>
          <w:color w:val="auto"/>
        </w:rPr>
      </w:pPr>
      <w:r>
        <w:rPr>
          <w:rFonts w:ascii="Arial" w:cs="Arial" w:eastAsia="Arial" w:hAnsi="Arial"/>
          <w:sz w:val="22"/>
          <w:szCs w:val="22"/>
          <w:color w:val="auto"/>
        </w:rPr>
        <w:t>of: (X) 50% of the Executive’s Annual Base Salary as in effect immediately prior to the Change in Control or on the Date of Termination, whichever is greater, or (Y) the Executive’s Average Annual Bonus, multiplied by (ii) a fraction, the numerator of which shall be the number of days from the beginning of such fiscal year to and including the Date of Termination and the denominator of which shall be 365 equal to (the “</w:t>
      </w:r>
      <w:r>
        <w:rPr>
          <w:rFonts w:ascii="Arial" w:cs="Arial" w:eastAsia="Arial" w:hAnsi="Arial"/>
          <w:sz w:val="22"/>
          <w:szCs w:val="22"/>
          <w:u w:val="single" w:color="auto"/>
          <w:color w:val="auto"/>
        </w:rPr>
        <w:t>Pro Rata Bonus</w:t>
      </w:r>
      <w:r>
        <w:rPr>
          <w:rFonts w:ascii="Arial" w:cs="Arial" w:eastAsia="Arial" w:hAnsi="Arial"/>
          <w:sz w:val="22"/>
          <w:szCs w:val="22"/>
          <w:color w:val="auto"/>
        </w:rPr>
        <w:t>”).</w:t>
      </w:r>
    </w:p>
    <w:p>
      <w:pPr>
        <w:spacing w:after="0" w:line="174" w:lineRule="exact"/>
        <w:rPr>
          <w:rFonts w:ascii="Arial" w:cs="Arial" w:eastAsia="Arial" w:hAnsi="Arial"/>
          <w:sz w:val="19"/>
          <w:szCs w:val="19"/>
          <w:color w:val="auto"/>
        </w:rPr>
      </w:pPr>
    </w:p>
    <w:p>
      <w:pPr>
        <w:jc w:val="both"/>
        <w:ind w:right="260" w:firstLine="1305"/>
        <w:spacing w:after="0" w:line="273" w:lineRule="auto"/>
        <w:tabs>
          <w:tab w:leader="none" w:pos="1945" w:val="left"/>
        </w:tabs>
        <w:numPr>
          <w:ilvl w:val="0"/>
          <w:numId w:val="165"/>
        </w:numPr>
        <w:rPr>
          <w:rFonts w:ascii="Arial" w:cs="Arial" w:eastAsia="Arial" w:hAnsi="Arial"/>
          <w:sz w:val="19"/>
          <w:szCs w:val="19"/>
          <w:color w:val="auto"/>
        </w:rPr>
      </w:pPr>
      <w:r>
        <w:rPr>
          <w:rFonts w:ascii="Arial" w:cs="Arial" w:eastAsia="Arial" w:hAnsi="Arial"/>
          <w:sz w:val="19"/>
          <w:szCs w:val="19"/>
          <w:u w:val="single" w:color="auto"/>
          <w:color w:val="auto"/>
        </w:rPr>
        <w:t>Pension Supplement</w:t>
      </w:r>
      <w:r>
        <w:rPr>
          <w:rFonts w:ascii="Arial" w:cs="Arial" w:eastAsia="Arial" w:hAnsi="Arial"/>
          <w:sz w:val="19"/>
          <w:szCs w:val="19"/>
          <w:color w:val="auto"/>
        </w:rPr>
        <w:t>. The Executive shall be entitled to receive a Supplemental Retirement Benefit under the Sempra Energy Supplemental Executive Retirement Plan, as in effect from time to time (“</w:t>
      </w:r>
      <w:r>
        <w:rPr>
          <w:rFonts w:ascii="Arial" w:cs="Arial" w:eastAsia="Arial" w:hAnsi="Arial"/>
          <w:sz w:val="19"/>
          <w:szCs w:val="19"/>
          <w:u w:val="single" w:color="auto"/>
          <w:color w:val="auto"/>
        </w:rPr>
        <w:t>SERP</w:t>
      </w:r>
      <w:r>
        <w:rPr>
          <w:rFonts w:ascii="Arial" w:cs="Arial" w:eastAsia="Arial" w:hAnsi="Arial"/>
          <w:sz w:val="19"/>
          <w:szCs w:val="19"/>
          <w:color w:val="auto"/>
        </w:rPr>
        <w:t>”), determined in accordance with this Section 5(c), in the event that the Executive is a “Participant” (as defined in the SERP) as of the Date of Termination.</w:t>
      </w:r>
    </w:p>
    <w:p>
      <w:pPr>
        <w:spacing w:after="0" w:line="1" w:lineRule="exact"/>
        <w:rPr>
          <w:rFonts w:ascii="Arial" w:cs="Arial" w:eastAsia="Arial" w:hAnsi="Arial"/>
          <w:sz w:val="19"/>
          <w:szCs w:val="19"/>
          <w:color w:val="auto"/>
        </w:rPr>
      </w:pPr>
    </w:p>
    <w:p>
      <w:pPr>
        <w:ind w:right="20" w:firstLine="54"/>
        <w:spacing w:after="0" w:line="270" w:lineRule="auto"/>
        <w:rPr>
          <w:rFonts w:ascii="Arial" w:cs="Arial" w:eastAsia="Arial" w:hAnsi="Arial"/>
          <w:sz w:val="19"/>
          <w:szCs w:val="19"/>
          <w:color w:val="auto"/>
        </w:rPr>
      </w:pPr>
      <w:r>
        <w:rPr>
          <w:rFonts w:ascii="Arial" w:cs="Arial" w:eastAsia="Arial" w:hAnsi="Arial"/>
          <w:sz w:val="19"/>
          <w:szCs w:val="19"/>
          <w:color w:val="auto"/>
        </w:rPr>
        <w:t>Such Supplemental Retirement Benefit shall be determined by crediting the Executive with additional months of Service (if any) equal to the number of full calendar months from the Date of Termination to the date on which the Executive would have attained age 62. The Executive shall be entitled to receive such Supplemental Retirement Benefit without regard to whether the Executive has attained age 55 or completed five years of “Service” (as defined in the SERP) as of the Date of Termination. The Executive shall be treated as qualified for “Retirement” (as defined in the SERP) as of the Date of Termination, and the Executive’s Vesting Factor with respect to the Supplemental Retirement Benefit shall be 100%. The Executive’s Supplemental Retirement Benefit shall be calculated based on the Executive’s actual age as of the date of commencement of payment of such Supplemental Retirement Benefit (the “</w:t>
      </w:r>
      <w:r>
        <w:rPr>
          <w:rFonts w:ascii="Arial" w:cs="Arial" w:eastAsia="Arial" w:hAnsi="Arial"/>
          <w:sz w:val="19"/>
          <w:szCs w:val="19"/>
          <w:u w:val="single" w:color="auto"/>
          <w:color w:val="auto"/>
        </w:rPr>
        <w:t>SERP Distribution Date</w:t>
      </w:r>
      <w:r>
        <w:rPr>
          <w:rFonts w:ascii="Arial" w:cs="Arial" w:eastAsia="Arial" w:hAnsi="Arial"/>
          <w:sz w:val="19"/>
          <w:szCs w:val="19"/>
          <w:color w:val="auto"/>
        </w:rPr>
        <w:t>”), and by applying the applicable early retirement factors under the SERP, if the Executive has not attained age 62 but has attained age 55 as of the SERP Distribution Date. If the Executive has not attained age 55 as of the SERP Distribution Date, the Executive’s Supplemental Retirement Benefit shall be calculated by applying the applicable early retirement factor under the SERP for age 55, and the Supplemental Retirement Benefit otherwise payable at age 55 shall be actuarially adjusted to the Executive’s actual age as of the SERP Distribution Date using the following actuarial assumptions: (i) the applicable mortality table promulgated by the Internal Revenue Service under Section 417(e)(3) of the Code, as in effect on the</w:t>
      </w:r>
    </w:p>
    <w:p>
      <w:pPr>
        <w:sectPr>
          <w:pgSz w:w="11900" w:h="16929" w:orient="portrait"/>
          <w:cols w:equalWidth="0" w:num="1">
            <w:col w:w="11420"/>
          </w:cols>
          <w:pgMar w:left="240" w:top="118" w:right="239" w:bottom="0" w:gutter="0" w:footer="0" w:header="0"/>
        </w:sectPr>
      </w:pPr>
    </w:p>
    <w:bookmarkStart w:id="118" w:name="page119"/>
    <w:bookmarkEnd w:id="118"/>
    <w:p>
      <w:pPr>
        <w:spacing w:after="0" w:line="148" w:lineRule="exact"/>
        <w:rPr>
          <w:sz w:val="20"/>
          <w:szCs w:val="20"/>
          <w:color w:val="auto"/>
        </w:rPr>
      </w:pPr>
    </w:p>
    <w:p>
      <w:pPr>
        <w:ind w:right="60"/>
        <w:spacing w:after="0" w:line="247" w:lineRule="auto"/>
        <w:rPr>
          <w:sz w:val="20"/>
          <w:szCs w:val="20"/>
          <w:color w:val="auto"/>
        </w:rPr>
      </w:pPr>
      <w:r>
        <w:rPr>
          <w:rFonts w:ascii="Arial" w:cs="Arial" w:eastAsia="Arial" w:hAnsi="Arial"/>
          <w:sz w:val="21"/>
          <w:szCs w:val="21"/>
          <w:color w:val="auto"/>
        </w:rPr>
        <w:t>first day of the calendar year in which the SERP Distribution Date occurs, and (ii) the applicable interest rate promulgated by the Internal Revenue Service under Section 417(a)(3) of the Code for the November next preceding the first day of the calendar year in which the SERP Distribution Date occurs. The Executive’s Supplemental Retirement Benefit shall be determined in accordance with this Section 5(c), notwithstanding any contrary provisions of the SERP and, to the extent subject to Section 409A of the Code, shall be paid in accordance with Treasury Regulation Section 1.409A-3(c)(1). The Supplemental Retirement Benefit paid to or on behalf of the Executive in accordance with this Section 5(c) shall be in full satisfaction of any and all of the benefits payable to or on behalf of the Executive under the SERP.</w:t>
      </w:r>
    </w:p>
    <w:p>
      <w:pPr>
        <w:spacing w:after="0" w:line="165" w:lineRule="exact"/>
        <w:rPr>
          <w:sz w:val="20"/>
          <w:szCs w:val="20"/>
          <w:color w:val="auto"/>
        </w:rPr>
      </w:pPr>
    </w:p>
    <w:p>
      <w:pPr>
        <w:ind w:right="20" w:firstLine="1305"/>
        <w:spacing w:after="0" w:line="272" w:lineRule="auto"/>
        <w:tabs>
          <w:tab w:leader="none" w:pos="1945"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Equity-Based Compensation</w:t>
      </w:r>
      <w:r>
        <w:rPr>
          <w:rFonts w:ascii="Arial" w:cs="Arial" w:eastAsia="Arial" w:hAnsi="Arial"/>
          <w:sz w:val="19"/>
          <w:szCs w:val="19"/>
          <w:color w:val="auto"/>
        </w:rPr>
        <w:t xml:space="preserve">. Notwithstanding the provisions of any applicable equity-compensation plan or award agreement to the contrary, all equity-based Incentive Compensation Awards (including, without limitation, stock options, stock appreciation rights, restricted stock awards, restricted stock units, performance share awards, awards covered under Section 162(m) of the Code, and dividend equivalents) held by the Executive shall immediately vest and become exercisable or payable, as the case may be, as of the Date of Termination, to be exercised or paid, as the case may be, in accordance with the terms of the applicable Incentive Compensation Plan and Incentive Compensation Award agreement, and any restrictions on any such Incentive Compensation Awards shall automatically lapse; </w:t>
      </w:r>
      <w:r>
        <w:rPr>
          <w:rFonts w:ascii="Arial" w:cs="Arial" w:eastAsia="Arial" w:hAnsi="Arial"/>
          <w:sz w:val="19"/>
          <w:szCs w:val="19"/>
          <w:i w:val="1"/>
          <w:iCs w:val="1"/>
          <w:color w:val="auto"/>
        </w:rPr>
        <w:t>provided, however</w:t>
      </w:r>
      <w:r>
        <w:rPr>
          <w:rFonts w:ascii="Arial" w:cs="Arial" w:eastAsia="Arial" w:hAnsi="Arial"/>
          <w:sz w:val="19"/>
          <w:szCs w:val="19"/>
          <w:color w:val="auto"/>
        </w:rPr>
        <w:t>, that any such stock option or stock appreciation rights awards granted on or after June 26, 1998 shall remain outstanding and exercisable until the earlier of (A) the later of eighteen (18) months following the Date of Termination or the period specified in the applicable Incentive Compensation Award agreements or (B) the expiration of the original term of such Incentive Compensation Award (or, if earlier, the tenth anniversary of the original date of grant) (it being understood that all Incentive Compensation Awards granted prior to or after June 26, 1998 shall remain outstanding and exercisable for a period that is no less than that provided for in the applicable agreement in effect as of the date of grant).</w:t>
      </w:r>
    </w:p>
    <w:p>
      <w:pPr>
        <w:spacing w:after="0" w:line="161" w:lineRule="exact"/>
        <w:rPr>
          <w:rFonts w:ascii="Arial" w:cs="Arial" w:eastAsia="Arial" w:hAnsi="Arial"/>
          <w:sz w:val="19"/>
          <w:szCs w:val="19"/>
          <w:color w:val="auto"/>
        </w:rPr>
      </w:pPr>
    </w:p>
    <w:p>
      <w:pPr>
        <w:ind w:right="100" w:firstLine="1305"/>
        <w:spacing w:after="0" w:line="243" w:lineRule="auto"/>
        <w:tabs>
          <w:tab w:leader="none" w:pos="1945" w:val="left"/>
        </w:tabs>
        <w:numPr>
          <w:ilvl w:val="0"/>
          <w:numId w:val="166"/>
        </w:numPr>
        <w:rPr>
          <w:rFonts w:ascii="Arial" w:cs="Arial" w:eastAsia="Arial" w:hAnsi="Arial"/>
          <w:sz w:val="21"/>
          <w:szCs w:val="21"/>
          <w:color w:val="auto"/>
        </w:rPr>
      </w:pPr>
      <w:r>
        <w:rPr>
          <w:rFonts w:ascii="Arial" w:cs="Arial" w:eastAsia="Arial" w:hAnsi="Arial"/>
          <w:sz w:val="21"/>
          <w:szCs w:val="21"/>
          <w:u w:val="single" w:color="auto"/>
          <w:color w:val="auto"/>
        </w:rPr>
        <w:t>Welfare Benefits</w:t>
      </w:r>
      <w:r>
        <w:rPr>
          <w:rFonts w:ascii="Arial" w:cs="Arial" w:eastAsia="Arial" w:hAnsi="Arial"/>
          <w:sz w:val="21"/>
          <w:szCs w:val="21"/>
          <w:color w:val="auto"/>
        </w:rPr>
        <w:t xml:space="preserve">. Subject to Section 12 below, for a period of twelve (12) months following the date of Involuntary Termination (and an additional twelve (12) months if the Executive provides consulting services under Section 14(e) hereof), the Executive and his dependents shall be provided with life, disability, accident and health insurance benefits substantially similar to those provided to the Executive and his dependents immediately prior to the date of Involuntary Termination or the Change in Control Date, whichever is more favorable to the Executive;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such benefits shall be provided on substantially the same terms and conditions and at the same cost to the Executive as in effect immediately prior to the date of Involuntary Termination or the Change in Control Date, whichever is more favorable to the Executive. Such benefits shall be provided through insurance maintained by the Company under the Company benefit plans. Such benefits shall be provided in a manner that complies with Treasury Regulation Section 1.409A-1(a)(5). Notwithstanding the foregoing, if the Company determines in its sole discretion that it cannot provide the foregoing benefit without potentially violating applicable law (including, without limitation, Section 2716 of the Public Health Service Act), the Company shall in lieu thereof provide to the Executive a taxable monthly payment in an amount equal to the monthly premium that the Executive would be required to pay to continue the Executive’s and his covered dependents’ group insurance coverages under COBRA as in effect on the Date of Termination (which amount shall be based on the premiums for the first month of COBRA coverage);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if the Executive is a Specified Employee on the Date of Termination, then such payments shall be paid as provided in Section 9 hereof.</w:t>
      </w:r>
    </w:p>
    <w:p>
      <w:pPr>
        <w:spacing w:after="0" w:line="180" w:lineRule="exact"/>
        <w:rPr>
          <w:rFonts w:ascii="Arial" w:cs="Arial" w:eastAsia="Arial" w:hAnsi="Arial"/>
          <w:sz w:val="21"/>
          <w:szCs w:val="21"/>
          <w:color w:val="auto"/>
        </w:rPr>
      </w:pPr>
    </w:p>
    <w:p>
      <w:pPr>
        <w:ind w:firstLine="1305"/>
        <w:spacing w:after="0" w:line="247" w:lineRule="auto"/>
        <w:tabs>
          <w:tab w:leader="none" w:pos="1945" w:val="left"/>
        </w:tabs>
        <w:numPr>
          <w:ilvl w:val="0"/>
          <w:numId w:val="166"/>
        </w:numPr>
        <w:rPr>
          <w:rFonts w:ascii="Arial" w:cs="Arial" w:eastAsia="Arial" w:hAnsi="Arial"/>
          <w:sz w:val="21"/>
          <w:szCs w:val="21"/>
          <w:color w:val="auto"/>
        </w:rPr>
      </w:pPr>
      <w:r>
        <w:rPr>
          <w:rFonts w:ascii="Arial" w:cs="Arial" w:eastAsia="Arial" w:hAnsi="Arial"/>
          <w:sz w:val="21"/>
          <w:szCs w:val="21"/>
          <w:u w:val="single" w:color="auto"/>
          <w:color w:val="auto"/>
        </w:rPr>
        <w:t>Outplacement Services</w:t>
      </w:r>
      <w:r>
        <w:rPr>
          <w:rFonts w:ascii="Arial" w:cs="Arial" w:eastAsia="Arial" w:hAnsi="Arial"/>
          <w:sz w:val="21"/>
          <w:szCs w:val="21"/>
          <w:color w:val="auto"/>
        </w:rPr>
        <w:t>. The Executive shall receive reasonable outplacement services, on an in-kind basis, suitable to his position and directly related to the Executive’s Involuntary Termination, for a period of twenty-four (24) months following the date of Involuntary Termination (but in no event beyond the last day of the Executive’s second taxable year following the Executive’s taxable year in which the Involuntary Termination occurs), in the aggregate amount of cost to the Company not to exceed $50,000. Notwithstanding the foregoing, the Executive shall cease to receive outplacement services on the date the Executive accepts employment with a subsequent employer. Such outplacement services shall be provided in a manner that complies with Treasury Regulation Section 1.409A-1(b)(9)(v)(A).</w:t>
      </w:r>
    </w:p>
    <w:p>
      <w:pPr>
        <w:spacing w:after="0" w:line="164" w:lineRule="exact"/>
        <w:rPr>
          <w:rFonts w:ascii="Arial" w:cs="Arial" w:eastAsia="Arial" w:hAnsi="Arial"/>
          <w:sz w:val="21"/>
          <w:szCs w:val="21"/>
          <w:color w:val="auto"/>
        </w:rPr>
      </w:pPr>
    </w:p>
    <w:p>
      <w:pPr>
        <w:ind w:firstLine="1305"/>
        <w:spacing w:after="0" w:line="273" w:lineRule="auto"/>
        <w:tabs>
          <w:tab w:leader="none" w:pos="1945"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Financial Planning Services</w:t>
      </w:r>
      <w:r>
        <w:rPr>
          <w:rFonts w:ascii="Arial" w:cs="Arial" w:eastAsia="Arial" w:hAnsi="Arial"/>
          <w:sz w:val="19"/>
          <w:szCs w:val="19"/>
          <w:color w:val="auto"/>
        </w:rPr>
        <w:t xml:space="preserve">. The Executive shall receive financial planning services, on an in-kind basis, for a period of twenty-four (24) months following the date of Involuntary Termination. Such financial planning services shall include expert financial and legal resources to assist the Executive with financial planning needs and shall be limited to (i) current investment portfolio management, (ii) tax planning, (iii) tax return preparation, and (iv) estate planning advice and document preparation (including wills and trusts);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Company shall provide such financial services during any taxable year of the Executive only to the extent the cost to the Company for such taxable year does not exceed [</w:t>
      </w:r>
      <w:r>
        <w:rPr>
          <w:rFonts w:ascii="Arial" w:cs="Arial" w:eastAsia="Arial" w:hAnsi="Arial"/>
          <w:sz w:val="19"/>
          <w:szCs w:val="19"/>
          <w:i w:val="1"/>
          <w:iCs w:val="1"/>
          <w:color w:val="auto"/>
        </w:rPr>
        <w:t>$25,000</w:t>
      </w:r>
      <w:r>
        <w:rPr>
          <w:rFonts w:ascii="Arial" w:cs="Arial" w:eastAsia="Arial" w:hAnsi="Arial"/>
          <w:sz w:val="19"/>
          <w:szCs w:val="19"/>
          <w:color w:val="auto"/>
        </w:rPr>
        <w:t>]. The Company shall provide such financial planning services through a financial planner selected by the Company, and shall pay the fees for such financial planning services. The financial planning services provided during any taxable year of the Executive shall not affect the financial planning services provided in any other taxable year of the Executive. The Executive’s right to financial planning services shall not be subject to liquidation or exchange for any other benefit. Such financial planning services shall be provided in a manner that complies with Section 1.409A-3(i)(1)(iv).</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right="40" w:firstLine="1305"/>
        <w:spacing w:after="0" w:line="275" w:lineRule="auto"/>
        <w:tabs>
          <w:tab w:leader="none" w:pos="1945"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Involuntary Termination in Connection with a Change in Control</w:t>
      </w:r>
      <w:r>
        <w:rPr>
          <w:rFonts w:ascii="Arial" w:cs="Arial" w:eastAsia="Arial" w:hAnsi="Arial"/>
          <w:sz w:val="19"/>
          <w:szCs w:val="19"/>
          <w:color w:val="auto"/>
        </w:rPr>
        <w:t>. Notwithstanding anything contained herein, in the event of an Involuntary Termination prior to a Change in Control, if the Involuntary Termination (1) was at the request of a third party who has taken steps reasonably calculated to effect such Change in Control or (2) otherwise arose in connection with or in anticipation of such Change in Control, then the Executive shall, in lieu of the payments described in Section 4 hereof, be entitled to the Post-Change in Control Severance Payment and the additional benefits described in this Section 5 as if such Involuntary Termination had occurred within two (2) years following the Change in Control. The amounts specified in Section 5 that are to be paid under this Section 5(h) shall be reduced by any amount previously paid under Section 4. The amounts to be paid under this Section 5(h) shall be paid within sixty (60) days after the Change in Control Date of such Change in Control.</w:t>
      </w:r>
    </w:p>
    <w:p>
      <w:pPr>
        <w:spacing w:after="0" w:line="144" w:lineRule="exact"/>
        <w:rPr>
          <w:rFonts w:ascii="Arial" w:cs="Arial" w:eastAsia="Arial" w:hAnsi="Arial"/>
          <w:sz w:val="19"/>
          <w:szCs w:val="19"/>
          <w:color w:val="auto"/>
        </w:rPr>
      </w:pPr>
    </w:p>
    <w:p>
      <w:pPr>
        <w:ind w:right="640" w:firstLine="1305"/>
        <w:spacing w:after="0" w:line="328" w:lineRule="auto"/>
        <w:tabs>
          <w:tab w:leader="none" w:pos="1945"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Deferral of Payments</w:t>
      </w:r>
      <w:r>
        <w:rPr>
          <w:rFonts w:ascii="Arial" w:cs="Arial" w:eastAsia="Arial" w:hAnsi="Arial"/>
          <w:sz w:val="19"/>
          <w:szCs w:val="19"/>
          <w:color w:val="auto"/>
        </w:rPr>
        <w:t>. The Executive shall have the right to elect to defer the Post-Change in Control Severance Payment and the Pro Rata Bonus to be received by the Executive pursuant to this Section 5 under the terms and</w:t>
      </w:r>
    </w:p>
    <w:p>
      <w:pPr>
        <w:sectPr>
          <w:pgSz w:w="11900" w:h="16987" w:orient="portrait"/>
          <w:cols w:equalWidth="0" w:num="1">
            <w:col w:w="11420"/>
          </w:cols>
          <w:pgMar w:left="240" w:top="118" w:right="239" w:bottom="0" w:gutter="0" w:footer="0" w:header="0"/>
        </w:sectPr>
      </w:pPr>
    </w:p>
    <w:bookmarkStart w:id="119" w:name="page120"/>
    <w:bookmarkEnd w:id="119"/>
    <w:p>
      <w:pPr>
        <w:spacing w:after="0" w:line="101" w:lineRule="exact"/>
        <w:rPr>
          <w:sz w:val="20"/>
          <w:szCs w:val="20"/>
          <w:color w:val="auto"/>
        </w:rPr>
      </w:pPr>
    </w:p>
    <w:p>
      <w:pPr>
        <w:spacing w:after="0"/>
        <w:rPr>
          <w:sz w:val="20"/>
          <w:szCs w:val="20"/>
          <w:color w:val="auto"/>
        </w:rPr>
      </w:pPr>
      <w:r>
        <w:rPr>
          <w:rFonts w:ascii="Arial" w:cs="Arial" w:eastAsia="Arial" w:hAnsi="Arial"/>
          <w:sz w:val="19"/>
          <w:szCs w:val="19"/>
          <w:color w:val="auto"/>
        </w:rPr>
        <w:t>conditions of the Deferred Compensation Plan. Any such deferral election shall be made in accordance with Section 18(b) hereof.</w:t>
      </w:r>
    </w:p>
    <w:p>
      <w:pPr>
        <w:spacing w:after="0" w:line="228"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b w:val="1"/>
          <w:bCs w:val="1"/>
          <w:color w:val="auto"/>
        </w:rPr>
        <w:t xml:space="preserve">Section 6. </w:t>
      </w:r>
      <w:r>
        <w:rPr>
          <w:rFonts w:ascii="Arial" w:cs="Arial" w:eastAsia="Arial" w:hAnsi="Arial"/>
          <w:sz w:val="22"/>
          <w:szCs w:val="22"/>
          <w:u w:val="single" w:color="auto"/>
          <w:color w:val="auto"/>
        </w:rPr>
        <w:t>Severance Benefits upon Termination by the Company for Cause or by the Executive Other than for</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Good Reason</w:t>
      </w:r>
      <w:r>
        <w:rPr>
          <w:rFonts w:ascii="Arial" w:cs="Arial" w:eastAsia="Arial" w:hAnsi="Arial"/>
          <w:sz w:val="22"/>
          <w:szCs w:val="22"/>
          <w:color w:val="auto"/>
        </w:rPr>
        <w:t>. If the Executive’s employment shall be terminated for Cause, or if the Executive terminates employment other than for Good Reason, the Company shall have no further obligations to the Executive under this Agreement other than the Accrued Obligations and any amounts or benefits described in Section 10 hereof.</w:t>
      </w:r>
    </w:p>
    <w:p>
      <w:pPr>
        <w:spacing w:after="0" w:line="179" w:lineRule="exact"/>
        <w:rPr>
          <w:sz w:val="20"/>
          <w:szCs w:val="20"/>
          <w:color w:val="auto"/>
        </w:rPr>
      </w:pPr>
    </w:p>
    <w:p>
      <w:pPr>
        <w:ind w:right="40" w:firstLine="1297"/>
        <w:spacing w:after="0" w:line="272" w:lineRule="auto"/>
        <w:rPr>
          <w:sz w:val="20"/>
          <w:szCs w:val="20"/>
          <w:color w:val="auto"/>
        </w:rPr>
      </w:pPr>
      <w:r>
        <w:rPr>
          <w:rFonts w:ascii="Arial" w:cs="Arial" w:eastAsia="Arial" w:hAnsi="Arial"/>
          <w:sz w:val="19"/>
          <w:szCs w:val="19"/>
          <w:b w:val="1"/>
          <w:bCs w:val="1"/>
          <w:color w:val="auto"/>
        </w:rPr>
        <w:t xml:space="preserve">Section 7. </w:t>
      </w:r>
      <w:r>
        <w:rPr>
          <w:rFonts w:ascii="Arial" w:cs="Arial" w:eastAsia="Arial" w:hAnsi="Arial"/>
          <w:sz w:val="19"/>
          <w:szCs w:val="19"/>
          <w:u w:val="single" w:color="auto"/>
          <w:color w:val="auto"/>
        </w:rPr>
        <w:t>Severance Benefits upon Termination due to Death or Disability</w:t>
      </w:r>
      <w:r>
        <w:rPr>
          <w:rFonts w:ascii="Arial" w:cs="Arial" w:eastAsia="Arial" w:hAnsi="Arial"/>
          <w:sz w:val="19"/>
          <w:szCs w:val="19"/>
          <w:color w:val="auto"/>
        </w:rPr>
        <w:t>. If the Executive has a Separation</w:t>
      </w:r>
      <w:r>
        <w:rPr>
          <w:rFonts w:ascii="Arial" w:cs="Arial" w:eastAsia="Arial" w:hAnsi="Arial"/>
          <w:sz w:val="19"/>
          <w:szCs w:val="19"/>
          <w:b w:val="1"/>
          <w:bCs w:val="1"/>
          <w:color w:val="auto"/>
        </w:rPr>
        <w:t xml:space="preserve"> </w:t>
      </w:r>
      <w:r>
        <w:rPr>
          <w:rFonts w:ascii="Arial" w:cs="Arial" w:eastAsia="Arial" w:hAnsi="Arial"/>
          <w:sz w:val="19"/>
          <w:szCs w:val="19"/>
          <w:color w:val="auto"/>
        </w:rPr>
        <w:t>from Service by reason of death or Disability, the Company shall pay the Executive or his estate, as the case may be, the Accrued Obligations and the Pro Rata Bonus (without regard to whether a Change in Control has occurred) and any amounts or benefits described in Section 10 hereof. Such payments shall be in addition to those rights and benefits to which the Executive or his estate may be entitled under the relevant Company plans or programs. The Company's obligation to pay the Pro Rata Bonus is conditioned upon the Executive, the Executive's representative or the Executive's estate, as the case may be executing the Release within fifty (50) days after the date of Executive's Separation from Service and not revoking such Release in accordance with the terms thereof. The Accrued Obligations shall be paid within the time required by law and the Pro Rata Bonus shall be paid on such date as determined by the Company within sixty (60) days after the date of the Separation from Service but not before the Release becomes effective and irrevocable. If the fifty (50) day period in which the Release could become effective spans more than one taxable year, then the Pro Rata Bonus shall not be made until the later taxable year. Notwithstanding the foregoing, if the Executive is a Specified Employee on the date of the Executive’s Separation from Service, the Pro Rata Bonus shall be paid as provided in Section 9 hereof.</w:t>
      </w:r>
    </w:p>
    <w:p>
      <w:pPr>
        <w:spacing w:after="0" w:line="39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19"/>
          <w:szCs w:val="19"/>
          <w:u w:val="single" w:color="auto"/>
          <w:color w:val="auto"/>
        </w:rPr>
        <w:t>Limitations on Payments by the Company</w:t>
      </w:r>
      <w:r>
        <w:rPr>
          <w:rFonts w:ascii="Arial" w:cs="Arial" w:eastAsia="Arial" w:hAnsi="Arial"/>
          <w:sz w:val="19"/>
          <w:szCs w:val="19"/>
          <w:color w:val="auto"/>
        </w:rPr>
        <w:t>.</w:t>
      </w:r>
    </w:p>
    <w:p>
      <w:pPr>
        <w:spacing w:after="0" w:line="193" w:lineRule="exact"/>
        <w:rPr>
          <w:sz w:val="20"/>
          <w:szCs w:val="20"/>
          <w:color w:val="auto"/>
        </w:rPr>
      </w:pPr>
    </w:p>
    <w:p>
      <w:pPr>
        <w:ind w:firstLine="1305"/>
        <w:spacing w:after="0" w:line="233" w:lineRule="auto"/>
        <w:tabs>
          <w:tab w:leader="none" w:pos="1945" w:val="left"/>
        </w:tabs>
        <w:numPr>
          <w:ilvl w:val="0"/>
          <w:numId w:val="167"/>
        </w:numPr>
        <w:rPr>
          <w:rFonts w:ascii="Arial" w:cs="Arial" w:eastAsia="Arial" w:hAnsi="Arial"/>
          <w:sz w:val="22"/>
          <w:szCs w:val="22"/>
          <w:color w:val="auto"/>
        </w:rPr>
      </w:pPr>
      <w:r>
        <w:rPr>
          <w:rFonts w:ascii="Arial" w:cs="Arial" w:eastAsia="Arial" w:hAnsi="Arial"/>
          <w:sz w:val="22"/>
          <w:szCs w:val="22"/>
          <w:color w:val="auto"/>
        </w:rPr>
        <w:t>Anything in this Agreement to the contrary notwithstanding and except as set forth in this Section 8 below, in the event it shall be determined that any payment or distribution in the nature of compensation (within the meaning of Section 280G(b)(2) of the Code) to or for the benefit of the Executive, whether paid or payable pursuant to this Agreement or otherwise (the “</w:t>
      </w:r>
      <w:r>
        <w:rPr>
          <w:rFonts w:ascii="Arial" w:cs="Arial" w:eastAsia="Arial" w:hAnsi="Arial"/>
          <w:sz w:val="22"/>
          <w:szCs w:val="22"/>
          <w:u w:val="single" w:color="auto"/>
          <w:color w:val="auto"/>
        </w:rPr>
        <w:t>Payment</w:t>
      </w:r>
      <w:r>
        <w:rPr>
          <w:rFonts w:ascii="Arial" w:cs="Arial" w:eastAsia="Arial" w:hAnsi="Arial"/>
          <w:sz w:val="22"/>
          <w:szCs w:val="22"/>
          <w:color w:val="auto"/>
        </w:rPr>
        <w:t>”) would be subject (in whole or in part) to the excise tax imposed by Section 4999 of the Code, (the “</w:t>
      </w:r>
      <w:r>
        <w:rPr>
          <w:rFonts w:ascii="Arial" w:cs="Arial" w:eastAsia="Arial" w:hAnsi="Arial"/>
          <w:sz w:val="22"/>
          <w:szCs w:val="22"/>
          <w:u w:val="single" w:color="auto"/>
          <w:color w:val="auto"/>
        </w:rPr>
        <w:t>Excise Tax</w:t>
      </w:r>
      <w:r>
        <w:rPr>
          <w:rFonts w:ascii="Arial" w:cs="Arial" w:eastAsia="Arial" w:hAnsi="Arial"/>
          <w:sz w:val="22"/>
          <w:szCs w:val="22"/>
          <w:color w:val="auto"/>
        </w:rPr>
        <w:t>”), then, subject to subsection (b), the Pre-Change in Control Severance Benefit or the Post-Change in Control Severance Payment (whichever is applicable) payable under this Agreement shall be reduced under this subsection (a) to the amount equal to the Reduced Payment. For such Payment payable under this Agreement, the “</w:t>
      </w:r>
      <w:r>
        <w:rPr>
          <w:rFonts w:ascii="Arial" w:cs="Arial" w:eastAsia="Arial" w:hAnsi="Arial"/>
          <w:sz w:val="22"/>
          <w:szCs w:val="22"/>
          <w:u w:val="single" w:color="auto"/>
          <w:color w:val="auto"/>
        </w:rPr>
        <w:t>Reduced Payment</w:t>
      </w:r>
      <w:r>
        <w:rPr>
          <w:rFonts w:ascii="Arial" w:cs="Arial" w:eastAsia="Arial" w:hAnsi="Arial"/>
          <w:sz w:val="22"/>
          <w:szCs w:val="22"/>
          <w:color w:val="auto"/>
        </w:rPr>
        <w:t>” shall be the amount equal to the greatest portion of the Payment (which may be zero) that, if paid, would result in no portion of any Payment being subject to the Excise Tax.</w:t>
      </w:r>
    </w:p>
    <w:p>
      <w:pPr>
        <w:spacing w:after="0" w:line="193" w:lineRule="exact"/>
        <w:rPr>
          <w:rFonts w:ascii="Arial" w:cs="Arial" w:eastAsia="Arial" w:hAnsi="Arial"/>
          <w:sz w:val="22"/>
          <w:szCs w:val="22"/>
          <w:color w:val="auto"/>
        </w:rPr>
      </w:pPr>
    </w:p>
    <w:p>
      <w:pPr>
        <w:ind w:right="60" w:firstLine="1305"/>
        <w:spacing w:after="0" w:line="251" w:lineRule="auto"/>
        <w:tabs>
          <w:tab w:leader="none" w:pos="1945" w:val="left"/>
        </w:tabs>
        <w:numPr>
          <w:ilvl w:val="0"/>
          <w:numId w:val="167"/>
        </w:numPr>
        <w:rPr>
          <w:rFonts w:ascii="Arial" w:cs="Arial" w:eastAsia="Arial" w:hAnsi="Arial"/>
          <w:sz w:val="22"/>
          <w:szCs w:val="22"/>
          <w:color w:val="auto"/>
        </w:rPr>
      </w:pPr>
      <w:r>
        <w:rPr>
          <w:rFonts w:ascii="Arial" w:cs="Arial" w:eastAsia="Arial" w:hAnsi="Arial"/>
          <w:sz w:val="22"/>
          <w:szCs w:val="22"/>
          <w:color w:val="auto"/>
        </w:rPr>
        <w:t>The Pre-Change in Control Severance Benefit or the Post-Change in Control Severance Payment (whichever is applicable) payable under this Agreement shall not be reduced under subsection (a) if:</w:t>
      </w:r>
    </w:p>
    <w:p>
      <w:pPr>
        <w:spacing w:after="0" w:line="159" w:lineRule="exact"/>
        <w:rPr>
          <w:rFonts w:ascii="Arial" w:cs="Arial" w:eastAsia="Arial" w:hAnsi="Arial"/>
          <w:sz w:val="22"/>
          <w:szCs w:val="22"/>
          <w:color w:val="auto"/>
        </w:rPr>
      </w:pPr>
    </w:p>
    <w:p>
      <w:pPr>
        <w:ind w:left="3240" w:hanging="639"/>
        <w:spacing w:after="0"/>
        <w:tabs>
          <w:tab w:leader="none" w:pos="3240" w:val="left"/>
        </w:tabs>
        <w:numPr>
          <w:ilvl w:val="1"/>
          <w:numId w:val="167"/>
        </w:numPr>
        <w:rPr>
          <w:rFonts w:ascii="Arial" w:cs="Arial" w:eastAsia="Arial" w:hAnsi="Arial"/>
          <w:sz w:val="19"/>
          <w:szCs w:val="19"/>
          <w:color w:val="auto"/>
        </w:rPr>
      </w:pPr>
      <w:r>
        <w:rPr>
          <w:rFonts w:ascii="Arial" w:cs="Arial" w:eastAsia="Arial" w:hAnsi="Arial"/>
          <w:sz w:val="19"/>
          <w:szCs w:val="19"/>
          <w:color w:val="auto"/>
        </w:rPr>
        <w:t>such reduction in such Payment is not sufficient to cause no portion of any Payment to be</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subject to the Excise Tax, or</w:t>
      </w:r>
    </w:p>
    <w:p>
      <w:pPr>
        <w:spacing w:after="0" w:line="174" w:lineRule="exact"/>
        <w:rPr>
          <w:rFonts w:ascii="Arial" w:cs="Arial" w:eastAsia="Arial" w:hAnsi="Arial"/>
          <w:sz w:val="19"/>
          <w:szCs w:val="19"/>
          <w:color w:val="auto"/>
        </w:rPr>
      </w:pPr>
    </w:p>
    <w:p>
      <w:pPr>
        <w:ind w:left="660" w:right="720" w:firstLine="1941"/>
        <w:spacing w:after="0" w:line="274" w:lineRule="auto"/>
        <w:tabs>
          <w:tab w:leader="none" w:pos="3253" w:val="left"/>
        </w:tabs>
        <w:numPr>
          <w:ilvl w:val="1"/>
          <w:numId w:val="167"/>
        </w:numPr>
        <w:rPr>
          <w:rFonts w:ascii="Arial" w:cs="Arial" w:eastAsia="Arial" w:hAnsi="Arial"/>
          <w:sz w:val="21"/>
          <w:szCs w:val="21"/>
          <w:color w:val="auto"/>
        </w:rPr>
      </w:pPr>
      <w:r>
        <w:rPr>
          <w:rFonts w:ascii="Arial" w:cs="Arial" w:eastAsia="Arial" w:hAnsi="Arial"/>
          <w:sz w:val="21"/>
          <w:szCs w:val="21"/>
          <w:color w:val="auto"/>
        </w:rPr>
        <w:t>the Net After-Tax Unreduced Payments (as defined below) would equal or exceed one hundred and five percent (105%) of the Net After-Tax Reduced Payments (as defined below).</w:t>
      </w:r>
    </w:p>
    <w:p>
      <w:pPr>
        <w:spacing w:after="0" w:line="151" w:lineRule="exact"/>
        <w:rPr>
          <w:sz w:val="20"/>
          <w:szCs w:val="20"/>
          <w:color w:val="auto"/>
        </w:rPr>
      </w:pPr>
    </w:p>
    <w:p>
      <w:pPr>
        <w:ind w:right="200"/>
        <w:spacing w:after="0" w:line="279" w:lineRule="auto"/>
        <w:rPr>
          <w:sz w:val="20"/>
          <w:szCs w:val="20"/>
          <w:color w:val="auto"/>
        </w:rPr>
      </w:pPr>
      <w:r>
        <w:rPr>
          <w:rFonts w:ascii="Arial" w:cs="Arial" w:eastAsia="Arial" w:hAnsi="Arial"/>
          <w:sz w:val="19"/>
          <w:szCs w:val="19"/>
          <w:color w:val="auto"/>
        </w:rPr>
        <w:t>For purposes of determining the amount of any Reduced Payment under subsection (a), and the Net-After Tax Reduced Payments and the Net After-Tax Unreduced Payments, the Executive shall be considered to pay federal, state and local income and employment taxes at the Executive’s applicable marginal rates taking into consideration any reduction in federal income taxes which could be obtained from the deduction of state and local income taxes, and any reduction or disallowance of itemized deductions and personal exemptions under applicable tax law). The applicable federal, state and local income and employment taxes and the Excise Tax (to the extent applicable) are collectively referred to as the “</w:t>
      </w:r>
      <w:r>
        <w:rPr>
          <w:rFonts w:ascii="Arial" w:cs="Arial" w:eastAsia="Arial" w:hAnsi="Arial"/>
          <w:sz w:val="19"/>
          <w:szCs w:val="19"/>
          <w:u w:val="single" w:color="auto"/>
          <w:color w:val="auto"/>
        </w:rPr>
        <w:t>Taxes</w:t>
      </w:r>
      <w:r>
        <w:rPr>
          <w:rFonts w:ascii="Arial" w:cs="Arial" w:eastAsia="Arial" w:hAnsi="Arial"/>
          <w:sz w:val="19"/>
          <w:szCs w:val="19"/>
          <w:color w:val="auto"/>
        </w:rPr>
        <w:t>”.</w:t>
      </w:r>
    </w:p>
    <w:p>
      <w:pPr>
        <w:spacing w:after="0" w:line="151" w:lineRule="exact"/>
        <w:rPr>
          <w:sz w:val="20"/>
          <w:szCs w:val="20"/>
          <w:color w:val="auto"/>
        </w:rPr>
      </w:pPr>
    </w:p>
    <w:p>
      <w:pPr>
        <w:ind w:left="1960" w:hanging="655"/>
        <w:spacing w:after="0"/>
        <w:tabs>
          <w:tab w:leader="none" w:pos="196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The following definitions shall apply for purposes of this Section 8:</w:t>
      </w:r>
    </w:p>
    <w:p>
      <w:pPr>
        <w:spacing w:after="0" w:line="192" w:lineRule="exact"/>
        <w:rPr>
          <w:rFonts w:ascii="Arial" w:cs="Arial" w:eastAsia="Arial" w:hAnsi="Arial"/>
          <w:sz w:val="22"/>
          <w:szCs w:val="22"/>
          <w:color w:val="auto"/>
        </w:rPr>
      </w:pPr>
    </w:p>
    <w:p>
      <w:pPr>
        <w:ind w:left="660" w:right="80" w:firstLine="1941"/>
        <w:spacing w:after="0"/>
        <w:tabs>
          <w:tab w:leader="none" w:pos="3253" w:val="left"/>
        </w:tabs>
        <w:numPr>
          <w:ilvl w:val="1"/>
          <w:numId w:val="168"/>
        </w:numPr>
        <w:rPr>
          <w:rFonts w:ascii="Arial" w:cs="Arial" w:eastAsia="Arial" w:hAnsi="Arial"/>
          <w:sz w:val="22"/>
          <w:szCs w:val="22"/>
          <w:color w:val="auto"/>
        </w:rPr>
      </w:pPr>
      <w:r>
        <w:rPr>
          <w:rFonts w:ascii="Arial" w:cs="Arial" w:eastAsia="Arial" w:hAnsi="Arial"/>
          <w:sz w:val="22"/>
          <w:szCs w:val="22"/>
          <w:color w:val="auto"/>
        </w:rPr>
        <w:t>“Net After-Tax Reduced Payments” shall mean the total amount of all Payments that the Executive would retain, on a Net After-Tax Basis, in the event that the Payments payable under this Agreement are reduced pursuant to subsection (a).</w:t>
      </w:r>
    </w:p>
    <w:p>
      <w:pPr>
        <w:spacing w:after="0" w:line="172" w:lineRule="exact"/>
        <w:rPr>
          <w:rFonts w:ascii="Arial" w:cs="Arial" w:eastAsia="Arial" w:hAnsi="Arial"/>
          <w:sz w:val="22"/>
          <w:szCs w:val="22"/>
          <w:color w:val="auto"/>
        </w:rPr>
      </w:pPr>
    </w:p>
    <w:p>
      <w:pPr>
        <w:ind w:left="660" w:right="340" w:firstLine="1941"/>
        <w:spacing w:after="0"/>
        <w:tabs>
          <w:tab w:leader="none" w:pos="3253" w:val="left"/>
        </w:tabs>
        <w:numPr>
          <w:ilvl w:val="1"/>
          <w:numId w:val="168"/>
        </w:numPr>
        <w:rPr>
          <w:rFonts w:ascii="Arial" w:cs="Arial" w:eastAsia="Arial" w:hAnsi="Arial"/>
          <w:sz w:val="22"/>
          <w:szCs w:val="22"/>
          <w:color w:val="auto"/>
        </w:rPr>
      </w:pPr>
      <w:r>
        <w:rPr>
          <w:rFonts w:ascii="Arial" w:cs="Arial" w:eastAsia="Arial" w:hAnsi="Arial"/>
          <w:sz w:val="22"/>
          <w:szCs w:val="22"/>
          <w:color w:val="auto"/>
        </w:rPr>
        <w:t>“Net After-Tax Unreduced Payments” shall mean the total amount of all Payments that the Executive would retain, on a Net After-Tax Basis, in the event that the Payments payable under this Agreement are not reduced pursuant to subsection (a).</w:t>
      </w:r>
    </w:p>
    <w:p>
      <w:pPr>
        <w:spacing w:after="0" w:line="186" w:lineRule="exact"/>
        <w:rPr>
          <w:rFonts w:ascii="Arial" w:cs="Arial" w:eastAsia="Arial" w:hAnsi="Arial"/>
          <w:sz w:val="22"/>
          <w:szCs w:val="22"/>
          <w:color w:val="auto"/>
        </w:rPr>
      </w:pPr>
    </w:p>
    <w:p>
      <w:pPr>
        <w:ind w:left="660" w:right="440" w:firstLine="1941"/>
        <w:spacing w:after="0"/>
        <w:tabs>
          <w:tab w:leader="none" w:pos="3253" w:val="left"/>
        </w:tabs>
        <w:numPr>
          <w:ilvl w:val="1"/>
          <w:numId w:val="168"/>
        </w:numPr>
        <w:rPr>
          <w:rFonts w:ascii="Arial" w:cs="Arial" w:eastAsia="Arial" w:hAnsi="Arial"/>
          <w:sz w:val="22"/>
          <w:szCs w:val="22"/>
          <w:color w:val="auto"/>
        </w:rPr>
      </w:pPr>
      <w:r>
        <w:rPr>
          <w:rFonts w:ascii="Arial" w:cs="Arial" w:eastAsia="Arial" w:hAnsi="Arial"/>
          <w:sz w:val="22"/>
          <w:szCs w:val="22"/>
          <w:color w:val="auto"/>
        </w:rPr>
        <w:t>“Net After-Tax Basis” shall mean, with respect to the Payments, either with or without reduction under subsection (a) (as applicable), the amount that would be retained by the Executive from such Payments after the payment of all Taxes.</w:t>
      </w:r>
    </w:p>
    <w:p>
      <w:pPr>
        <w:spacing w:after="0" w:line="172" w:lineRule="exact"/>
        <w:rPr>
          <w:rFonts w:ascii="Arial" w:cs="Arial" w:eastAsia="Arial" w:hAnsi="Arial"/>
          <w:sz w:val="22"/>
          <w:szCs w:val="22"/>
          <w:color w:val="auto"/>
        </w:rPr>
      </w:pPr>
    </w:p>
    <w:p>
      <w:pPr>
        <w:ind w:right="100" w:firstLine="1305"/>
        <w:spacing w:after="0" w:line="277" w:lineRule="auto"/>
        <w:tabs>
          <w:tab w:leader="none" w:pos="1945" w:val="left"/>
        </w:tabs>
        <w:numPr>
          <w:ilvl w:val="0"/>
          <w:numId w:val="168"/>
        </w:numPr>
        <w:rPr>
          <w:rFonts w:ascii="Arial" w:cs="Arial" w:eastAsia="Arial" w:hAnsi="Arial"/>
          <w:sz w:val="19"/>
          <w:szCs w:val="19"/>
          <w:color w:val="auto"/>
        </w:rPr>
      </w:pPr>
      <w:r>
        <w:rPr>
          <w:rFonts w:ascii="Arial" w:cs="Arial" w:eastAsia="Arial" w:hAnsi="Arial"/>
          <w:sz w:val="19"/>
          <w:szCs w:val="19"/>
          <w:color w:val="auto"/>
        </w:rPr>
        <w:t>All determinations required to be made under this Section 8 and the assumptions to be utilized in arriving at such determinations, shall be made by a nationally recognized accounting firm as may be agreed by the Company and the Executive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that the Accounting Firm’s determination shall be made based upon “substantial authority” within the meaning of Section 6662 of the Code. The Accounting Firm shall provide detailed supporting calculations to both the Company and the Executive within fifteen (15) business days of the receipt of notice from the Executive that there has been a Payment or such earlier time as is requested by the Company. All fees and expenses of the Accounting Firm shall be borne solely by the Company. Any determination by the Accounting Firm shall be binding upon the Company and the Executive. For</w:t>
      </w:r>
    </w:p>
    <w:p>
      <w:pPr>
        <w:sectPr>
          <w:pgSz w:w="11900" w:h="16940" w:orient="portrait"/>
          <w:cols w:equalWidth="0" w:num="1">
            <w:col w:w="11420"/>
          </w:cols>
          <w:pgMar w:left="240" w:top="118" w:right="239" w:bottom="0" w:gutter="0" w:footer="0" w:header="0"/>
        </w:sectPr>
      </w:pPr>
    </w:p>
    <w:bookmarkStart w:id="120" w:name="page121"/>
    <w:bookmarkEnd w:id="120"/>
    <w:p>
      <w:pPr>
        <w:spacing w:after="0" w:line="52"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purposes of determining whether and the extent to which the Payments will be subject to the Excise Tax, (i) no portion of the Payments the receipt or enjoyment of which the Executive shall have waived at such time and in such manner as not to constitute a “payment” within the meaning of Section 280G(b) of the Code shall be taken into account, (ii) no portion of the Payments shall be taken into account which, in the written opinion of the Accounting Firm, does not constitute a “parachute payment” within the meaning of Section 280G(b)(2) of the Code (including by reason of Section 280G(b)(4)(A) of the Code) and, in calculating the Excise Tax, no portion of such Payments shall be taken into account which, in the opinion of the Accounting Firm,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Payments shall be determined by the Accounting Firm in accordance with the principles of Sections 280G(d)(3) and (4) of the Code.</w:t>
      </w:r>
    </w:p>
    <w:p>
      <w:pPr>
        <w:spacing w:after="0" w:line="149" w:lineRule="exact"/>
        <w:rPr>
          <w:sz w:val="20"/>
          <w:szCs w:val="20"/>
          <w:color w:val="auto"/>
        </w:rPr>
      </w:pPr>
    </w:p>
    <w:p>
      <w:pPr>
        <w:ind w:firstLine="1297"/>
        <w:spacing w:after="0" w:line="272" w:lineRule="auto"/>
        <w:rPr>
          <w:sz w:val="20"/>
          <w:szCs w:val="20"/>
          <w:color w:val="auto"/>
        </w:rPr>
      </w:pPr>
      <w:r>
        <w:rPr>
          <w:rFonts w:ascii="Arial" w:cs="Arial" w:eastAsia="Arial" w:hAnsi="Arial"/>
          <w:sz w:val="19"/>
          <w:szCs w:val="19"/>
          <w:b w:val="1"/>
          <w:bCs w:val="1"/>
          <w:color w:val="auto"/>
        </w:rPr>
        <w:t xml:space="preserve">Section 9. </w:t>
      </w:r>
      <w:r>
        <w:rPr>
          <w:rFonts w:ascii="Arial" w:cs="Arial" w:eastAsia="Arial" w:hAnsi="Arial"/>
          <w:sz w:val="19"/>
          <w:szCs w:val="19"/>
          <w:u w:val="single" w:color="auto"/>
          <w:color w:val="auto"/>
        </w:rPr>
        <w:t>Delayed Distribution under Section 409A of the Code</w:t>
      </w:r>
      <w:r>
        <w:rPr>
          <w:rFonts w:ascii="Arial" w:cs="Arial" w:eastAsia="Arial" w:hAnsi="Arial"/>
          <w:sz w:val="19"/>
          <w:szCs w:val="19"/>
          <w:color w:val="auto"/>
        </w:rPr>
        <w:t>. If the Executive is a Specified Employee on</w:t>
      </w:r>
      <w:r>
        <w:rPr>
          <w:rFonts w:ascii="Arial" w:cs="Arial" w:eastAsia="Arial" w:hAnsi="Arial"/>
          <w:sz w:val="19"/>
          <w:szCs w:val="19"/>
          <w:b w:val="1"/>
          <w:bCs w:val="1"/>
          <w:color w:val="auto"/>
        </w:rPr>
        <w:t xml:space="preserve"> </w:t>
      </w:r>
      <w:r>
        <w:rPr>
          <w:rFonts w:ascii="Arial" w:cs="Arial" w:eastAsia="Arial" w:hAnsi="Arial"/>
          <w:sz w:val="19"/>
          <w:szCs w:val="19"/>
          <w:color w:val="auto"/>
        </w:rPr>
        <w:t>the date of the Executive’s Involuntary Termination (or on the date of the Executive’s Separation from Service by reason of Disability), the Section 409A Payments, and any other payments or benefits under this Agreement subject to Section 409A of the Code, shall be delayed in order to avoid a prohibited distribution under Section 409A(a)(2)(B)(i) of the Code, and such payments or benefits shall be paid or distributed to the Executive during the thirty (30) day period commencing on the earlier of (a) the expiration of the six-month period measured from the date of the Executive’s Separation from Service or (b) the date of the Executive’s death. Upon the expiration of the applicable six-month period under Section 409A(a)(2)(B)(i) of the Code, all payments deferred pursuant to this Section 9 (excluding in-kind benefits) shall be paid in a lump sum payment to the Executive, plus interest thereon from the date of the Executive’s Involuntary Termination through the payment date at an annual rate equal to Moody’s Rate. The “</w:t>
      </w:r>
      <w:r>
        <w:rPr>
          <w:rFonts w:ascii="Arial" w:cs="Arial" w:eastAsia="Arial" w:hAnsi="Arial"/>
          <w:sz w:val="19"/>
          <w:szCs w:val="19"/>
          <w:u w:val="single" w:color="auto"/>
          <w:color w:val="auto"/>
        </w:rPr>
        <w:t>Moody’s Rate</w:t>
      </w:r>
      <w:r>
        <w:rPr>
          <w:rFonts w:ascii="Arial" w:cs="Arial" w:eastAsia="Arial" w:hAnsi="Arial"/>
          <w:sz w:val="19"/>
          <w:szCs w:val="19"/>
          <w:color w:val="auto"/>
        </w:rPr>
        <w:t>” shall mean the average of the daily Moody’s Corporate Bond Yield Average – Monthly Average Corporates as published by Moody’s Investors Service, Inc. (or any successor) for the month next preceding the Date of Termination. Any remaining payments due under the Agreement shall be paid as otherwise provided herein.</w:t>
      </w:r>
    </w:p>
    <w:p>
      <w:pPr>
        <w:spacing w:after="0" w:line="156" w:lineRule="exact"/>
        <w:rPr>
          <w:sz w:val="20"/>
          <w:szCs w:val="20"/>
          <w:color w:val="auto"/>
        </w:rPr>
      </w:pPr>
    </w:p>
    <w:p>
      <w:pPr>
        <w:ind w:right="120" w:firstLine="1297"/>
        <w:spacing w:after="0" w:line="272" w:lineRule="auto"/>
        <w:rPr>
          <w:sz w:val="20"/>
          <w:szCs w:val="20"/>
          <w:color w:val="auto"/>
        </w:rPr>
      </w:pPr>
      <w:r>
        <w:rPr>
          <w:rFonts w:ascii="Arial" w:cs="Arial" w:eastAsia="Arial" w:hAnsi="Arial"/>
          <w:sz w:val="19"/>
          <w:szCs w:val="19"/>
          <w:b w:val="1"/>
          <w:bCs w:val="1"/>
          <w:color w:val="auto"/>
        </w:rPr>
        <w:t xml:space="preserve">Section 10. </w:t>
      </w:r>
      <w:r>
        <w:rPr>
          <w:rFonts w:ascii="Arial" w:cs="Arial" w:eastAsia="Arial" w:hAnsi="Arial"/>
          <w:sz w:val="19"/>
          <w:szCs w:val="19"/>
          <w:u w:val="single" w:color="auto"/>
          <w:color w:val="auto"/>
        </w:rPr>
        <w:t>Nonexclusivity of Rights</w:t>
      </w:r>
      <w:r>
        <w:rPr>
          <w:rFonts w:ascii="Arial" w:cs="Arial" w:eastAsia="Arial" w:hAnsi="Arial"/>
          <w:sz w:val="19"/>
          <w:szCs w:val="19"/>
          <w:color w:val="auto"/>
        </w:rPr>
        <w:t>. Nothing in this Agreement shall prevent or limit the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continuing or future participation in any benefit, plan, program, policy or practice provided by the Company and for which the Executive may qualify (except with respect to any benefit to which the Executive has waived his rights in writing), including, without limitation, any and all indemnification arrangements in favor of the Executive (whether under agreements or under the Company’s charter documents or otherwise), and insurance policies covering the Executive, nor shall anything herein limit or otherwise affect such rights as the Executive may have under any other contract or agreement entered into after the Effective Date with the Company. Amounts which are vested benefits or which the Executive is otherwise entitled to receive under any benefit, plan, policy, practice or program of, or any contract or agreement entered into with, the Company shall be payable in accordance with such benefit, plan, policy, practice or program or contract or agreement except as explicitly modified by this Agreement. At all times during the Executive’s employment with the Company and thereafter, the Company shall provide (to the extent permissible under applicable law) the Executive with indemnification and D&amp;O insurance insuring the Executive against insurable events which occur or have occurred while the Executive was a director or the Executive officer of the Company, on terms and conditions that are at least as generous as that then provided to any other current or former director or the Executive officer of the Company or any Affiliate. Such indemnification and D&amp;O insurance shall be provided in a manner that complies with Treasury Regulation Section 1.409A-1(b)(10).</w:t>
      </w:r>
    </w:p>
    <w:p>
      <w:pPr>
        <w:spacing w:after="0" w:line="388" w:lineRule="exact"/>
        <w:rPr>
          <w:sz w:val="20"/>
          <w:szCs w:val="20"/>
          <w:color w:val="auto"/>
        </w:rPr>
      </w:pPr>
    </w:p>
    <w:p>
      <w:pPr>
        <w:ind w:right="80" w:firstLine="1297"/>
        <w:spacing w:after="0" w:line="252" w:lineRule="auto"/>
        <w:rPr>
          <w:sz w:val="20"/>
          <w:szCs w:val="20"/>
          <w:color w:val="auto"/>
        </w:rPr>
      </w:pPr>
      <w:r>
        <w:rPr>
          <w:rFonts w:ascii="Arial" w:cs="Arial" w:eastAsia="Arial" w:hAnsi="Arial"/>
          <w:sz w:val="21"/>
          <w:szCs w:val="21"/>
          <w:b w:val="1"/>
          <w:bCs w:val="1"/>
          <w:color w:val="auto"/>
        </w:rPr>
        <w:t xml:space="preserve">Section 11. </w:t>
      </w:r>
      <w:r>
        <w:rPr>
          <w:rFonts w:ascii="Arial" w:cs="Arial" w:eastAsia="Arial" w:hAnsi="Arial"/>
          <w:sz w:val="21"/>
          <w:szCs w:val="21"/>
          <w:u w:val="single" w:color="auto"/>
          <w:color w:val="auto"/>
        </w:rPr>
        <w:t>Clawbacks</w:t>
      </w:r>
      <w:r>
        <w:rPr>
          <w:rFonts w:ascii="Arial" w:cs="Arial" w:eastAsia="Arial" w:hAnsi="Arial"/>
          <w:sz w:val="21"/>
          <w:szCs w:val="21"/>
          <w:color w:val="auto"/>
        </w:rPr>
        <w:t>. Notwithstanding anything herein to the contrary, if the Company determines, in its good</w:t>
      </w:r>
      <w:r>
        <w:rPr>
          <w:rFonts w:ascii="Arial" w:cs="Arial" w:eastAsia="Arial" w:hAnsi="Arial"/>
          <w:sz w:val="21"/>
          <w:szCs w:val="21"/>
          <w:b w:val="1"/>
          <w:bCs w:val="1"/>
          <w:color w:val="auto"/>
        </w:rPr>
        <w:t xml:space="preserve"> </w:t>
      </w:r>
      <w:r>
        <w:rPr>
          <w:rFonts w:ascii="Arial" w:cs="Arial" w:eastAsia="Arial" w:hAnsi="Arial"/>
          <w:sz w:val="21"/>
          <w:szCs w:val="21"/>
          <w:color w:val="auto"/>
        </w:rPr>
        <w:t>faith judgment, that if the Executive is required to forfeit or to make any repayment of any compensation or benefit(s) to the Company under the Sarbanes-Oxley Act of 2002 or pursuant to the Dodd-Frank Wall Street Reform and Consumer Protection Act or any other law, such forfeiture or repayment shall not constitute Good Reason.</w:t>
      </w:r>
    </w:p>
    <w:p>
      <w:pPr>
        <w:spacing w:after="0" w:line="161" w:lineRule="exact"/>
        <w:rPr>
          <w:sz w:val="20"/>
          <w:szCs w:val="20"/>
          <w:color w:val="auto"/>
        </w:rPr>
      </w:pPr>
    </w:p>
    <w:p>
      <w:pPr>
        <w:ind w:right="60" w:firstLine="1297"/>
        <w:spacing w:after="0" w:line="277" w:lineRule="auto"/>
        <w:rPr>
          <w:sz w:val="20"/>
          <w:szCs w:val="20"/>
          <w:color w:val="auto"/>
        </w:rPr>
      </w:pPr>
      <w:r>
        <w:rPr>
          <w:rFonts w:ascii="Arial" w:cs="Arial" w:eastAsia="Arial" w:hAnsi="Arial"/>
          <w:sz w:val="19"/>
          <w:szCs w:val="19"/>
          <w:b w:val="1"/>
          <w:bCs w:val="1"/>
          <w:color w:val="auto"/>
        </w:rPr>
        <w:t xml:space="preserve">Section 12. </w:t>
      </w:r>
      <w:r>
        <w:rPr>
          <w:rFonts w:ascii="Arial" w:cs="Arial" w:eastAsia="Arial" w:hAnsi="Arial"/>
          <w:sz w:val="19"/>
          <w:szCs w:val="19"/>
          <w:u w:val="single" w:color="auto"/>
          <w:color w:val="auto"/>
        </w:rPr>
        <w:t>Full Settlement; Mitigation</w:t>
      </w:r>
      <w:r>
        <w:rPr>
          <w:rFonts w:ascii="Arial" w:cs="Arial" w:eastAsia="Arial" w:hAnsi="Arial"/>
          <w:sz w:val="19"/>
          <w:szCs w:val="19"/>
          <w:color w:val="auto"/>
        </w:rPr>
        <w:t>. The Company’s obligation to make the payments provided for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otherwise to perform its obligations hereunder shall not be affected by any set-off, counterclaim, recoupment, defense or other claim, right or action which the Company may have against the Executive or others, provided that nothing herein shall preclude the Company from separately pursuing recovery from the Executive based on any such claim. In no event shall the Executive be obligated to seek other employment or take any other action by way of mitigation of the amounts (including amounts for damages for breach) payable to the Executive under any of the provisions of this Agreement, and such amounts shall not be reduced whether or not the Executive obtains other employment.</w:t>
      </w:r>
    </w:p>
    <w:p>
      <w:pPr>
        <w:spacing w:after="0" w:line="14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13.</w:t>
      </w:r>
      <w:r>
        <w:rPr>
          <w:sz w:val="20"/>
          <w:szCs w:val="20"/>
          <w:color w:val="auto"/>
        </w:rPr>
        <w:tab/>
      </w:r>
      <w:r>
        <w:rPr>
          <w:rFonts w:ascii="Arial" w:cs="Arial" w:eastAsia="Arial" w:hAnsi="Arial"/>
          <w:sz w:val="19"/>
          <w:szCs w:val="19"/>
          <w:u w:val="single" w:color="auto"/>
          <w:color w:val="auto"/>
        </w:rPr>
        <w:t>Dispute Resolution</w:t>
      </w:r>
      <w:r>
        <w:rPr>
          <w:rFonts w:ascii="Arial" w:cs="Arial" w:eastAsia="Arial" w:hAnsi="Arial"/>
          <w:sz w:val="19"/>
          <w:szCs w:val="19"/>
          <w:color w:val="auto"/>
        </w:rPr>
        <w:t>.</w:t>
      </w:r>
    </w:p>
    <w:p>
      <w:pPr>
        <w:spacing w:after="0" w:line="199" w:lineRule="exact"/>
        <w:rPr>
          <w:sz w:val="20"/>
          <w:szCs w:val="20"/>
          <w:color w:val="auto"/>
        </w:rPr>
      </w:pPr>
    </w:p>
    <w:p>
      <w:pPr>
        <w:ind w:right="20" w:firstLine="1305"/>
        <w:spacing w:after="0" w:line="282" w:lineRule="auto"/>
        <w:tabs>
          <w:tab w:leader="none" w:pos="1945" w:val="left"/>
        </w:tabs>
        <w:numPr>
          <w:ilvl w:val="0"/>
          <w:numId w:val="169"/>
        </w:numPr>
        <w:rPr>
          <w:rFonts w:ascii="Arial" w:cs="Arial" w:eastAsia="Arial" w:hAnsi="Arial"/>
          <w:sz w:val="19"/>
          <w:szCs w:val="19"/>
          <w:color w:val="auto"/>
        </w:rPr>
      </w:pPr>
      <w:r>
        <w:rPr>
          <w:rFonts w:ascii="Arial" w:cs="Arial" w:eastAsia="Arial" w:hAnsi="Arial"/>
          <w:sz w:val="19"/>
          <w:szCs w:val="19"/>
          <w:color w:val="auto"/>
        </w:rPr>
        <w:t>If any dispute arises between Executive and the Company, including, but not limited to, disputes relating to or arising out of this Agreement, any action relating to or arising out of my employment or its termination, and/or any disputes regarding the interpretation, enforceability, or validity of this Agreement (“Arbitrable Dispute”), Executive and the Company waive the right to resolve the dispute through litigation in a judicial forum and agree to resolve the Arbitrable Dispute through final and binding arbitration, except as prohibited by law. Arbitration shall be the exclusive remedy for any Arbitrable Dispute.</w:t>
      </w:r>
    </w:p>
    <w:p>
      <w:pPr>
        <w:spacing w:after="0" w:line="134" w:lineRule="exact"/>
        <w:rPr>
          <w:rFonts w:ascii="Arial" w:cs="Arial" w:eastAsia="Arial" w:hAnsi="Arial"/>
          <w:sz w:val="19"/>
          <w:szCs w:val="19"/>
          <w:color w:val="auto"/>
        </w:rPr>
      </w:pPr>
    </w:p>
    <w:p>
      <w:pPr>
        <w:ind w:right="220" w:firstLine="1305"/>
        <w:spacing w:after="0" w:line="287" w:lineRule="auto"/>
        <w:tabs>
          <w:tab w:leader="none" w:pos="1945" w:val="left"/>
        </w:tabs>
        <w:numPr>
          <w:ilvl w:val="0"/>
          <w:numId w:val="169"/>
        </w:numPr>
        <w:rPr>
          <w:rFonts w:ascii="Arial" w:cs="Arial" w:eastAsia="Arial" w:hAnsi="Arial"/>
          <w:sz w:val="19"/>
          <w:szCs w:val="19"/>
          <w:color w:val="auto"/>
        </w:rPr>
      </w:pPr>
      <w:r>
        <w:rPr>
          <w:rFonts w:ascii="Arial" w:cs="Arial" w:eastAsia="Arial" w:hAnsi="Arial"/>
          <w:sz w:val="19"/>
          <w:szCs w:val="19"/>
          <w:color w:val="auto"/>
        </w:rPr>
        <w:t>As to any Arbitrable Dispute, the Company and Executive waive any right to a jury trial or a court bench trial. The Company and Executive also waive the right to bring, maintain, or participate in any class, collective, or representative proceeding, whether in arbitration or otherwise. Further, Arbitrable Disputes must be brought in the individual capacity of the party asserting the claim, and cannot be maintained on a class, collective, or representative basis.</w:t>
      </w:r>
    </w:p>
    <w:p>
      <w:pPr>
        <w:spacing w:after="0" w:line="143" w:lineRule="exact"/>
        <w:rPr>
          <w:rFonts w:ascii="Arial" w:cs="Arial" w:eastAsia="Arial" w:hAnsi="Arial"/>
          <w:sz w:val="19"/>
          <w:szCs w:val="19"/>
          <w:color w:val="auto"/>
        </w:rPr>
      </w:pPr>
    </w:p>
    <w:p>
      <w:pPr>
        <w:ind w:right="160" w:firstLine="1305"/>
        <w:spacing w:after="0" w:line="297" w:lineRule="auto"/>
        <w:tabs>
          <w:tab w:leader="none" w:pos="1945" w:val="left"/>
        </w:tabs>
        <w:numPr>
          <w:ilvl w:val="0"/>
          <w:numId w:val="169"/>
        </w:numPr>
        <w:rPr>
          <w:rFonts w:ascii="Arial" w:cs="Arial" w:eastAsia="Arial" w:hAnsi="Arial"/>
          <w:sz w:val="19"/>
          <w:szCs w:val="19"/>
          <w:color w:val="auto"/>
        </w:rPr>
      </w:pPr>
      <w:r>
        <w:rPr>
          <w:rFonts w:ascii="Arial" w:cs="Arial" w:eastAsia="Arial" w:hAnsi="Arial"/>
          <w:sz w:val="19"/>
          <w:szCs w:val="19"/>
          <w:color w:val="auto"/>
        </w:rPr>
        <w:t>Arbitration shall take place at the office of the Judicial Arbitration and Mediation Service (“JAMS”) (or, if Executive is employed outside of California, the American Arbitration Association (“AAA”)) nearest to the location where Executive last worked for the Company. Except to the extent it conflicts with the rules and procedures set forth in this Arbitration</w:t>
      </w:r>
    </w:p>
    <w:p>
      <w:pPr>
        <w:sectPr>
          <w:pgSz w:w="11900" w:h="16890" w:orient="portrait"/>
          <w:cols w:equalWidth="0" w:num="1">
            <w:col w:w="11420"/>
          </w:cols>
          <w:pgMar w:left="240" w:top="118" w:right="239" w:bottom="0" w:gutter="0" w:footer="0" w:header="0"/>
        </w:sectPr>
      </w:pPr>
    </w:p>
    <w:bookmarkStart w:id="121" w:name="page122"/>
    <w:bookmarkEnd w:id="121"/>
    <w:p>
      <w:pPr>
        <w:spacing w:after="0" w:line="43"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color w:val="auto"/>
        </w:rPr>
        <w:t>Agreement, arbitration shall be conducted in accordance with the JAMs Employment Arbitration Rules &amp; Procedures (if Executive is employed outside of California, the AAA Employment Arbitration Rules &amp; Mediation Procedures), copies of which are attached for my reference and available at www.jamsadr.com; tel: 800.352.5267 and www.adr.org; tel: 800.778.7879, before a single experienced, neutral employment arbitrator selected in accordance with those rules.</w:t>
      </w:r>
    </w:p>
    <w:p>
      <w:pPr>
        <w:spacing w:after="0" w:line="161" w:lineRule="exact"/>
        <w:rPr>
          <w:sz w:val="20"/>
          <w:szCs w:val="20"/>
          <w:color w:val="auto"/>
        </w:rPr>
      </w:pPr>
    </w:p>
    <w:p>
      <w:pPr>
        <w:ind w:right="280" w:firstLine="1305"/>
        <w:spacing w:after="0" w:line="287" w:lineRule="auto"/>
        <w:tabs>
          <w:tab w:leader="none" w:pos="1945" w:val="left"/>
        </w:tabs>
        <w:numPr>
          <w:ilvl w:val="0"/>
          <w:numId w:val="170"/>
        </w:numPr>
        <w:rPr>
          <w:rFonts w:ascii="Arial" w:cs="Arial" w:eastAsia="Arial" w:hAnsi="Arial"/>
          <w:sz w:val="19"/>
          <w:szCs w:val="19"/>
          <w:color w:val="auto"/>
        </w:rPr>
      </w:pPr>
      <w:r>
        <w:rPr>
          <w:rFonts w:ascii="Arial" w:cs="Arial" w:eastAsia="Arial" w:hAnsi="Arial"/>
          <w:sz w:val="19"/>
          <w:szCs w:val="19"/>
          <w:color w:val="auto"/>
        </w:rPr>
        <w:t>The Company will be responsible for paying any filing fee and the fees and costs of the arbitrator. Each party shall pay its own attorneys’ fees. However, if any party prevails on a statutory claim that authorizes an award of attorneys’ fees to the prevailing party, or if there is a written agreement providing for attorneys’ fees, the arbitrator may award reasonable attorneys’ fees to the prevailing party, applying the same standards a court would apply under the law applicable to the claim.</w:t>
      </w:r>
    </w:p>
    <w:p>
      <w:pPr>
        <w:spacing w:after="0" w:line="143" w:lineRule="exact"/>
        <w:rPr>
          <w:rFonts w:ascii="Arial" w:cs="Arial" w:eastAsia="Arial" w:hAnsi="Arial"/>
          <w:sz w:val="19"/>
          <w:szCs w:val="19"/>
          <w:color w:val="auto"/>
        </w:rPr>
      </w:pPr>
    </w:p>
    <w:p>
      <w:pPr>
        <w:ind w:right="120" w:firstLine="1305"/>
        <w:spacing w:after="0" w:line="279" w:lineRule="auto"/>
        <w:tabs>
          <w:tab w:leader="none" w:pos="1945" w:val="left"/>
        </w:tabs>
        <w:numPr>
          <w:ilvl w:val="0"/>
          <w:numId w:val="170"/>
        </w:numPr>
        <w:rPr>
          <w:rFonts w:ascii="Arial" w:cs="Arial" w:eastAsia="Arial" w:hAnsi="Arial"/>
          <w:sz w:val="19"/>
          <w:szCs w:val="19"/>
          <w:color w:val="auto"/>
        </w:rPr>
      </w:pPr>
      <w:r>
        <w:rPr>
          <w:rFonts w:ascii="Arial" w:cs="Arial" w:eastAsia="Arial" w:hAnsi="Arial"/>
          <w:sz w:val="19"/>
          <w:szCs w:val="19"/>
          <w:color w:val="auto"/>
        </w:rPr>
        <w:t>The arbitrator shall apply the Federal Rules of Evidence, shall have the authority to entertain a motion to dismiss or a motion for summary judgment by any party, and shall apply the standards governing such motions under the Federal Rules of Civil Procedure. The arbitrator does not have the authority to consider, certify, or hear an arbitration as a class action, collective action, or any other type of representative action. The Company and Executive recognize that this Agreement arises out of or concerns interstate commerce and that the Federal Arbitration Act shall govern the arbitration and shall govern the interpretation or enforcement of this Arbitration Agreement or any arbitration award.</w:t>
      </w:r>
    </w:p>
    <w:p>
      <w:pPr>
        <w:spacing w:after="0" w:line="137" w:lineRule="exact"/>
        <w:rPr>
          <w:rFonts w:ascii="Arial" w:cs="Arial" w:eastAsia="Arial" w:hAnsi="Arial"/>
          <w:sz w:val="19"/>
          <w:szCs w:val="19"/>
          <w:color w:val="auto"/>
        </w:rPr>
      </w:pPr>
    </w:p>
    <w:p>
      <w:pPr>
        <w:ind w:right="260" w:firstLine="1305"/>
        <w:spacing w:after="0" w:line="251" w:lineRule="auto"/>
        <w:tabs>
          <w:tab w:leader="none" w:pos="1945" w:val="left"/>
        </w:tabs>
        <w:numPr>
          <w:ilvl w:val="0"/>
          <w:numId w:val="170"/>
        </w:numPr>
        <w:rPr>
          <w:rFonts w:ascii="Arial" w:cs="Arial" w:eastAsia="Arial" w:hAnsi="Arial"/>
          <w:sz w:val="22"/>
          <w:szCs w:val="22"/>
          <w:color w:val="auto"/>
        </w:rPr>
      </w:pPr>
      <w:r>
        <w:rPr>
          <w:rFonts w:ascii="Arial" w:cs="Arial" w:eastAsia="Arial" w:hAnsi="Arial"/>
          <w:sz w:val="22"/>
          <w:szCs w:val="22"/>
          <w:color w:val="auto"/>
        </w:rPr>
        <w:t>EXECUTIVE ACKNOWLEDGES THAT BY ENTERING INTO THIS AGREEMENT, EXECUTIVE IS WAIVING ANY RIGHT HE OR SHE MAY HAVE TO A TRIAL BY JURY.</w:t>
      </w:r>
    </w:p>
    <w:p>
      <w:pPr>
        <w:spacing w:after="0" w:line="16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14.</w:t>
      </w:r>
      <w:r>
        <w:rPr>
          <w:sz w:val="20"/>
          <w:szCs w:val="20"/>
          <w:color w:val="auto"/>
        </w:rPr>
        <w:tab/>
      </w:r>
      <w:r>
        <w:rPr>
          <w:rFonts w:ascii="Arial" w:cs="Arial" w:eastAsia="Arial" w:hAnsi="Arial"/>
          <w:sz w:val="19"/>
          <w:szCs w:val="19"/>
          <w:u w:val="single" w:color="auto"/>
          <w:color w:val="auto"/>
        </w:rPr>
        <w:t>Executive’s Covenants</w:t>
      </w:r>
      <w:r>
        <w:rPr>
          <w:rFonts w:ascii="Arial" w:cs="Arial" w:eastAsia="Arial" w:hAnsi="Arial"/>
          <w:sz w:val="19"/>
          <w:szCs w:val="19"/>
          <w:color w:val="auto"/>
        </w:rPr>
        <w:t>.</w:t>
      </w:r>
    </w:p>
    <w:p>
      <w:pPr>
        <w:spacing w:after="0" w:line="206" w:lineRule="exact"/>
        <w:rPr>
          <w:sz w:val="20"/>
          <w:szCs w:val="20"/>
          <w:color w:val="auto"/>
        </w:rPr>
      </w:pPr>
    </w:p>
    <w:p>
      <w:pPr>
        <w:ind w:firstLine="1305"/>
        <w:spacing w:after="0" w:line="271" w:lineRule="auto"/>
        <w:tabs>
          <w:tab w:leader="none" w:pos="1945"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The Executive acknowledges that in the course of his employment with the Company, he has acquired non-public privileged or confidential information and trade secrets concerning the operations, future plans and methods of doing business (“</w:t>
      </w:r>
      <w:r>
        <w:rPr>
          <w:rFonts w:ascii="Arial" w:cs="Arial" w:eastAsia="Arial" w:hAnsi="Arial"/>
          <w:sz w:val="19"/>
          <w:szCs w:val="19"/>
          <w:u w:val="single" w:color="auto"/>
          <w:color w:val="auto"/>
        </w:rPr>
        <w:t>Proprietary Information</w:t>
      </w:r>
      <w:r>
        <w:rPr>
          <w:rFonts w:ascii="Arial" w:cs="Arial" w:eastAsia="Arial" w:hAnsi="Arial"/>
          <w:sz w:val="19"/>
          <w:szCs w:val="19"/>
          <w:color w:val="auto"/>
        </w:rPr>
        <w:t xml:space="preserve">”) of the Company and its Affiliates; and the Executive agrees that it would be extremely damaging to the Company and its Affiliates if such Proprietary Information were disclosed to a competitor of the Company and its Affiliates or to any other person or corporation. The Executive understands and agrees that all Proprietary Information has been divulged to the Executive in confidence and further understands and agrees to keep all Proprietary Information secret and confidential (except for such information which is or becomes publicly available other than as a result of a breach by the Executive of this provision or information the Executive is required by any governmental, administrative or court order to disclose) without limitation in time. In view of the nature of the Executive’s employment and the Proprietary Information the Executive has acquired during the course of such employment, the Executive likewise agrees that the Company and its Affiliates would be irreparably harmed by any disclosure of Proprietary Information in violation of the terms of this paragraph and that the Company and its Affiliates shall therefore be entitled to preliminary and/or permanent injunctive relief prohibiting the Executive from engaging in any activity or threatened activity in violation of the terms of this paragraph and to any other relief available to them. Inquiries regarding whether specific information constitutes Proprietary Information shall be directed to the Company’s Senior Vice President, Public Policy (or, if such position is vacant, the Company’s then Chief Executive Officer); </w:t>
      </w:r>
      <w:r>
        <w:rPr>
          <w:rFonts w:ascii="Arial" w:cs="Arial" w:eastAsia="Arial" w:hAnsi="Arial"/>
          <w:sz w:val="19"/>
          <w:szCs w:val="19"/>
          <w:i w:val="1"/>
          <w:iCs w:val="1"/>
          <w:color w:val="auto"/>
        </w:rPr>
        <w:t>provided</w:t>
      </w:r>
      <w:r>
        <w:rPr>
          <w:rFonts w:ascii="Arial" w:cs="Arial" w:eastAsia="Arial" w:hAnsi="Arial"/>
          <w:sz w:val="19"/>
          <w:szCs w:val="19"/>
          <w:color w:val="auto"/>
        </w:rPr>
        <w:t>, that the Company shall not unreasonably classify information as Proprietary Information.</w:t>
      </w:r>
    </w:p>
    <w:p>
      <w:pPr>
        <w:spacing w:after="0" w:line="144" w:lineRule="exact"/>
        <w:rPr>
          <w:rFonts w:ascii="Arial" w:cs="Arial" w:eastAsia="Arial" w:hAnsi="Arial"/>
          <w:sz w:val="19"/>
          <w:szCs w:val="19"/>
          <w:color w:val="auto"/>
        </w:rPr>
      </w:pPr>
    </w:p>
    <w:p>
      <w:pPr>
        <w:ind w:right="40" w:firstLine="1305"/>
        <w:spacing w:after="0" w:line="270" w:lineRule="auto"/>
        <w:tabs>
          <w:tab w:leader="none" w:pos="1945"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Non-Solicitation of Employees</w:t>
      </w:r>
      <w:r>
        <w:rPr>
          <w:rFonts w:ascii="Arial" w:cs="Arial" w:eastAsia="Arial" w:hAnsi="Arial"/>
          <w:sz w:val="19"/>
          <w:szCs w:val="19"/>
          <w:color w:val="auto"/>
        </w:rPr>
        <w:t xml:space="preserve">. The Executive recognizes that he possesses and will possess confidential information about other employees of the Company and its Affiliates relating to their education, experience, skills, abilities, compensation and benefits, and inter-personal relationships with customers of the Company and its Affiliates. The Executive recognizes that the information he possesses and will possess about these other employees is not generally known, is of substantial value to the Company and its Affiliates in developing their business and in securing and retaining customers, and has been and will be acquired by him because of his business position with the Company and its Affiliates. The Executive agrees that at all times during the Executive’s employment with the Company and for a period of one (1) year thereafter, he will not, directly or indirectly, solicit or recruit any employee of the Company or its Affiliates for the purpose of being employed by him or by any competitor of the Company or its Affiliates on whose behalf he is acting as an agent, representative or employee and that he will not convey any such confidential information or trade secrets about other employees of the Company and its Affiliates to any other person; </w:t>
      </w:r>
      <w:r>
        <w:rPr>
          <w:rFonts w:ascii="Arial" w:cs="Arial" w:eastAsia="Arial" w:hAnsi="Arial"/>
          <w:sz w:val="19"/>
          <w:szCs w:val="19"/>
          <w:i w:val="1"/>
          <w:iCs w:val="1"/>
          <w:color w:val="auto"/>
        </w:rPr>
        <w:t>provided, however</w:t>
      </w:r>
      <w:r>
        <w:rPr>
          <w:rFonts w:ascii="Arial" w:cs="Arial" w:eastAsia="Arial" w:hAnsi="Arial"/>
          <w:sz w:val="19"/>
          <w:szCs w:val="19"/>
          <w:color w:val="auto"/>
        </w:rPr>
        <w:t>, that it shall not constitute a solicitation or recruitment of employment in violation of this paragraph to discuss</w:t>
      </w:r>
      <w:r>
        <w:rPr>
          <w:rFonts w:ascii="Arial" w:cs="Arial" w:eastAsia="Arial" w:hAnsi="Arial"/>
          <w:sz w:val="19"/>
          <w:szCs w:val="19"/>
          <w:i w:val="1"/>
          <w:iCs w:val="1"/>
          <w:color w:val="auto"/>
        </w:rPr>
        <w:t xml:space="preserve"> </w:t>
      </w:r>
      <w:r>
        <w:rPr>
          <w:rFonts w:ascii="Arial" w:cs="Arial" w:eastAsia="Arial" w:hAnsi="Arial"/>
          <w:sz w:val="19"/>
          <w:szCs w:val="19"/>
          <w:color w:val="auto"/>
        </w:rPr>
        <w:t>employment opportunities with any employee of the Company or its Affiliates who has either first contacted the Executive or regarding whose employment the Executive has discussed with and received the written approval of the Company’s Vice President, Human Resources (or, if such position is vacant, the Company’s then Chief Executive Officer), prior to making such solicitation or recruitment. In view of the nature of the Executive’s employment with the Company, the Executive likewise agrees that the Company and its Affiliates would be irreparably harmed by any solicitation or recruitment in violation of the terms of this paragraph and that the Company and its Affiliates shall therefore be entitled to preliminary and/or permanent injunctive relief prohibiting the Executive from engaging in any activity or threatened activity in violation of the terms of this paragraph and to any other relief available to them.</w:t>
      </w:r>
    </w:p>
    <w:p>
      <w:pPr>
        <w:spacing w:after="0" w:line="397" w:lineRule="exact"/>
        <w:rPr>
          <w:rFonts w:ascii="Arial" w:cs="Arial" w:eastAsia="Arial" w:hAnsi="Arial"/>
          <w:sz w:val="19"/>
          <w:szCs w:val="19"/>
          <w:color w:val="auto"/>
        </w:rPr>
      </w:pPr>
    </w:p>
    <w:p>
      <w:pPr>
        <w:ind w:right="60" w:firstLine="1305"/>
        <w:spacing w:after="0" w:line="282" w:lineRule="auto"/>
        <w:tabs>
          <w:tab w:leader="none" w:pos="1945"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Survival of Provisions</w:t>
      </w:r>
      <w:r>
        <w:rPr>
          <w:rFonts w:ascii="Arial" w:cs="Arial" w:eastAsia="Arial" w:hAnsi="Arial"/>
          <w:sz w:val="19"/>
          <w:szCs w:val="19"/>
          <w:color w:val="auto"/>
        </w:rPr>
        <w:t>. The obligations contained in Section 14(a) and Section 14(b) above shall survive the termination of the Executive’s employment within the Company and shall be fully enforceable thereafter. If it is determined by a court of competent jurisdiction in any state that any restriction in Section 14(a) or Section 14(b) above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147" w:lineRule="exact"/>
        <w:rPr>
          <w:rFonts w:ascii="Arial" w:cs="Arial" w:eastAsia="Arial" w:hAnsi="Arial"/>
          <w:sz w:val="19"/>
          <w:szCs w:val="19"/>
          <w:color w:val="auto"/>
        </w:rPr>
      </w:pPr>
    </w:p>
    <w:p>
      <w:pPr>
        <w:ind w:right="40" w:firstLine="1305"/>
        <w:spacing w:after="0" w:line="287" w:lineRule="auto"/>
        <w:tabs>
          <w:tab w:leader="none" w:pos="1945"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Release; Lump Sum Payment</w:t>
      </w:r>
      <w:r>
        <w:rPr>
          <w:rFonts w:ascii="Arial" w:cs="Arial" w:eastAsia="Arial" w:hAnsi="Arial"/>
          <w:sz w:val="19"/>
          <w:szCs w:val="19"/>
          <w:color w:val="auto"/>
        </w:rPr>
        <w:t>. In the event of the Executive’s Involuntary Termination, if the Executive (i) reconfirms and agrees to abide by the covenants described in Section 14(a) and Section 14(b) above, (ii) executes the Release within fifty (50) days after the date of Involuntary Termination and does not revoke such Release in accordance with the terms thereof, and (iii) agrees to provide the consulting services described in Section 14(e) below, then in consideration for such</w:t>
      </w:r>
    </w:p>
    <w:p>
      <w:pPr>
        <w:sectPr>
          <w:pgSz w:w="11900" w:h="16881" w:orient="portrait"/>
          <w:cols w:equalWidth="0" w:num="1">
            <w:col w:w="11420"/>
          </w:cols>
          <w:pgMar w:left="240" w:top="118" w:right="239" w:bottom="0" w:gutter="0" w:footer="0" w:header="0"/>
        </w:sectPr>
      </w:pPr>
    </w:p>
    <w:bookmarkStart w:id="122" w:name="page123"/>
    <w:bookmarkEnd w:id="122"/>
    <w:p>
      <w:pPr>
        <w:spacing w:after="0" w:line="62"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covenants and consulting services, the Company shall pay the Executive, in one cash lump sum, an amount (the “</w:t>
      </w:r>
      <w:r>
        <w:rPr>
          <w:rFonts w:ascii="Arial" w:cs="Arial" w:eastAsia="Arial" w:hAnsi="Arial"/>
          <w:sz w:val="19"/>
          <w:szCs w:val="19"/>
          <w:u w:val="single" w:color="auto"/>
          <w:color w:val="auto"/>
        </w:rPr>
        <w:t>Consulting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Payment</w:t>
      </w:r>
      <w:r>
        <w:rPr>
          <w:rFonts w:ascii="Arial" w:cs="Arial" w:eastAsia="Arial" w:hAnsi="Arial"/>
          <w:sz w:val="19"/>
          <w:szCs w:val="19"/>
          <w:color w:val="auto"/>
        </w:rPr>
        <w:t>”) in cash equal to the greater of: (X) 150% of the Executive’s Annual Base Salary as in effect on the Date of Termination, and (Y) the Executive’s Annual Base Salary as in effect on the Date of Termination, plus the Executive’s Average Annual Bonus. Except as provided in this subsection, the Consulting Payment shall be paid on such date as is determined by the Company within</w:t>
      </w:r>
    </w:p>
    <w:p>
      <w:pPr>
        <w:spacing w:after="0" w:line="3" w:lineRule="exact"/>
        <w:rPr>
          <w:sz w:val="20"/>
          <w:szCs w:val="20"/>
          <w:color w:val="auto"/>
        </w:rPr>
      </w:pPr>
    </w:p>
    <w:p>
      <w:pPr>
        <w:spacing w:after="0" w:line="215" w:lineRule="auto"/>
        <w:rPr>
          <w:sz w:val="20"/>
          <w:szCs w:val="20"/>
          <w:color w:val="auto"/>
        </w:rPr>
      </w:pPr>
      <w:r>
        <w:rPr>
          <w:rFonts w:ascii="Arial" w:cs="Arial" w:eastAsia="Arial" w:hAnsi="Arial"/>
          <w:sz w:val="22"/>
          <w:szCs w:val="22"/>
          <w:color w:val="auto"/>
        </w:rPr>
        <w:t>the ten (10) day period commencing on the 60</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day after the date of the Executive’s Involuntary Termination; </w:t>
      </w:r>
      <w:r>
        <w:rPr>
          <w:rFonts w:ascii="Arial" w:cs="Arial" w:eastAsia="Arial" w:hAnsi="Arial"/>
          <w:sz w:val="22"/>
          <w:szCs w:val="22"/>
          <w:i w:val="1"/>
          <w:iCs w:val="1"/>
          <w:color w:val="auto"/>
        </w:rPr>
        <w:t>provided, however</w:t>
      </w:r>
      <w:r>
        <w:rPr>
          <w:rFonts w:ascii="Arial" w:cs="Arial" w:eastAsia="Arial" w:hAnsi="Arial"/>
          <w:sz w:val="22"/>
          <w:szCs w:val="22"/>
          <w:color w:val="auto"/>
        </w:rPr>
        <w:t>, that if the Executive is a Specified Employee on the date of the Executive’s Involuntary Termination, the Consulting Payment shall be paid as provided in Section 9 hereof. The Executive shall have the right to elect to defer the Consulting Payment under the terms and conditions of the Company’s Deferred Compensation Plan. Any such deferral election shall be made in accordance with Section 18(b) hereof.</w:t>
      </w:r>
    </w:p>
    <w:p>
      <w:pPr>
        <w:spacing w:after="0" w:line="177" w:lineRule="exact"/>
        <w:rPr>
          <w:sz w:val="20"/>
          <w:szCs w:val="20"/>
          <w:color w:val="auto"/>
        </w:rPr>
      </w:pPr>
    </w:p>
    <w:p>
      <w:pPr>
        <w:ind w:firstLine="1305"/>
        <w:spacing w:after="0" w:line="272" w:lineRule="auto"/>
        <w:tabs>
          <w:tab w:leader="none" w:pos="1945" w:val="left"/>
        </w:tabs>
        <w:numPr>
          <w:ilvl w:val="0"/>
          <w:numId w:val="172"/>
        </w:numPr>
        <w:rPr>
          <w:rFonts w:ascii="Arial" w:cs="Arial" w:eastAsia="Arial" w:hAnsi="Arial"/>
          <w:sz w:val="19"/>
          <w:szCs w:val="19"/>
          <w:color w:val="auto"/>
        </w:rPr>
      </w:pPr>
      <w:r>
        <w:rPr>
          <w:rFonts w:ascii="Arial" w:cs="Arial" w:eastAsia="Arial" w:hAnsi="Arial"/>
          <w:sz w:val="19"/>
          <w:szCs w:val="19"/>
          <w:u w:val="single" w:color="auto"/>
          <w:color w:val="auto"/>
        </w:rPr>
        <w:t>Consulting</w:t>
      </w:r>
      <w:r>
        <w:rPr>
          <w:rFonts w:ascii="Arial" w:cs="Arial" w:eastAsia="Arial" w:hAnsi="Arial"/>
          <w:sz w:val="19"/>
          <w:szCs w:val="19"/>
          <w:color w:val="auto"/>
        </w:rPr>
        <w:t>. If the Executive agrees to the provisions of Section 14(d) above, then the Executive shall have the obligation to provide consulting services to the Company as an independent contractor, commencing on the Date of Termination and ending on the second anniversary of the Date of Termination (the “</w:t>
      </w:r>
      <w:r>
        <w:rPr>
          <w:rFonts w:ascii="Arial" w:cs="Arial" w:eastAsia="Arial" w:hAnsi="Arial"/>
          <w:sz w:val="19"/>
          <w:szCs w:val="19"/>
          <w:u w:val="single" w:color="auto"/>
          <w:color w:val="auto"/>
        </w:rPr>
        <w:t>Consulting Period</w:t>
      </w:r>
      <w:r>
        <w:rPr>
          <w:rFonts w:ascii="Arial" w:cs="Arial" w:eastAsia="Arial" w:hAnsi="Arial"/>
          <w:sz w:val="19"/>
          <w:szCs w:val="19"/>
          <w:color w:val="auto"/>
        </w:rPr>
        <w:t xml:space="preserve">”). The Executive shall hold himself available at reasonable times and on reasonable notice to render such consulting services as may be so assigned to him by the Board or the Company’s then Chief Executive Officer;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unless the parties otherwise agree, the consulting services rendered by the Executive during the Consulting Period shall not exceed twenty (20) hours each month;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the consulting services rendered by the Executive during the Consulting Period shall in no event exceed twenty</w:t>
      </w:r>
      <w:r>
        <w:rPr>
          <w:rFonts w:ascii="Arial" w:cs="Arial" w:eastAsia="Arial" w:hAnsi="Arial"/>
          <w:sz w:val="19"/>
          <w:szCs w:val="19"/>
          <w:i w:val="1"/>
          <w:iCs w:val="1"/>
          <w:color w:val="auto"/>
        </w:rPr>
        <w:t xml:space="preserve"> </w:t>
      </w:r>
      <w:r>
        <w:rPr>
          <w:rFonts w:ascii="Arial" w:cs="Arial" w:eastAsia="Arial" w:hAnsi="Arial"/>
          <w:sz w:val="19"/>
          <w:szCs w:val="19"/>
          <w:color w:val="auto"/>
        </w:rPr>
        <w:t>percent (20%) of the average level of services performed by the Executive for the Company over the thirty-six (36) month period immediately preceding the Executive’s Separation from Service (or the full period of services to the Company, if the Executive has been providing services to the Company for less than thirty-six (36) months). The Company agrees to use its best efforts during the Consulting Period to secure the benefit of the Executive’s consulting services so as to minimize the interference with the Executive’s other activities, including requiring the performance of consulting services at the Company’s offices only when such services may not be reasonably performed off-site by the Executive.</w:t>
      </w:r>
    </w:p>
    <w:p>
      <w:pPr>
        <w:spacing w:after="0" w:line="15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15.</w:t>
      </w:r>
      <w:r>
        <w:rPr>
          <w:sz w:val="20"/>
          <w:szCs w:val="20"/>
          <w:color w:val="auto"/>
        </w:rPr>
        <w:tab/>
      </w:r>
      <w:r>
        <w:rPr>
          <w:rFonts w:ascii="Arial" w:cs="Arial" w:eastAsia="Arial" w:hAnsi="Arial"/>
          <w:sz w:val="19"/>
          <w:szCs w:val="19"/>
          <w:u w:val="single" w:color="auto"/>
          <w:color w:val="auto"/>
        </w:rPr>
        <w:t>Legal Fees</w:t>
      </w:r>
      <w:r>
        <w:rPr>
          <w:rFonts w:ascii="Arial" w:cs="Arial" w:eastAsia="Arial" w:hAnsi="Arial"/>
          <w:sz w:val="19"/>
          <w:szCs w:val="19"/>
          <w:color w:val="auto"/>
        </w:rPr>
        <w:t>.</w:t>
      </w:r>
    </w:p>
    <w:p>
      <w:pPr>
        <w:spacing w:after="0" w:line="199" w:lineRule="exact"/>
        <w:rPr>
          <w:sz w:val="20"/>
          <w:szCs w:val="20"/>
          <w:color w:val="auto"/>
        </w:rPr>
      </w:pPr>
    </w:p>
    <w:p>
      <w:pPr>
        <w:ind w:right="100" w:firstLine="1305"/>
        <w:spacing w:after="0" w:line="249" w:lineRule="auto"/>
        <w:tabs>
          <w:tab w:leader="none" w:pos="1945" w:val="left"/>
        </w:tabs>
        <w:numPr>
          <w:ilvl w:val="0"/>
          <w:numId w:val="173"/>
        </w:numPr>
        <w:rPr>
          <w:rFonts w:ascii="Arial" w:cs="Arial" w:eastAsia="Arial" w:hAnsi="Arial"/>
          <w:sz w:val="21"/>
          <w:szCs w:val="21"/>
          <w:color w:val="auto"/>
        </w:rPr>
      </w:pPr>
      <w:r>
        <w:rPr>
          <w:rFonts w:ascii="Arial" w:cs="Arial" w:eastAsia="Arial" w:hAnsi="Arial"/>
          <w:sz w:val="21"/>
          <w:szCs w:val="21"/>
          <w:u w:val="single" w:color="auto"/>
          <w:color w:val="auto"/>
        </w:rPr>
        <w:t>Reimbursement of Legal Fees</w:t>
      </w:r>
      <w:r>
        <w:rPr>
          <w:rFonts w:ascii="Arial" w:cs="Arial" w:eastAsia="Arial" w:hAnsi="Arial"/>
          <w:sz w:val="21"/>
          <w:szCs w:val="21"/>
          <w:color w:val="auto"/>
        </w:rPr>
        <w:t>. Subject to subsection (b), in the event of the Executive’s Separation from Service either (1) prior to a Change in Control, or (2) on or within two (2) years following a Change in Control, the Company shall reimburse the Executive for all legal fees and expenses (including but not limited to fees and expenses in connection with any arbitration) incurred by the Executive in disputing any issue arising under this Agreement relating to the Executive’s Separation from Service or in seeking to obtain or enforce any benefit or right provided by this Agreement.</w:t>
      </w:r>
    </w:p>
    <w:p>
      <w:pPr>
        <w:spacing w:after="0" w:line="165" w:lineRule="exact"/>
        <w:rPr>
          <w:rFonts w:ascii="Arial" w:cs="Arial" w:eastAsia="Arial" w:hAnsi="Arial"/>
          <w:sz w:val="21"/>
          <w:szCs w:val="21"/>
          <w:color w:val="auto"/>
        </w:rPr>
      </w:pPr>
    </w:p>
    <w:p>
      <w:pPr>
        <w:ind w:right="20" w:firstLine="1305"/>
        <w:spacing w:after="0" w:line="272" w:lineRule="auto"/>
        <w:tabs>
          <w:tab w:leader="none" w:pos="1945" w:val="left"/>
        </w:tabs>
        <w:numPr>
          <w:ilvl w:val="0"/>
          <w:numId w:val="173"/>
        </w:numPr>
        <w:rPr>
          <w:rFonts w:ascii="Arial" w:cs="Arial" w:eastAsia="Arial" w:hAnsi="Arial"/>
          <w:sz w:val="19"/>
          <w:szCs w:val="19"/>
          <w:color w:val="auto"/>
        </w:rPr>
      </w:pPr>
      <w:r>
        <w:rPr>
          <w:rFonts w:ascii="Arial" w:cs="Arial" w:eastAsia="Arial" w:hAnsi="Arial"/>
          <w:sz w:val="19"/>
          <w:szCs w:val="19"/>
          <w:u w:val="single" w:color="auto"/>
          <w:color w:val="auto"/>
        </w:rPr>
        <w:t>Requirements for Reimbursement</w:t>
      </w:r>
      <w:r>
        <w:rPr>
          <w:rFonts w:ascii="Arial" w:cs="Arial" w:eastAsia="Arial" w:hAnsi="Arial"/>
          <w:sz w:val="19"/>
          <w:szCs w:val="19"/>
          <w:color w:val="auto"/>
        </w:rPr>
        <w:t>. The Company shall reimburse the Executive’s legal fees and expenses pursuant to subsection (a) above only to the extent the arbitrator or court determines the following: (i) the Executive disputed such issue, or sought to obtain or enforce such benefit or right, in good faith, (ii) the Executive had a reasonable basis for such claim, and (iii) in the case of subsection (a)(1) above, the Executive is the prevailing party. In addition, the Company shall reimburse such legal fees and expenses, only if such legal fees and expenses are incurred during the twenty (20) year period beginning on the date of the Executive’s Separation from Service. The legal fees and expenses paid to the Executive for any taxable year of the Executive shall not affect the legal fees and expenses paid to the Executive for any other taxable year of the Executive. The legal fees and expenses shall be paid to the Executive on or before the last day of the Executive’s taxable year following the taxable year in which the fees or expenses are incurred. The Executive’s right to reimbursement of legal fees and expenses shall not be subject to liquidation or exchange for any other benefit. Such right to reimbursement of legal fees and expenses shall be provided in a manner that complies with Treasury Regulation Section 1.409A-3(i)(1)(iv). If the Executive is a Specified Employee on the date of the Executive’s Separation from Service, such right to reimbursement of legal fees and expenses shall be paid as provided in Section 10 hereof.</w:t>
      </w:r>
    </w:p>
    <w:p>
      <w:pPr>
        <w:spacing w:after="0" w:line="39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16.</w:t>
      </w:r>
      <w:r>
        <w:rPr>
          <w:sz w:val="20"/>
          <w:szCs w:val="20"/>
          <w:color w:val="auto"/>
        </w:rPr>
        <w:tab/>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199" w:lineRule="exact"/>
        <w:rPr>
          <w:sz w:val="20"/>
          <w:szCs w:val="20"/>
          <w:color w:val="auto"/>
        </w:rPr>
      </w:pPr>
    </w:p>
    <w:p>
      <w:pPr>
        <w:ind w:right="180" w:firstLine="1305"/>
        <w:spacing w:after="0" w:line="258" w:lineRule="auto"/>
        <w:tabs>
          <w:tab w:leader="none" w:pos="1945" w:val="left"/>
        </w:tabs>
        <w:numPr>
          <w:ilvl w:val="0"/>
          <w:numId w:val="174"/>
        </w:numPr>
        <w:rPr>
          <w:rFonts w:ascii="Arial" w:cs="Arial" w:eastAsia="Arial" w:hAnsi="Arial"/>
          <w:sz w:val="21"/>
          <w:szCs w:val="21"/>
          <w:color w:val="auto"/>
        </w:rPr>
      </w:pPr>
      <w:r>
        <w:rPr>
          <w:rFonts w:ascii="Arial" w:cs="Arial" w:eastAsia="Arial" w:hAnsi="Arial"/>
          <w:sz w:val="21"/>
          <w:szCs w:val="21"/>
          <w:u w:val="single" w:color="auto"/>
          <w:color w:val="auto"/>
        </w:rPr>
        <w:t>Assignment by the Executive</w:t>
      </w:r>
      <w:r>
        <w:rPr>
          <w:rFonts w:ascii="Arial" w:cs="Arial" w:eastAsia="Arial" w:hAnsi="Arial"/>
          <w:sz w:val="21"/>
          <w:szCs w:val="21"/>
          <w:color w:val="auto"/>
        </w:rPr>
        <w:t>. This Agreement is personal to the Executive and without the prior written consent of Sempra Energy shall not be assignable by the Executive otherwise than by will or the laws of descent and distribution. This Agreement shall inure to the benefit of and be enforceable by the Executive’s legal representatives.</w:t>
      </w:r>
    </w:p>
    <w:p>
      <w:pPr>
        <w:spacing w:after="0" w:line="153" w:lineRule="exact"/>
        <w:rPr>
          <w:rFonts w:ascii="Arial" w:cs="Arial" w:eastAsia="Arial" w:hAnsi="Arial"/>
          <w:sz w:val="21"/>
          <w:szCs w:val="21"/>
          <w:color w:val="auto"/>
        </w:rPr>
      </w:pPr>
    </w:p>
    <w:p>
      <w:pPr>
        <w:ind w:right="20" w:firstLine="1305"/>
        <w:spacing w:after="0" w:line="258" w:lineRule="auto"/>
        <w:tabs>
          <w:tab w:leader="none" w:pos="1945" w:val="left"/>
        </w:tabs>
        <w:numPr>
          <w:ilvl w:val="0"/>
          <w:numId w:val="174"/>
        </w:numPr>
        <w:rPr>
          <w:rFonts w:ascii="Arial" w:cs="Arial" w:eastAsia="Arial" w:hAnsi="Arial"/>
          <w:sz w:val="21"/>
          <w:szCs w:val="21"/>
          <w:color w:val="auto"/>
        </w:rPr>
      </w:pPr>
      <w:r>
        <w:rPr>
          <w:rFonts w:ascii="Arial" w:cs="Arial" w:eastAsia="Arial" w:hAnsi="Arial"/>
          <w:sz w:val="21"/>
          <w:szCs w:val="21"/>
          <w:u w:val="single" w:color="auto"/>
          <w:color w:val="auto"/>
        </w:rPr>
        <w:t>Successors and Assigns of Sempra Energy</w:t>
      </w:r>
      <w:r>
        <w:rPr>
          <w:rFonts w:ascii="Arial" w:cs="Arial" w:eastAsia="Arial" w:hAnsi="Arial"/>
          <w:sz w:val="21"/>
          <w:szCs w:val="21"/>
          <w:color w:val="auto"/>
        </w:rPr>
        <w:t>. This Agreement shall inure to the benefit of and be binding upon Sempra Energy, its successors and assigns. Sempra Energy may not assign this Agreement to any person or entity (except for a successor described in Section 16(c), (d) or (e) below) without the Executive’s written consent.</w:t>
      </w:r>
    </w:p>
    <w:p>
      <w:pPr>
        <w:spacing w:after="0" w:line="166" w:lineRule="exact"/>
        <w:rPr>
          <w:rFonts w:ascii="Arial" w:cs="Arial" w:eastAsia="Arial" w:hAnsi="Arial"/>
          <w:sz w:val="21"/>
          <w:szCs w:val="21"/>
          <w:color w:val="auto"/>
        </w:rPr>
      </w:pPr>
    </w:p>
    <w:p>
      <w:pPr>
        <w:ind w:right="40" w:firstLine="1305"/>
        <w:spacing w:after="0" w:line="279" w:lineRule="auto"/>
        <w:tabs>
          <w:tab w:leader="none" w:pos="1945" w:val="left"/>
        </w:tabs>
        <w:numPr>
          <w:ilvl w:val="0"/>
          <w:numId w:val="174"/>
        </w:numPr>
        <w:rPr>
          <w:rFonts w:ascii="Arial" w:cs="Arial" w:eastAsia="Arial" w:hAnsi="Arial"/>
          <w:sz w:val="19"/>
          <w:szCs w:val="19"/>
          <w:color w:val="auto"/>
        </w:rPr>
      </w:pPr>
      <w:r>
        <w:rPr>
          <w:rFonts w:ascii="Arial" w:cs="Arial" w:eastAsia="Arial" w:hAnsi="Arial"/>
          <w:sz w:val="19"/>
          <w:szCs w:val="19"/>
          <w:u w:val="single" w:color="auto"/>
          <w:color w:val="auto"/>
        </w:rPr>
        <w:t>Assumption</w:t>
      </w:r>
      <w:r>
        <w:rPr>
          <w:rFonts w:ascii="Arial" w:cs="Arial" w:eastAsia="Arial" w:hAnsi="Arial"/>
          <w:sz w:val="19"/>
          <w:szCs w:val="19"/>
          <w:color w:val="auto"/>
        </w:rPr>
        <w:t>. Sempra Energy shall require any successor (whether direct or indirect, by purchase, merger, consolidation or otherwise) to all or substantially all of the business and/or assets of Sempra Energy to assume expressly and agree to perform the obligations and satisfy and discharge the liabilities of this Agreement in the same manner and to the same extent that Sempra Energy would have been required to perform the obligations and satisfy and discharge the liabilities under this Agreement if no such succession had taken place, and Sempra Energy shall have no further obligations and liabilities under this Agreement. Upon such assumption, references to Sempra Energy in this Agreement shall be replaced with references to such successor.</w:t>
      </w:r>
    </w:p>
    <w:p>
      <w:pPr>
        <w:spacing w:after="0" w:line="137" w:lineRule="exact"/>
        <w:rPr>
          <w:rFonts w:ascii="Arial" w:cs="Arial" w:eastAsia="Arial" w:hAnsi="Arial"/>
          <w:sz w:val="19"/>
          <w:szCs w:val="19"/>
          <w:color w:val="auto"/>
        </w:rPr>
      </w:pPr>
    </w:p>
    <w:p>
      <w:pPr>
        <w:ind w:right="200" w:firstLine="1305"/>
        <w:spacing w:after="0" w:line="279" w:lineRule="auto"/>
        <w:tabs>
          <w:tab w:leader="none" w:pos="1945" w:val="left"/>
        </w:tabs>
        <w:numPr>
          <w:ilvl w:val="0"/>
          <w:numId w:val="174"/>
        </w:numPr>
        <w:rPr>
          <w:rFonts w:ascii="Arial" w:cs="Arial" w:eastAsia="Arial" w:hAnsi="Arial"/>
          <w:sz w:val="19"/>
          <w:szCs w:val="19"/>
          <w:color w:val="auto"/>
        </w:rPr>
      </w:pPr>
      <w:r>
        <w:rPr>
          <w:rFonts w:ascii="Arial" w:cs="Arial" w:eastAsia="Arial" w:hAnsi="Arial"/>
          <w:sz w:val="19"/>
          <w:szCs w:val="19"/>
          <w:u w:val="single" w:color="auto"/>
          <w:color w:val="auto"/>
        </w:rPr>
        <w:t>Sale of Subsidiary</w:t>
      </w:r>
      <w:r>
        <w:rPr>
          <w:rFonts w:ascii="Arial" w:cs="Arial" w:eastAsia="Arial" w:hAnsi="Arial"/>
          <w:sz w:val="19"/>
          <w:szCs w:val="19"/>
          <w:color w:val="auto"/>
        </w:rPr>
        <w:t>. In the event that (i) the Executive is employed by a direct or indirect subsidiary of Sempra Energy that is a member of the Sempra Energy Control Group, (ii) Sempra Energy, directly or indirectly through one or more intermediaries, sells or otherwise disposes of such subsidiary, and (iii) such subsidiary ceases to be a member of the Sempra Energy Control Group, then if, on the date such subsidiary ceases to be a member of the Sempra Energy Control Group, the Executive continues in employment with such subsidiary and the Executive does not have a Separation from Service, Sempra Energy shall require such subsidiary or any successor (whether direct or indirect, by purchase merger, consolidation or otherwise)</w:t>
      </w:r>
    </w:p>
    <w:p>
      <w:pPr>
        <w:sectPr>
          <w:pgSz w:w="11900" w:h="16901" w:orient="portrait"/>
          <w:cols w:equalWidth="0" w:num="1">
            <w:col w:w="11420"/>
          </w:cols>
          <w:pgMar w:left="240" w:top="118" w:right="239" w:bottom="0" w:gutter="0" w:footer="0" w:header="0"/>
        </w:sectPr>
      </w:pPr>
    </w:p>
    <w:bookmarkStart w:id="123" w:name="page124"/>
    <w:bookmarkEnd w:id="123"/>
    <w:p>
      <w:pPr>
        <w:ind w:right="20"/>
        <w:spacing w:after="0" w:line="246" w:lineRule="auto"/>
        <w:rPr>
          <w:sz w:val="20"/>
          <w:szCs w:val="20"/>
          <w:color w:val="auto"/>
        </w:rPr>
      </w:pPr>
      <w:r>
        <w:rPr>
          <w:rFonts w:ascii="Arial" w:cs="Arial" w:eastAsia="Arial" w:hAnsi="Arial"/>
          <w:sz w:val="21"/>
          <w:szCs w:val="21"/>
          <w:color w:val="auto"/>
        </w:rPr>
        <w:t>to such subsidiary, or the parent thereof, to assume expressly and agree to perform the obligations and satisfy and discharge the liabilities under this Agreement in the same manner and to the same extent that Sempra Energy would have been required to perform the obligations and satisfy and discharge the liabilities under this Agreement, if such subsidiary had not ceased to be part of the Sempra Energy Control Group, and, upon such assumption, Sempra Energy shall have no further obligations and liabilities under the Agreement. Upon such assumption, (i) references to Sempra Energy in this Agreement shall be replaced with references to such subsidiary, or such successor or parent thereof, assuming this Agreement, and (ii) subsection (b) of the definition of “Cause” and subsection (b) of the definition of “Good Reason” shall apply thereafter, as if a Change in Control had occurred on the date of such cessation.</w:t>
      </w:r>
    </w:p>
    <w:p>
      <w:pPr>
        <w:spacing w:after="0" w:line="168" w:lineRule="exact"/>
        <w:rPr>
          <w:sz w:val="20"/>
          <w:szCs w:val="20"/>
          <w:color w:val="auto"/>
        </w:rPr>
      </w:pPr>
    </w:p>
    <w:p>
      <w:pPr>
        <w:ind w:firstLine="1305"/>
        <w:spacing w:after="0" w:line="272" w:lineRule="auto"/>
        <w:tabs>
          <w:tab w:leader="none" w:pos="1945" w:val="left"/>
        </w:tabs>
        <w:numPr>
          <w:ilvl w:val="0"/>
          <w:numId w:val="175"/>
        </w:numPr>
        <w:rPr>
          <w:rFonts w:ascii="Arial" w:cs="Arial" w:eastAsia="Arial" w:hAnsi="Arial"/>
          <w:sz w:val="19"/>
          <w:szCs w:val="19"/>
          <w:color w:val="auto"/>
        </w:rPr>
      </w:pPr>
      <w:r>
        <w:rPr>
          <w:rFonts w:ascii="Arial" w:cs="Arial" w:eastAsia="Arial" w:hAnsi="Arial"/>
          <w:sz w:val="19"/>
          <w:szCs w:val="19"/>
          <w:u w:val="single" w:color="auto"/>
          <w:color w:val="auto"/>
        </w:rPr>
        <w:t>Sale of Assets of Subsidiary</w:t>
      </w:r>
      <w:r>
        <w:rPr>
          <w:rFonts w:ascii="Arial" w:cs="Arial" w:eastAsia="Arial" w:hAnsi="Arial"/>
          <w:sz w:val="19"/>
          <w:szCs w:val="19"/>
          <w:color w:val="auto"/>
        </w:rPr>
        <w:t>. In the event that (i) the Executive is employed by a direct or indirect subsidiary of Sempra Energy, and (ii) such subsidiary sells or otherwise disposes of substantial assets of such subsidiary to an unrelated service recipient, as determined under Treasury Regulation Section 1.409A-1(f)(2)(ii) (the “</w:t>
      </w:r>
      <w:r>
        <w:rPr>
          <w:rFonts w:ascii="Arial" w:cs="Arial" w:eastAsia="Arial" w:hAnsi="Arial"/>
          <w:sz w:val="19"/>
          <w:szCs w:val="19"/>
          <w:u w:val="single" w:color="auto"/>
          <w:color w:val="auto"/>
        </w:rPr>
        <w:t>Asset Purchaser</w:t>
      </w:r>
      <w:r>
        <w:rPr>
          <w:rFonts w:ascii="Arial" w:cs="Arial" w:eastAsia="Arial" w:hAnsi="Arial"/>
          <w:sz w:val="19"/>
          <w:szCs w:val="19"/>
          <w:color w:val="auto"/>
        </w:rPr>
        <w:t>”), in a transaction described in Treasury Regulation Section 1.409A-1(h)(4) (an “</w:t>
      </w:r>
      <w:r>
        <w:rPr>
          <w:rFonts w:ascii="Arial" w:cs="Arial" w:eastAsia="Arial" w:hAnsi="Arial"/>
          <w:sz w:val="19"/>
          <w:szCs w:val="19"/>
          <w:u w:val="single" w:color="auto"/>
          <w:color w:val="auto"/>
        </w:rPr>
        <w:t>Asset Sale</w:t>
      </w:r>
      <w:r>
        <w:rPr>
          <w:rFonts w:ascii="Arial" w:cs="Arial" w:eastAsia="Arial" w:hAnsi="Arial"/>
          <w:sz w:val="19"/>
          <w:szCs w:val="19"/>
          <w:color w:val="auto"/>
        </w:rPr>
        <w:t>”), then if, on the date of such Asset Sale, the Executive becomes employed by the Asset Purchaser, Sempra Energy and the Asset Purchaser shall specify, in accordance with Treasury Regulation Section 1.409A-1(h)(4), that the Executive shall not be treated as having a Separation from Service, and Sempra Energy shall require such Asset Purchaser, or the parent thereof, to assume expressly and agree to perform the obligations and satisfy and discharge the liabilities under this Agreement in the same manner and to the same extent that Sempra Energy would have been required to perform the obligations and satisfy and discharge the liabilities under this Agreement, if the Asset Sale had not taken place, and, upon such assumption, Sempra Energy shall have no further obligations and liabilities under the Agreement. Upon such assumption, (i) references to Sempra Energy in this Agreement shall be replaced with references to the Asset Purchaser or the parent thereof, as applicable, and (ii) subsection (b) of the definition of “Cause” and subsection (b) of the definition of “Good Reason” shall apply thereafter, as if a Change in Control had occurred on the date of the Asset Sale.</w:t>
      </w:r>
    </w:p>
    <w:p>
      <w:pPr>
        <w:spacing w:after="0" w:line="151" w:lineRule="exact"/>
        <w:rPr>
          <w:sz w:val="20"/>
          <w:szCs w:val="20"/>
          <w:color w:val="auto"/>
        </w:rPr>
      </w:pPr>
    </w:p>
    <w:p>
      <w:pPr>
        <w:ind w:right="40" w:firstLine="1297"/>
        <w:spacing w:after="0" w:line="275" w:lineRule="auto"/>
        <w:rPr>
          <w:sz w:val="20"/>
          <w:szCs w:val="20"/>
          <w:color w:val="auto"/>
        </w:rPr>
      </w:pPr>
      <w:r>
        <w:rPr>
          <w:rFonts w:ascii="Arial" w:cs="Arial" w:eastAsia="Arial" w:hAnsi="Arial"/>
          <w:sz w:val="19"/>
          <w:szCs w:val="19"/>
          <w:b w:val="1"/>
          <w:bCs w:val="1"/>
          <w:color w:val="auto"/>
        </w:rPr>
        <w:t xml:space="preserve">Section 17. </w:t>
      </w:r>
      <w:r>
        <w:rPr>
          <w:rFonts w:ascii="Arial" w:cs="Arial" w:eastAsia="Arial" w:hAnsi="Arial"/>
          <w:sz w:val="19"/>
          <w:szCs w:val="19"/>
          <w:u w:val="single" w:color="auto"/>
          <w:color w:val="auto"/>
        </w:rPr>
        <w:t>Administration Prior to Change in Control</w:t>
      </w:r>
      <w:r>
        <w:rPr>
          <w:rFonts w:ascii="Arial" w:cs="Arial" w:eastAsia="Arial" w:hAnsi="Arial"/>
          <w:sz w:val="19"/>
          <w:szCs w:val="19"/>
          <w:color w:val="auto"/>
        </w:rPr>
        <w:t>. Prior to a Change in Control, the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shall have full and complete authority to construe and interpret the provisions of this Agreement, to determine an individual’s entitlement to benefits under this Agreement, to make in its sole and absolute discretion all determinations contemplated under this Agreement, to investigate and make factual determinations necessary or advisable to administer or implement this Agreement, and to adopt such rules and procedures as it deems necessary or advisable for the administration or implementation of this Agreement. All determinations made under this Agreement by the Compensation Committee shall be final and binding on all interested persons. Prior to a Change in Control, the Compensation Committee may delegate responsibilities for the operation and administration of this Agreement to one or more officers or employees of the Company. The provisions of this Section 17 shall terminate and be of no further force and effect upon the occurrence of a Change in Control.</w:t>
      </w:r>
    </w:p>
    <w:p>
      <w:pPr>
        <w:spacing w:after="0" w:line="14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18.</w:t>
      </w:r>
      <w:r>
        <w:rPr>
          <w:sz w:val="20"/>
          <w:szCs w:val="20"/>
          <w:color w:val="auto"/>
        </w:rPr>
        <w:tab/>
      </w:r>
      <w:r>
        <w:rPr>
          <w:rFonts w:ascii="Arial" w:cs="Arial" w:eastAsia="Arial" w:hAnsi="Arial"/>
          <w:sz w:val="19"/>
          <w:szCs w:val="19"/>
          <w:u w:val="single" w:color="auto"/>
          <w:color w:val="auto"/>
        </w:rPr>
        <w:t>Section 409A of the Code.</w:t>
      </w:r>
    </w:p>
    <w:p>
      <w:pPr>
        <w:spacing w:after="0" w:line="193" w:lineRule="exact"/>
        <w:rPr>
          <w:sz w:val="20"/>
          <w:szCs w:val="20"/>
          <w:color w:val="auto"/>
        </w:rPr>
      </w:pPr>
    </w:p>
    <w:p>
      <w:pPr>
        <w:ind w:right="20" w:firstLine="1305"/>
        <w:spacing w:after="0" w:line="269" w:lineRule="auto"/>
        <w:tabs>
          <w:tab w:leader="none" w:pos="1945" w:val="left"/>
        </w:tabs>
        <w:numPr>
          <w:ilvl w:val="0"/>
          <w:numId w:val="176"/>
        </w:numPr>
        <w:rPr>
          <w:rFonts w:ascii="Arial" w:cs="Arial" w:eastAsia="Arial" w:hAnsi="Arial"/>
          <w:sz w:val="19"/>
          <w:szCs w:val="19"/>
          <w:color w:val="auto"/>
        </w:rPr>
      </w:pPr>
      <w:r>
        <w:rPr>
          <w:rFonts w:ascii="Arial" w:cs="Arial" w:eastAsia="Arial" w:hAnsi="Arial"/>
          <w:sz w:val="19"/>
          <w:szCs w:val="19"/>
          <w:u w:val="single" w:color="auto"/>
          <w:color w:val="auto"/>
        </w:rPr>
        <w:t>Compliance with and Exemption from Section 409A of the Code</w:t>
      </w:r>
      <w:r>
        <w:rPr>
          <w:rFonts w:ascii="Arial" w:cs="Arial" w:eastAsia="Arial" w:hAnsi="Arial"/>
          <w:sz w:val="19"/>
          <w:szCs w:val="19"/>
          <w:color w:val="auto"/>
        </w:rPr>
        <w:t>. Certain payments and benefits payable under this Agreement (including, without limitation, the Section 409A Payments) are intended to comply with the requirements of Section 409A of the Code. Certain payments and benefits payable under this Agreement are intended to be exempt from the requirements of Section 409A of the Code. This Agreement shall be interpreted in accordance with the applicable requirements of, and exemptions from, Section 409A of the Code and the Treasury Regulations thereunder. To the extent the payments and benefits under this Agreement are subject to Section 409A of the Code, this Agreement shall be interpreted, construed and administered in a manner that satisfies the requirements of Sections 409A(a)(2), (3) and (4) of the Code and the Treasury Regulations thereunder (subject to the transitional relief under Internal Revenue Service Notice 2005-1, the Proposed Regulations under Section 409A of the Code, Internal Revenue Service Notice 2006-79, Internal Revenue Service Notice 2007-78, Internal Revenue Service Notice 2007-86 and other applicable authority issued by the Internal Revenue Service). As provided in Internal Revenue Notice 2007-86, notwithstanding any other provision of this Agreement, with respect to an election or amendment to change a time or form of payment under this Agreement made on or after January 1, 2008 and on or before December 31, 2008, the election or amendment shall apply only with respect to payments that would not otherwise be payable in 2008, and shall not cause payments to be made in 2008 that would not otherwise be payable in 2008. If the Company and the Executive determine that any compensation, benefits or other payments that are payable under this Agreement and intended to comply with Sections 409A(a)(2), (3) and (4) of the Code do not comply with Section 409A of the Code, the Treasury Regulations thereunder and other applicable authority issued by the Internal Revenue Service, to the extent permitted under Section 409A of the Code, the Treasury Regulations thereunder and any applicable authority issued by the Internal Revenue Service, the Company and the Executive agree to amend this Agreement, or take such other actions as the Company and the Executive deem reasonably necessary or appropriate, to cause such compensation, benefits and other payments to comply with the requirements of Section 409A of the Code, the Treasury Regulations thereunder and other applicable authority issued by the Internal Revenue Service, while providing compensation, benefits and other payments that are, in the aggregate, no less favorable than the compensation, benefits and other payments provided under this Agreement. In the case of any compensation, benefits or other payments that are payable under this Agreement and intended to comply with Sections 409A(a)(2), (3) and (4) of the Code, if any provision of the Agreement would cause such compensation, benefits or other payments to fail to so comply, such provision shall not be effective and shall be null and void with respect to such compensation, benefits or other payments to the extent such provision would cause a failure to comply, and such provision shall otherwise remain in full force and effect.</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jc w:val="both"/>
        <w:ind w:right="280" w:firstLine="1305"/>
        <w:spacing w:after="0" w:line="276" w:lineRule="auto"/>
        <w:tabs>
          <w:tab w:leader="none" w:pos="1945" w:val="left"/>
        </w:tabs>
        <w:numPr>
          <w:ilvl w:val="0"/>
          <w:numId w:val="176"/>
        </w:numPr>
        <w:rPr>
          <w:rFonts w:ascii="Arial" w:cs="Arial" w:eastAsia="Arial" w:hAnsi="Arial"/>
          <w:sz w:val="19"/>
          <w:szCs w:val="19"/>
          <w:color w:val="auto"/>
        </w:rPr>
      </w:pPr>
      <w:r>
        <w:rPr>
          <w:rFonts w:ascii="Arial" w:cs="Arial" w:eastAsia="Arial" w:hAnsi="Arial"/>
          <w:sz w:val="19"/>
          <w:szCs w:val="19"/>
          <w:u w:val="single" w:color="auto"/>
          <w:color w:val="auto"/>
        </w:rPr>
        <w:t>Deferral Elections</w:t>
      </w:r>
      <w:r>
        <w:rPr>
          <w:rFonts w:ascii="Arial" w:cs="Arial" w:eastAsia="Arial" w:hAnsi="Arial"/>
          <w:sz w:val="19"/>
          <w:szCs w:val="19"/>
          <w:color w:val="auto"/>
        </w:rPr>
        <w:t>. As provided in Sections 4(f), 5(i) and 14(d), the Executive may elect to defer the Pre-Change in Control Severance Payment, the Post-Change in Control Severance Payment and the Consulting Payment as follows.</w:t>
      </w:r>
    </w:p>
    <w:p>
      <w:pPr>
        <w:spacing w:after="0" w:line="1" w:lineRule="exact"/>
        <w:rPr>
          <w:rFonts w:ascii="Arial" w:cs="Arial" w:eastAsia="Arial" w:hAnsi="Arial"/>
          <w:sz w:val="19"/>
          <w:szCs w:val="19"/>
          <w:color w:val="auto"/>
        </w:rPr>
      </w:pPr>
    </w:p>
    <w:p>
      <w:pPr>
        <w:jc w:val="both"/>
        <w:ind w:right="220" w:firstLine="158"/>
        <w:spacing w:after="0" w:line="287" w:lineRule="auto"/>
        <w:rPr>
          <w:rFonts w:ascii="Arial" w:cs="Arial" w:eastAsia="Arial" w:hAnsi="Arial"/>
          <w:sz w:val="19"/>
          <w:szCs w:val="19"/>
          <w:color w:val="auto"/>
        </w:rPr>
      </w:pPr>
      <w:r>
        <w:rPr>
          <w:rFonts w:ascii="Arial" w:cs="Arial" w:eastAsia="Arial" w:hAnsi="Arial"/>
          <w:sz w:val="19"/>
          <w:szCs w:val="19"/>
          <w:color w:val="auto"/>
        </w:rPr>
        <w:t>The Executive’s deferral election shall satisfy the requirements of Treasury Regulation Section 1.409A-2(b) and the terms and conditions of the Deferred Compensation Plan. Such deferral election shall designate the whole percentage (up to a maximum of 100%) of the Pre-Change in Control Severance Payment, the Post-Change in Control Severance Payment and the Consulting</w:t>
      </w:r>
    </w:p>
    <w:p>
      <w:pPr>
        <w:sectPr>
          <w:pgSz w:w="11900" w:h="16838" w:orient="portrait"/>
          <w:cols w:equalWidth="0" w:num="1">
            <w:col w:w="11400"/>
          </w:cols>
          <w:pgMar w:left="240" w:top="118" w:right="259" w:bottom="0" w:gutter="0" w:footer="0" w:header="0"/>
        </w:sectPr>
      </w:pPr>
    </w:p>
    <w:bookmarkStart w:id="124" w:name="page125"/>
    <w:bookmarkEnd w:id="124"/>
    <w:p>
      <w:pPr>
        <w:ind w:right="100"/>
        <w:spacing w:after="0" w:line="238" w:lineRule="auto"/>
        <w:rPr>
          <w:sz w:val="20"/>
          <w:szCs w:val="20"/>
          <w:color w:val="auto"/>
        </w:rPr>
      </w:pPr>
      <w:r>
        <w:rPr>
          <w:rFonts w:ascii="Arial" w:cs="Arial" w:eastAsia="Arial" w:hAnsi="Arial"/>
          <w:sz w:val="22"/>
          <w:szCs w:val="22"/>
          <w:color w:val="auto"/>
        </w:rPr>
        <w:t>Payment to be deferred, shall be irrevocable when made, and shall not take effect until at least twelve (12) months after the date on which the election is made. Such deferral election shall provide that the amount deferred shall be deferred for a period of not less than five (5) years from the date the payment of the amount deferred would otherwise have been made, in accordance with Treasury Regulation Section 1.409A-2(b)(1)(ii).</w:t>
      </w:r>
    </w:p>
    <w:p>
      <w:pPr>
        <w:spacing w:after="0" w:line="17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19.</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06" w:lineRule="exact"/>
        <w:rPr>
          <w:sz w:val="20"/>
          <w:szCs w:val="20"/>
          <w:color w:val="auto"/>
        </w:rPr>
      </w:pPr>
    </w:p>
    <w:p>
      <w:pPr>
        <w:ind w:right="80" w:firstLine="1305"/>
        <w:spacing w:after="0" w:line="247" w:lineRule="auto"/>
        <w:tabs>
          <w:tab w:leader="none" w:pos="1945" w:val="left"/>
        </w:tabs>
        <w:numPr>
          <w:ilvl w:val="0"/>
          <w:numId w:val="177"/>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and construed in accordance with the laws of the State of California, without reference to its principles of conflict of laws. The captions of this Agreement are not part of the provisions hereof and shall have no force or effect. This Agreement may not be amended, modified, repealed, waived, extended or discharged except by an agreement in writing signed by the party against whom enforcement of such amendment, modification, repeal, waiver, extension or discharge is sought. No person, other than pursuant to a resolution of the Board or a committee thereof, shall have authority on behalf of the Company to agree to amend, modify, repeal, waive, extend or discharge any provision of this Agreement or anything in reference thereto.</w:t>
      </w:r>
    </w:p>
    <w:p>
      <w:pPr>
        <w:spacing w:after="0" w:line="164" w:lineRule="exact"/>
        <w:rPr>
          <w:rFonts w:ascii="Arial" w:cs="Arial" w:eastAsia="Arial" w:hAnsi="Arial"/>
          <w:sz w:val="21"/>
          <w:szCs w:val="21"/>
          <w:color w:val="auto"/>
        </w:rPr>
      </w:pPr>
    </w:p>
    <w:p>
      <w:pPr>
        <w:ind w:right="200" w:firstLine="1305"/>
        <w:spacing w:after="0" w:line="287" w:lineRule="auto"/>
        <w:tabs>
          <w:tab w:leader="none" w:pos="1945"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shall be in writing and shall be given by hand delivery to the other party or by registered or certified mail, return receipt requested, postage prepaid, addressed, in either case, to the Company’s headquarters or to such other address as either party shall have furnished to the other in writing in accordance herewith. Notices and communications shall be effective when actually received by the addressee.</w:t>
      </w:r>
    </w:p>
    <w:p>
      <w:pPr>
        <w:spacing w:after="0" w:line="129" w:lineRule="exact"/>
        <w:rPr>
          <w:rFonts w:ascii="Arial" w:cs="Arial" w:eastAsia="Arial" w:hAnsi="Arial"/>
          <w:sz w:val="19"/>
          <w:szCs w:val="19"/>
          <w:color w:val="auto"/>
        </w:rPr>
      </w:pPr>
    </w:p>
    <w:p>
      <w:pPr>
        <w:ind w:right="600" w:firstLine="1305"/>
        <w:spacing w:after="0" w:line="251" w:lineRule="auto"/>
        <w:tabs>
          <w:tab w:leader="none" w:pos="1945"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this Agreement shall not affect the validity or enforceability of any other provision of this Agreement.</w:t>
      </w:r>
    </w:p>
    <w:p>
      <w:pPr>
        <w:spacing w:after="0" w:line="173" w:lineRule="exact"/>
        <w:rPr>
          <w:rFonts w:ascii="Arial" w:cs="Arial" w:eastAsia="Arial" w:hAnsi="Arial"/>
          <w:sz w:val="22"/>
          <w:szCs w:val="22"/>
          <w:color w:val="auto"/>
        </w:rPr>
      </w:pPr>
    </w:p>
    <w:p>
      <w:pPr>
        <w:ind w:right="200" w:firstLine="1305"/>
        <w:spacing w:after="0" w:line="251" w:lineRule="auto"/>
        <w:tabs>
          <w:tab w:leader="none" w:pos="1945"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 The Company may withhold from any amounts payable under this Agreement such federal, state or local taxes as shall be required to be withheld pursuant to any applicable law or regulation.</w:t>
      </w:r>
    </w:p>
    <w:p>
      <w:pPr>
        <w:spacing w:after="0" w:line="159" w:lineRule="exact"/>
        <w:rPr>
          <w:rFonts w:ascii="Arial" w:cs="Arial" w:eastAsia="Arial" w:hAnsi="Arial"/>
          <w:sz w:val="22"/>
          <w:szCs w:val="22"/>
          <w:color w:val="auto"/>
        </w:rPr>
      </w:pPr>
    </w:p>
    <w:p>
      <w:pPr>
        <w:ind w:right="140" w:firstLine="1305"/>
        <w:spacing w:after="0" w:line="273" w:lineRule="auto"/>
        <w:tabs>
          <w:tab w:leader="none" w:pos="1945"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The Executive’s or the Company’s failure to insist upon strict compliance with any provision hereof or any other provision of this Agreement or the failure to assert any right the Executive or the Company may have hereunder, including, without limitation, the right of the Executive to terminate employment for Good Reason pursuant to Section</w:t>
      </w:r>
    </w:p>
    <w:p>
      <w:pPr>
        <w:spacing w:after="0" w:line="1" w:lineRule="exact"/>
        <w:rPr>
          <w:rFonts w:ascii="Arial" w:cs="Arial" w:eastAsia="Arial" w:hAnsi="Arial"/>
          <w:sz w:val="19"/>
          <w:szCs w:val="19"/>
          <w:color w:val="auto"/>
        </w:rPr>
      </w:pPr>
    </w:p>
    <w:p>
      <w:pPr>
        <w:ind w:right="100"/>
        <w:spacing w:after="0" w:line="256" w:lineRule="auto"/>
        <w:rPr>
          <w:rFonts w:ascii="Arial" w:cs="Arial" w:eastAsia="Arial" w:hAnsi="Arial"/>
          <w:sz w:val="19"/>
          <w:szCs w:val="19"/>
          <w:color w:val="auto"/>
        </w:rPr>
      </w:pPr>
      <w:r>
        <w:rPr>
          <w:rFonts w:ascii="Arial" w:cs="Arial" w:eastAsia="Arial" w:hAnsi="Arial"/>
          <w:sz w:val="21"/>
          <w:szCs w:val="21"/>
          <w:color w:val="auto"/>
        </w:rPr>
        <w:t>1 hereof, or the right of the Company to terminate the Executive’s employment for Cause pursuant to Section 1 hereof shall not be deemed to be a waiver of such provision or right or any other provision or right of this Agreement.</w:t>
      </w:r>
    </w:p>
    <w:p>
      <w:pPr>
        <w:spacing w:after="0" w:line="155" w:lineRule="exact"/>
        <w:rPr>
          <w:rFonts w:ascii="Arial" w:cs="Arial" w:eastAsia="Arial" w:hAnsi="Arial"/>
          <w:sz w:val="19"/>
          <w:szCs w:val="19"/>
          <w:color w:val="auto"/>
        </w:rPr>
      </w:pPr>
    </w:p>
    <w:p>
      <w:pPr>
        <w:ind w:firstLine="1305"/>
        <w:spacing w:after="0" w:line="277" w:lineRule="auto"/>
        <w:tabs>
          <w:tab w:leader="none" w:pos="1945"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Entire Agreement; Exclusive Benefit; Supersession of Prior Agreement</w:t>
      </w:r>
      <w:r>
        <w:rPr>
          <w:rFonts w:ascii="Arial" w:cs="Arial" w:eastAsia="Arial" w:hAnsi="Arial"/>
          <w:sz w:val="19"/>
          <w:szCs w:val="19"/>
          <w:color w:val="auto"/>
        </w:rPr>
        <w:t>. This instrument contains the entire agreement of the Executive, the Company or any predecessor or subsidiary thereof with respect to any severance or termination pay. The Pre-Change in Control Severance Payment, the Post-Change in Control Severance Payment and all other benefits provided hereunder shall be in lieu of any other severance payments to which the Executive is entitled under any other severance plan or program or arrangement sponsored by the Company, as well as pursuant to any individual employment or severance agreement that was entered into by the Executive and the Company, and, upon the Effective Date of this Agreement, all such plans, programs, arrangements and agreements are hereby automatically superseded and terminated.</w:t>
      </w:r>
    </w:p>
    <w:p>
      <w:pPr>
        <w:spacing w:after="0" w:line="152" w:lineRule="exact"/>
        <w:rPr>
          <w:rFonts w:ascii="Arial" w:cs="Arial" w:eastAsia="Arial" w:hAnsi="Arial"/>
          <w:sz w:val="19"/>
          <w:szCs w:val="19"/>
          <w:color w:val="auto"/>
        </w:rPr>
      </w:pPr>
    </w:p>
    <w:p>
      <w:pPr>
        <w:ind w:right="220" w:firstLine="1305"/>
        <w:spacing w:after="0"/>
        <w:tabs>
          <w:tab w:leader="none" w:pos="1945"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No Right of Employment</w:t>
      </w:r>
      <w:r>
        <w:rPr>
          <w:rFonts w:ascii="Arial" w:cs="Arial" w:eastAsia="Arial" w:hAnsi="Arial"/>
          <w:sz w:val="22"/>
          <w:szCs w:val="22"/>
          <w:color w:val="auto"/>
        </w:rPr>
        <w:t>. Nothing in this Agreement shall be construed as giving the Executive any right to be retained in the employ of the Company or shall interfere in any way with the right of the Company to terminate the Executive’s employment at any time, with or without Cause.</w:t>
      </w:r>
    </w:p>
    <w:p>
      <w:pPr>
        <w:spacing w:after="0" w:line="172" w:lineRule="exact"/>
        <w:rPr>
          <w:rFonts w:ascii="Arial" w:cs="Arial" w:eastAsia="Arial" w:hAnsi="Arial"/>
          <w:sz w:val="22"/>
          <w:szCs w:val="22"/>
          <w:color w:val="auto"/>
        </w:rPr>
      </w:pPr>
    </w:p>
    <w:p>
      <w:pPr>
        <w:jc w:val="both"/>
        <w:ind w:right="20" w:firstLine="1305"/>
        <w:spacing w:after="0"/>
        <w:tabs>
          <w:tab w:leader="none" w:pos="1945"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Unfunded Obligation</w:t>
      </w:r>
      <w:r>
        <w:rPr>
          <w:rFonts w:ascii="Arial" w:cs="Arial" w:eastAsia="Arial" w:hAnsi="Arial"/>
          <w:sz w:val="22"/>
          <w:szCs w:val="22"/>
          <w:color w:val="auto"/>
        </w:rPr>
        <w:t>. The obligations under this Agreement shall be unfunded. Benefits payable under this Agreement shall be paid from the general assets of the Company. The Company shall have no obligation to establish any fund or to set aside any assets to provide benefits under this Agreement.</w:t>
      </w:r>
    </w:p>
    <w:p>
      <w:pPr>
        <w:spacing w:after="0" w:line="172" w:lineRule="exact"/>
        <w:rPr>
          <w:rFonts w:ascii="Arial" w:cs="Arial" w:eastAsia="Arial" w:hAnsi="Arial"/>
          <w:sz w:val="22"/>
          <w:szCs w:val="22"/>
          <w:color w:val="auto"/>
        </w:rPr>
      </w:pPr>
    </w:p>
    <w:p>
      <w:pPr>
        <w:ind w:right="100" w:firstLine="1305"/>
        <w:spacing w:after="0" w:line="245" w:lineRule="auto"/>
        <w:tabs>
          <w:tab w:leader="none" w:pos="1945" w:val="left"/>
        </w:tabs>
        <w:numPr>
          <w:ilvl w:val="0"/>
          <w:numId w:val="177"/>
        </w:numPr>
        <w:rPr>
          <w:rFonts w:ascii="Arial" w:cs="Arial" w:eastAsia="Arial" w:hAnsi="Arial"/>
          <w:sz w:val="21"/>
          <w:szCs w:val="21"/>
          <w:color w:val="auto"/>
        </w:rPr>
      </w:pPr>
      <w:r>
        <w:rPr>
          <w:rFonts w:ascii="Arial" w:cs="Arial" w:eastAsia="Arial" w:hAnsi="Arial"/>
          <w:sz w:val="21"/>
          <w:szCs w:val="21"/>
          <w:u w:val="single" w:color="auto"/>
          <w:color w:val="auto"/>
        </w:rPr>
        <w:t>Termination upon Sale of Assets of Subsidiary</w:t>
      </w:r>
      <w:r>
        <w:rPr>
          <w:rFonts w:ascii="Arial" w:cs="Arial" w:eastAsia="Arial" w:hAnsi="Arial"/>
          <w:sz w:val="21"/>
          <w:szCs w:val="21"/>
          <w:color w:val="auto"/>
        </w:rPr>
        <w:t>. Notwithstanding anything contained herein, this Agreement shall automatically terminate and be of no further force and effect and no benefits shall be payable hereunder in the event that (i) the Executive is employed by a direct or indirect subsidiary of Sempra Energy, and (ii) an Asset Sale (as defined in Section 16(e)) occurs (other than such a sale or disposition which is part of a transaction or series of transactions which would result in a Change in Control), and (iii) as a result of such Asset Sale, the Executive is offered employment by the Asset Purchaser in an executive position with reasonably comparable status, compensation, benefits and severance agreement (including the assumption of this Agreement in accordance with Section 16(e)) and which is consistent with the Executive’s experience and education, but the Executive declines to accept such offer and the Executive fails to become employed by the Asset Purchaser on the date of the Asset Sale.</w:t>
      </w:r>
    </w:p>
    <w:p>
      <w:pPr>
        <w:spacing w:after="0" w:line="185" w:lineRule="exact"/>
        <w:rPr>
          <w:rFonts w:ascii="Arial" w:cs="Arial" w:eastAsia="Arial" w:hAnsi="Arial"/>
          <w:sz w:val="21"/>
          <w:szCs w:val="21"/>
          <w:color w:val="auto"/>
        </w:rPr>
      </w:pPr>
    </w:p>
    <w:p>
      <w:pPr>
        <w:ind w:right="60" w:firstLine="1305"/>
        <w:spacing w:after="0" w:line="275" w:lineRule="auto"/>
        <w:tabs>
          <w:tab w:leader="none" w:pos="1945"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xml:space="preserve">. The term of this Agreement shall commence on the Effective Date and shall continue until the third (3rd) anniversary of the Effective Date; </w:t>
      </w:r>
      <w:r>
        <w:rPr>
          <w:rFonts w:ascii="Arial" w:cs="Arial" w:eastAsia="Arial" w:hAnsi="Arial"/>
          <w:sz w:val="19"/>
          <w:szCs w:val="19"/>
          <w:i w:val="1"/>
          <w:iCs w:val="1"/>
          <w:color w:val="auto"/>
        </w:rPr>
        <w:t>provided, however</w:t>
      </w:r>
      <w:r>
        <w:rPr>
          <w:rFonts w:ascii="Arial" w:cs="Arial" w:eastAsia="Arial" w:hAnsi="Arial"/>
          <w:sz w:val="19"/>
          <w:szCs w:val="19"/>
          <w:color w:val="auto"/>
        </w:rPr>
        <w:t>, that commencing on the second (2nd) anniversary of the Effective Date (and each anniversary of the Effective Date thereafter), the term of this Agreement shall automatically be extended for one (1) additional year, unless at least ninety (90) days prior to such date, the Company or the Executive shall give written notice to the other party that it or he, as the case may be, does not wish to so extend this Agreement. Notwithstanding the foregoing, if the Company gives such written notice to the Executive less than two (2) years after a Change in Control, the term of this Agreement shall be automatically extended until the later of (A) the date that is one (1) year after the anniversary of the Effective Date that follows such written notice or (B) the second (2nd) anniversary of the Change in Control Date.</w:t>
      </w:r>
    </w:p>
    <w:p>
      <w:pPr>
        <w:spacing w:after="0" w:line="144" w:lineRule="exact"/>
        <w:rPr>
          <w:rFonts w:ascii="Arial" w:cs="Arial" w:eastAsia="Arial" w:hAnsi="Arial"/>
          <w:sz w:val="19"/>
          <w:szCs w:val="19"/>
          <w:color w:val="auto"/>
        </w:rPr>
      </w:pPr>
    </w:p>
    <w:p>
      <w:pPr>
        <w:ind w:right="40" w:firstLine="1305"/>
        <w:spacing w:after="0" w:line="251" w:lineRule="auto"/>
        <w:tabs>
          <w:tab w:leader="none" w:pos="1945"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ectPr>
          <w:pgSz w:w="11900" w:h="16838" w:orient="portrait"/>
          <w:cols w:equalWidth="0" w:num="1">
            <w:col w:w="11420"/>
          </w:cols>
          <w:pgMar w:left="240" w:top="118" w:right="239" w:bottom="0" w:gutter="0" w:footer="0" w:header="0"/>
        </w:sectPr>
      </w:pPr>
    </w:p>
    <w:bookmarkStart w:id="125" w:name="page126"/>
    <w:bookmarkEnd w:id="125"/>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remainder of page intentionally left blank</w:t>
      </w:r>
      <w:r>
        <w:rPr>
          <w:rFonts w:ascii="Arial" w:cs="Arial" w:eastAsia="Arial" w:hAnsi="Arial"/>
          <w:sz w:val="19"/>
          <w:szCs w:val="19"/>
          <w:color w:val="auto"/>
        </w:rPr>
        <w:t>]</w:t>
      </w:r>
    </w:p>
    <w:p>
      <w:pPr>
        <w:sectPr>
          <w:pgSz w:w="11900" w:h="16838" w:orient="portrait"/>
          <w:cols w:equalWidth="0" w:num="1">
            <w:col w:w="9019"/>
          </w:cols>
          <w:pgMar w:left="1440" w:top="118" w:right="1440" w:bottom="1440" w:gutter="0" w:footer="0" w:header="0"/>
        </w:sectPr>
      </w:pPr>
    </w:p>
    <w:bookmarkStart w:id="126" w:name="page127"/>
    <w:bookmarkEnd w:id="126"/>
    <w:p>
      <w:pPr>
        <w:ind w:firstLine="648"/>
        <w:spacing w:after="0" w:line="251" w:lineRule="auto"/>
        <w:rPr>
          <w:sz w:val="20"/>
          <w:szCs w:val="20"/>
          <w:color w:val="auto"/>
        </w:rPr>
      </w:pPr>
      <w:r>
        <w:rPr>
          <w:rFonts w:ascii="Arial" w:cs="Arial" w:eastAsia="Arial" w:hAnsi="Arial"/>
          <w:sz w:val="22"/>
          <w:szCs w:val="22"/>
          <w:color w:val="auto"/>
        </w:rPr>
        <w:t>IN WITNESS WHEREOF, the Executive and, pursuant to due authorization from its Board of Directors, the Company have caused this Agreement to be executed as of the day and year first above written.</w:t>
      </w:r>
    </w:p>
    <w:p>
      <w:pPr>
        <w:spacing w:after="0" w:line="1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SEMPRA ENERGY</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 Joyce Rowland</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Senior Vice President, Human Resources, Diversity and Inclusion</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Lee Schavrien</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Senior Vice President, Financial Regulatory and Legislative Affairs</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ectPr>
          <w:pgSz w:w="11900" w:h="16838" w:orient="portrait"/>
          <w:cols w:equalWidth="0" w:num="1">
            <w:col w:w="10980"/>
          </w:cols>
          <w:pgMar w:left="240" w:top="118" w:right="679" w:bottom="1440" w:gutter="0" w:footer="0" w:header="0"/>
        </w:sectPr>
      </w:pPr>
    </w:p>
    <w:bookmarkStart w:id="127" w:name="page128"/>
    <w:bookmarkEnd w:id="127"/>
    <w:p>
      <w:pPr>
        <w:jc w:val="right"/>
        <w:spacing w:after="0"/>
        <w:rPr>
          <w:sz w:val="20"/>
          <w:szCs w:val="20"/>
          <w:color w:val="auto"/>
        </w:rPr>
      </w:pPr>
      <w:r>
        <w:rPr>
          <w:rFonts w:ascii="Arial" w:cs="Arial" w:eastAsia="Arial" w:hAnsi="Arial"/>
          <w:sz w:val="22"/>
          <w:szCs w:val="22"/>
          <w:u w:val="single" w:color="auto"/>
          <w:color w:val="auto"/>
        </w:rPr>
        <w:t>EXHIBIT A</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RELEASE</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GENERAL RELEASE (the “</w:t>
      </w:r>
      <w:r>
        <w:rPr>
          <w:rFonts w:ascii="Arial" w:cs="Arial" w:eastAsia="Arial" w:hAnsi="Arial"/>
          <w:sz w:val="22"/>
          <w:szCs w:val="22"/>
          <w:u w:val="single" w:color="auto"/>
          <w:color w:val="auto"/>
        </w:rPr>
        <w:t>Agreement</w:t>
      </w:r>
      <w:r>
        <w:rPr>
          <w:rFonts w:ascii="Arial" w:cs="Arial" w:eastAsia="Arial" w:hAnsi="Arial"/>
          <w:sz w:val="22"/>
          <w:szCs w:val="22"/>
          <w:color w:val="auto"/>
        </w:rPr>
        <w:t>”), dated ___________, is made by and between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 a California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___________________________ (“</w:t>
      </w:r>
      <w:r>
        <w:rPr>
          <w:rFonts w:ascii="Arial" w:cs="Arial" w:eastAsia="Arial" w:hAnsi="Arial"/>
          <w:sz w:val="19"/>
          <w:szCs w:val="19"/>
          <w:u w:val="single" w:color="auto"/>
          <w:color w:val="auto"/>
        </w:rPr>
        <w:t>you</w:t>
      </w:r>
      <w:r>
        <w:rPr>
          <w:rFonts w:ascii="Arial" w:cs="Arial" w:eastAsia="Arial" w:hAnsi="Arial"/>
          <w:sz w:val="19"/>
          <w:szCs w:val="19"/>
          <w:color w:val="auto"/>
        </w:rPr>
        <w:t>” or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your</w:t>
      </w:r>
      <w:r>
        <w:rPr>
          <w:rFonts w:ascii="Arial" w:cs="Arial" w:eastAsia="Arial" w:hAnsi="Arial"/>
          <w:sz w:val="22"/>
          <w:szCs w:val="22"/>
          <w:color w:val="auto"/>
        </w:rPr>
        <w: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you and the Company have previously entered into that certain Severance Pay Agreement dated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____________, 20___ (the “</w:t>
      </w:r>
      <w:r>
        <w:rPr>
          <w:rFonts w:ascii="Arial" w:cs="Arial" w:eastAsia="Arial" w:hAnsi="Arial"/>
          <w:sz w:val="22"/>
          <w:szCs w:val="22"/>
          <w:u w:val="single" w:color="auto"/>
          <w:color w:val="auto"/>
        </w:rPr>
        <w:t>Severance Pay Agreement</w:t>
      </w:r>
      <w:r>
        <w:rPr>
          <w:rFonts w:ascii="Arial" w:cs="Arial" w:eastAsia="Arial" w:hAnsi="Arial"/>
          <w:sz w:val="22"/>
          <w:szCs w:val="22"/>
          <w:color w:val="auto"/>
        </w:rPr>
        <w:t>”); and</w:t>
      </w:r>
    </w:p>
    <w:p>
      <w:pPr>
        <w:spacing w:after="0" w:line="188" w:lineRule="exact"/>
        <w:rPr>
          <w:sz w:val="20"/>
          <w:szCs w:val="20"/>
          <w:color w:val="auto"/>
        </w:rPr>
      </w:pPr>
    </w:p>
    <w:p>
      <w:pPr>
        <w:ind w:right="60" w:firstLine="1297"/>
        <w:spacing w:after="0" w:line="297" w:lineRule="auto"/>
        <w:rPr>
          <w:sz w:val="20"/>
          <w:szCs w:val="20"/>
          <w:color w:val="auto"/>
        </w:rPr>
      </w:pPr>
      <w:r>
        <w:rPr>
          <w:rFonts w:ascii="Arial" w:cs="Arial" w:eastAsia="Arial" w:hAnsi="Arial"/>
          <w:sz w:val="19"/>
          <w:szCs w:val="19"/>
          <w:color w:val="auto"/>
        </w:rPr>
        <w:t>WHEREAS, your right to receive certain severance pay and benefits pursuant to the terms of Section 4 or Section 5, and Section 14 of the Severance Pay Agreement, as applicable, are subject to and conditioned upon your execution and non-revocation of a general release of claims by you against the Company and its subsidiaries and affiliates.</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NOW, THEREFORE, in consideration of the premises and the mutual covenants herein contained, you and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Company hereby agree as follows:</w:t>
      </w:r>
    </w:p>
    <w:p>
      <w:pPr>
        <w:spacing w:after="0" w:line="188" w:lineRule="exact"/>
        <w:rPr>
          <w:sz w:val="20"/>
          <w:szCs w:val="20"/>
          <w:color w:val="auto"/>
        </w:rPr>
      </w:pPr>
    </w:p>
    <w:p>
      <w:pPr>
        <w:ind w:right="480" w:firstLine="1297"/>
        <w:spacing w:after="0" w:line="251" w:lineRule="auto"/>
        <w:rPr>
          <w:sz w:val="20"/>
          <w:szCs w:val="20"/>
          <w:color w:val="auto"/>
        </w:rPr>
      </w:pPr>
      <w:r>
        <w:rPr>
          <w:rFonts w:ascii="Arial" w:cs="Arial" w:eastAsia="Arial" w:hAnsi="Arial"/>
          <w:sz w:val="22"/>
          <w:szCs w:val="22"/>
          <w:color w:val="auto"/>
        </w:rPr>
        <w:t>ONE: Your signing of this Agreement confirms that your employment with the Company shall terminate at the close of business on ____________, or earlier upon our mutual agreement.</w:t>
      </w:r>
    </w:p>
    <w:p>
      <w:pPr>
        <w:spacing w:after="0" w:line="173" w:lineRule="exact"/>
        <w:rPr>
          <w:sz w:val="20"/>
          <w:szCs w:val="20"/>
          <w:color w:val="auto"/>
        </w:rPr>
      </w:pPr>
    </w:p>
    <w:p>
      <w:pPr>
        <w:jc w:val="both"/>
        <w:ind w:right="100" w:firstLine="1297"/>
        <w:spacing w:after="0" w:line="287" w:lineRule="auto"/>
        <w:rPr>
          <w:sz w:val="20"/>
          <w:szCs w:val="20"/>
          <w:color w:val="auto"/>
        </w:rPr>
      </w:pPr>
      <w:r>
        <w:rPr>
          <w:rFonts w:ascii="Arial" w:cs="Arial" w:eastAsia="Arial" w:hAnsi="Arial"/>
          <w:sz w:val="19"/>
          <w:szCs w:val="19"/>
          <w:color w:val="auto"/>
        </w:rPr>
        <w:t>TWO: As a material inducement for the payment of the severance and benefit under the Severance Pay Agreement, and except as otherwise provided in this Agreement, you and the Company hereby irrevocably and unconditionally release, acquit and forever discharge the other from any and all Claims either may have against the other. For purposes of this Agreement and the preceding sentence, the words “Releasee” or “Releasees” and “Claim” or “Claims” shall have the meanings set forth below:</w:t>
      </w:r>
    </w:p>
    <w:p>
      <w:pPr>
        <w:spacing w:after="0" w:line="130" w:lineRule="exact"/>
        <w:rPr>
          <w:sz w:val="20"/>
          <w:szCs w:val="20"/>
          <w:color w:val="auto"/>
        </w:rPr>
      </w:pPr>
    </w:p>
    <w:p>
      <w:pPr>
        <w:ind w:right="20" w:firstLine="1305"/>
        <w:spacing w:after="0" w:line="236" w:lineRule="auto"/>
        <w:tabs>
          <w:tab w:leader="none" w:pos="1945"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The words “</w:t>
      </w:r>
      <w:r>
        <w:rPr>
          <w:rFonts w:ascii="Arial" w:cs="Arial" w:eastAsia="Arial" w:hAnsi="Arial"/>
          <w:sz w:val="22"/>
          <w:szCs w:val="22"/>
          <w:u w:val="single" w:color="auto"/>
          <w:color w:val="auto"/>
        </w:rPr>
        <w:t>Releasee</w:t>
      </w:r>
      <w:r>
        <w:rPr>
          <w:rFonts w:ascii="Arial" w:cs="Arial" w:eastAsia="Arial" w:hAnsi="Arial"/>
          <w:sz w:val="22"/>
          <w:szCs w:val="22"/>
          <w:color w:val="auto"/>
        </w:rPr>
        <w:t>” or “</w:t>
      </w:r>
      <w:r>
        <w:rPr>
          <w:rFonts w:ascii="Arial" w:cs="Arial" w:eastAsia="Arial" w:hAnsi="Arial"/>
          <w:sz w:val="22"/>
          <w:szCs w:val="22"/>
          <w:u w:val="single" w:color="auto"/>
          <w:color w:val="auto"/>
        </w:rPr>
        <w:t>Releasees</w:t>
      </w:r>
      <w:r>
        <w:rPr>
          <w:rFonts w:ascii="Arial" w:cs="Arial" w:eastAsia="Arial" w:hAnsi="Arial"/>
          <w:sz w:val="22"/>
          <w:szCs w:val="22"/>
          <w:color w:val="auto"/>
        </w:rPr>
        <w:t>” shall refer to you and to the Company and each of the Company’s owners, stockholders, predecessors, successors, assigns, agents, directors, officers, employees, representatives, attorneys, advisors, parent companies, divisions, subsidiaries, affiliates (and agents, directors, officers, employees, representatives, attorneys and advisors of such parent companies, divisions, subsidiaries and affiliates) and all persons acting by, through, under or in concert with any of them.</w:t>
      </w:r>
    </w:p>
    <w:p>
      <w:pPr>
        <w:spacing w:after="0" w:line="187" w:lineRule="exact"/>
        <w:rPr>
          <w:rFonts w:ascii="Arial" w:cs="Arial" w:eastAsia="Arial" w:hAnsi="Arial"/>
          <w:sz w:val="22"/>
          <w:szCs w:val="22"/>
          <w:color w:val="auto"/>
        </w:rPr>
      </w:pPr>
    </w:p>
    <w:p>
      <w:pPr>
        <w:ind w:right="20" w:firstLine="1305"/>
        <w:spacing w:after="0" w:line="271" w:lineRule="auto"/>
        <w:tabs>
          <w:tab w:leader="none" w:pos="1945" w:val="left"/>
        </w:tabs>
        <w:numPr>
          <w:ilvl w:val="0"/>
          <w:numId w:val="178"/>
        </w:numPr>
        <w:rPr>
          <w:rFonts w:ascii="Arial" w:cs="Arial" w:eastAsia="Arial" w:hAnsi="Arial"/>
          <w:sz w:val="19"/>
          <w:szCs w:val="19"/>
          <w:color w:val="auto"/>
        </w:rPr>
      </w:pPr>
      <w:r>
        <w:rPr>
          <w:rFonts w:ascii="Arial" w:cs="Arial" w:eastAsia="Arial" w:hAnsi="Arial"/>
          <w:sz w:val="19"/>
          <w:szCs w:val="19"/>
          <w:color w:val="auto"/>
        </w:rPr>
        <w:t>The words “</w:t>
      </w:r>
      <w:r>
        <w:rPr>
          <w:rFonts w:ascii="Arial" w:cs="Arial" w:eastAsia="Arial" w:hAnsi="Arial"/>
          <w:sz w:val="19"/>
          <w:szCs w:val="19"/>
          <w:u w:val="single" w:color="auto"/>
          <w:color w:val="auto"/>
        </w:rPr>
        <w:t>Claim</w:t>
      </w:r>
      <w:r>
        <w:rPr>
          <w:rFonts w:ascii="Arial" w:cs="Arial" w:eastAsia="Arial" w:hAnsi="Arial"/>
          <w:sz w:val="19"/>
          <w:szCs w:val="19"/>
          <w:color w:val="auto"/>
        </w:rPr>
        <w:t>” or “</w:t>
      </w:r>
      <w:r>
        <w:rPr>
          <w:rFonts w:ascii="Arial" w:cs="Arial" w:eastAsia="Arial" w:hAnsi="Arial"/>
          <w:sz w:val="19"/>
          <w:szCs w:val="19"/>
          <w:u w:val="single" w:color="auto"/>
          <w:color w:val="auto"/>
        </w:rPr>
        <w:t>Claims</w:t>
      </w:r>
      <w:r>
        <w:rPr>
          <w:rFonts w:ascii="Arial" w:cs="Arial" w:eastAsia="Arial" w:hAnsi="Arial"/>
          <w:sz w:val="19"/>
          <w:szCs w:val="19"/>
          <w:color w:val="auto"/>
        </w:rPr>
        <w:t xml:space="preserve">” shall refer to any charges, complaints, claims, liabilities, obligations, promises, agreements, controversies, damages, actions, causes of action, suits, rights, demands, costs, losses, debts and expenses (including attorneys’ fees and costs actually incurred) of any nature whatsoever, known or unknown, suspected or unsuspected, which you or the Company now, in the past or, in the future may have, own or hold against any of the Releasees;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word “Claim” or “Claims” shall not refer to any charges, complaints, claims, liabilities, obligations, promises,</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agreements, controversies, damages, actions, causes of action, suits, rights, demands, costs, losses, debts and expenses (including attorneys’ fees and costs actually incurred) arising under [</w:t>
      </w:r>
      <w:r>
        <w:rPr>
          <w:rFonts w:ascii="Arial" w:cs="Arial" w:eastAsia="Arial" w:hAnsi="Arial"/>
          <w:sz w:val="19"/>
          <w:szCs w:val="19"/>
          <w:i w:val="1"/>
          <w:iCs w:val="1"/>
          <w:color w:val="auto"/>
        </w:rPr>
        <w:t>identify severance, employee benefits, stock option, indemnification and</w:t>
      </w:r>
      <w:r>
        <w:rPr>
          <w:rFonts w:ascii="Arial" w:cs="Arial" w:eastAsia="Arial" w:hAnsi="Arial"/>
          <w:sz w:val="19"/>
          <w:szCs w:val="19"/>
          <w:color w:val="auto"/>
        </w:rPr>
        <w:t xml:space="preserve"> </w:t>
      </w:r>
      <w:r>
        <w:rPr>
          <w:rFonts w:ascii="Arial" w:cs="Arial" w:eastAsia="Arial" w:hAnsi="Arial"/>
          <w:sz w:val="19"/>
          <w:szCs w:val="19"/>
          <w:i w:val="1"/>
          <w:iCs w:val="1"/>
          <w:color w:val="auto"/>
        </w:rPr>
        <w:t>D&amp;O and other agreements containing duties, rights obligations etc. of either party that are to remain operative</w:t>
      </w:r>
      <w:r>
        <w:rPr>
          <w:rFonts w:ascii="Arial" w:cs="Arial" w:eastAsia="Arial" w:hAnsi="Arial"/>
          <w:sz w:val="19"/>
          <w:szCs w:val="19"/>
          <w:color w:val="auto"/>
        </w:rPr>
        <w:t>]. Claims released</w:t>
      </w:r>
      <w:r>
        <w:rPr>
          <w:rFonts w:ascii="Arial" w:cs="Arial" w:eastAsia="Arial" w:hAnsi="Arial"/>
          <w:sz w:val="19"/>
          <w:szCs w:val="19"/>
          <w:i w:val="1"/>
          <w:iCs w:val="1"/>
          <w:color w:val="auto"/>
        </w:rPr>
        <w:t xml:space="preserve"> </w:t>
      </w:r>
      <w:r>
        <w:rPr>
          <w:rFonts w:ascii="Arial" w:cs="Arial" w:eastAsia="Arial" w:hAnsi="Arial"/>
          <w:sz w:val="19"/>
          <w:szCs w:val="19"/>
          <w:color w:val="auto"/>
        </w:rPr>
        <w:t>pursuant to this Agreement by you and the Company include, but are not limited to, rights arising out of alleged violations of any contracts, express or implied, any tort, claim, any claim that you failed to perform or negligently performed or breached your duties during employment at the Company, any legal restrictions on the Company’s right to terminate employment relationships; and any federal, state or other governmental statute, regulation, or ordinance, governing the employment relationship including, without limitation, all state and federal laws and regulations prohibiting discrimination based on protected categories, and all state and federal laws and regulations prohibiting retaliation against employees for engaging in protected activity or legal off-duty conduct. This release does not extend to claims for workers’ compensation or other claims which by law may not be waived or released by this Agreement.</w:t>
      </w:r>
    </w:p>
    <w:p>
      <w:pPr>
        <w:spacing w:after="0" w:line="200" w:lineRule="exact"/>
        <w:rPr>
          <w:sz w:val="20"/>
          <w:szCs w:val="20"/>
          <w:color w:val="auto"/>
        </w:rPr>
      </w:pPr>
    </w:p>
    <w:p>
      <w:pPr>
        <w:spacing w:after="0" w:line="205" w:lineRule="exact"/>
        <w:rPr>
          <w:sz w:val="20"/>
          <w:szCs w:val="20"/>
          <w:color w:val="auto"/>
        </w:rPr>
      </w:pPr>
    </w:p>
    <w:p>
      <w:pPr>
        <w:ind w:right="20" w:firstLine="1297"/>
        <w:spacing w:after="0" w:line="235" w:lineRule="auto"/>
        <w:rPr>
          <w:sz w:val="20"/>
          <w:szCs w:val="20"/>
          <w:color w:val="auto"/>
        </w:rPr>
      </w:pPr>
      <w:r>
        <w:rPr>
          <w:rFonts w:ascii="Arial" w:cs="Arial" w:eastAsia="Arial" w:hAnsi="Arial"/>
          <w:sz w:val="22"/>
          <w:szCs w:val="22"/>
          <w:color w:val="auto"/>
        </w:rPr>
        <w:t>THREE: You and the Company expressly waive and relinquish all rights and benefits afforded by any statute (including but not limited to Section 1542 of the Civil Code of the State of California and analogous laws of other states) which limits the effect of a release with respect to unknown claims. You and the Company do so understanding and acknowledging the significance of the release of unknown claims and the waiver of statutory protection against a release of unknown claims (including but not limited to Section 1542 and analogous laws of other states). Section 1542 of the Civil Code of the State of California states as follows:</w:t>
      </w:r>
    </w:p>
    <w:p>
      <w:pPr>
        <w:spacing w:after="0" w:line="188" w:lineRule="exact"/>
        <w:rPr>
          <w:sz w:val="20"/>
          <w:szCs w:val="20"/>
          <w:color w:val="auto"/>
        </w:rPr>
      </w:pPr>
    </w:p>
    <w:p>
      <w:pPr>
        <w:ind w:left="1300" w:right="1340"/>
        <w:spacing w:after="0" w:line="238" w:lineRule="auto"/>
        <w:rPr>
          <w:sz w:val="20"/>
          <w:szCs w:val="20"/>
          <w:color w:val="auto"/>
        </w:rPr>
      </w:pPr>
      <w:r>
        <w:rPr>
          <w:rFonts w:ascii="Arial" w:cs="Arial" w:eastAsia="Arial" w:hAnsi="Arial"/>
          <w:sz w:val="22"/>
          <w:szCs w:val="22"/>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85" w:lineRule="exact"/>
        <w:rPr>
          <w:sz w:val="20"/>
          <w:szCs w:val="20"/>
          <w:color w:val="auto"/>
        </w:rPr>
      </w:pPr>
    </w:p>
    <w:p>
      <w:pPr>
        <w:ind w:right="220"/>
        <w:spacing w:after="0" w:line="236" w:lineRule="auto"/>
        <w:rPr>
          <w:sz w:val="20"/>
          <w:szCs w:val="20"/>
          <w:color w:val="auto"/>
        </w:rPr>
      </w:pPr>
      <w:r>
        <w:rPr>
          <w:rFonts w:ascii="Arial" w:cs="Arial" w:eastAsia="Arial" w:hAnsi="Arial"/>
          <w:sz w:val="22"/>
          <w:szCs w:val="22"/>
          <w:color w:val="auto"/>
        </w:rPr>
        <w:t>Thus, notwithstanding the provisions of Section 1542 or of any similar statute, and for the purpose of implementing a full and complete release and discharge of the Releasees, you and the Company expressly acknowledge that this Agreement is intended to include in its effect, without limitation, all Claims which are known and all Claims which you or the Company do not know or suspect to exist in your or the Company’s favor at the time of execution of this Agreement and that this Agreement contemplates the extinguishment of all such Claims.</w:t>
      </w:r>
    </w:p>
    <w:p>
      <w:pPr>
        <w:sectPr>
          <w:pgSz w:w="11900" w:h="16838" w:orient="portrait"/>
          <w:cols w:equalWidth="0" w:num="1">
            <w:col w:w="11420"/>
          </w:cols>
          <w:pgMar w:left="240" w:top="604" w:right="239" w:bottom="0" w:gutter="0" w:footer="0" w:header="0"/>
        </w:sectPr>
      </w:pPr>
    </w:p>
    <w:bookmarkStart w:id="128" w:name="page129"/>
    <w:bookmarkEnd w:id="128"/>
    <w:p>
      <w:pPr>
        <w:spacing w:after="0" w:line="13" w:lineRule="exact"/>
        <w:rPr>
          <w:sz w:val="20"/>
          <w:szCs w:val="20"/>
          <w:color w:val="auto"/>
        </w:rPr>
      </w:pPr>
    </w:p>
    <w:p>
      <w:pPr>
        <w:ind w:right="20" w:firstLine="1297"/>
        <w:spacing w:after="0" w:line="238" w:lineRule="auto"/>
        <w:rPr>
          <w:sz w:val="20"/>
          <w:szCs w:val="20"/>
          <w:color w:val="auto"/>
        </w:rPr>
      </w:pPr>
      <w:r>
        <w:rPr>
          <w:rFonts w:ascii="Arial" w:cs="Arial" w:eastAsia="Arial" w:hAnsi="Arial"/>
          <w:sz w:val="22"/>
          <w:szCs w:val="22"/>
          <w:color w:val="auto"/>
        </w:rPr>
        <w:t>FOUR: The parties acknowledge that they might hereafter discover facts different from, or in addition to, those they now know or believe to be true with respect to a Claim or Claims released herein, and they expressly agree to assume the risk of possible discovery of additional or different facts, and agree that this Agreement shall be and remain effective, in all respects, regardless of such additional or different discovered facts.</w:t>
      </w:r>
    </w:p>
    <w:p>
      <w:pPr>
        <w:spacing w:after="0" w:line="186" w:lineRule="exact"/>
        <w:rPr>
          <w:sz w:val="20"/>
          <w:szCs w:val="20"/>
          <w:color w:val="auto"/>
        </w:rPr>
      </w:pPr>
    </w:p>
    <w:p>
      <w:pPr>
        <w:ind w:right="20" w:firstLine="1297"/>
        <w:spacing w:after="0" w:line="249" w:lineRule="auto"/>
        <w:rPr>
          <w:sz w:val="20"/>
          <w:szCs w:val="20"/>
          <w:color w:val="auto"/>
        </w:rPr>
      </w:pPr>
      <w:r>
        <w:rPr>
          <w:rFonts w:ascii="Arial" w:cs="Arial" w:eastAsia="Arial" w:hAnsi="Arial"/>
          <w:sz w:val="21"/>
          <w:szCs w:val="21"/>
          <w:color w:val="auto"/>
        </w:rPr>
        <w:t>FIVE: You hereby represent and acknowledge that you have not filed any Claim of any kind against the Company or others released in this Agreement. You further hereby expressly agree never to initiate against the Company or others released in this Agreement any administrative proceeding, lawsuit or any other legal or equitable proceeding of any kind asserting any Claims that are released in this Agreement. You agree that you will not be entitled to any monetary recovery that may result from any agency action against the Company related to the Claims released by this Agreement.</w:t>
      </w:r>
    </w:p>
    <w:p>
      <w:pPr>
        <w:spacing w:after="0" w:line="179" w:lineRule="exact"/>
        <w:rPr>
          <w:sz w:val="20"/>
          <w:szCs w:val="20"/>
          <w:color w:val="auto"/>
        </w:rPr>
      </w:pPr>
    </w:p>
    <w:p>
      <w:pPr>
        <w:ind w:right="120" w:firstLine="1297"/>
        <w:spacing w:after="0" w:line="238" w:lineRule="auto"/>
        <w:rPr>
          <w:sz w:val="20"/>
          <w:szCs w:val="20"/>
          <w:color w:val="auto"/>
        </w:rPr>
      </w:pPr>
      <w:r>
        <w:rPr>
          <w:rFonts w:ascii="Arial" w:cs="Arial" w:eastAsia="Arial" w:hAnsi="Arial"/>
          <w:sz w:val="22"/>
          <w:szCs w:val="22"/>
          <w:color w:val="auto"/>
        </w:rPr>
        <w:t>The Company hereby represents and acknowledges that it has not filed any Claim of any kind against you or others released in this Agreement. The Company further hereby expressly agrees never to initiate against you or others released in this Agreement any administrative proceeding, lawsuit or any other legal or equitable proceeding of any kind asserting any Claims that are released in this Agreement.</w:t>
      </w:r>
    </w:p>
    <w:p>
      <w:pPr>
        <w:spacing w:after="0" w:line="185" w:lineRule="exact"/>
        <w:rPr>
          <w:sz w:val="20"/>
          <w:szCs w:val="20"/>
          <w:color w:val="auto"/>
        </w:rPr>
      </w:pPr>
    </w:p>
    <w:p>
      <w:pPr>
        <w:ind w:right="400" w:firstLine="1297"/>
        <w:spacing w:after="0" w:line="251" w:lineRule="auto"/>
        <w:rPr>
          <w:sz w:val="20"/>
          <w:szCs w:val="20"/>
          <w:color w:val="auto"/>
        </w:rPr>
      </w:pPr>
      <w:r>
        <w:rPr>
          <w:rFonts w:ascii="Arial" w:cs="Arial" w:eastAsia="Arial" w:hAnsi="Arial"/>
          <w:sz w:val="22"/>
          <w:szCs w:val="22"/>
          <w:color w:val="auto"/>
        </w:rPr>
        <w:t>SIX: You hereby represent and agree that you have not assigned or transferred, or attempted to have assigned or transfer, to any person or entity, any of the Claims that you are releasing in this Agreement.</w:t>
      </w:r>
    </w:p>
    <w:p>
      <w:pPr>
        <w:spacing w:after="0" w:line="173" w:lineRule="exact"/>
        <w:rPr>
          <w:sz w:val="20"/>
          <w:szCs w:val="20"/>
          <w:color w:val="auto"/>
        </w:rPr>
      </w:pPr>
    </w:p>
    <w:p>
      <w:pPr>
        <w:ind w:right="180" w:firstLine="1297"/>
        <w:spacing w:after="0" w:line="251" w:lineRule="auto"/>
        <w:rPr>
          <w:sz w:val="20"/>
          <w:szCs w:val="20"/>
          <w:color w:val="auto"/>
        </w:rPr>
      </w:pPr>
      <w:r>
        <w:rPr>
          <w:rFonts w:ascii="Arial" w:cs="Arial" w:eastAsia="Arial" w:hAnsi="Arial"/>
          <w:sz w:val="22"/>
          <w:szCs w:val="22"/>
          <w:color w:val="auto"/>
        </w:rPr>
        <w:t>The Company hereby represents and agrees that it has not assigned or transferred, or attempted to have assigned or transfer, to any person or entity, any of the Claims that it is releasing in this Agreement.</w:t>
      </w:r>
    </w:p>
    <w:p>
      <w:pPr>
        <w:spacing w:after="0" w:line="173" w:lineRule="exact"/>
        <w:rPr>
          <w:sz w:val="20"/>
          <w:szCs w:val="20"/>
          <w:color w:val="auto"/>
        </w:rPr>
      </w:pPr>
    </w:p>
    <w:p>
      <w:pPr>
        <w:ind w:right="400" w:firstLine="1297"/>
        <w:spacing w:after="0" w:line="238" w:lineRule="auto"/>
        <w:rPr>
          <w:sz w:val="20"/>
          <w:szCs w:val="20"/>
          <w:color w:val="auto"/>
        </w:rPr>
      </w:pPr>
      <w:r>
        <w:rPr>
          <w:rFonts w:ascii="Arial" w:cs="Arial" w:eastAsia="Arial" w:hAnsi="Arial"/>
          <w:sz w:val="22"/>
          <w:szCs w:val="22"/>
          <w:color w:val="auto"/>
        </w:rPr>
        <w:t>SEVEN: As a further material inducement to the Company to enter into this Agreement, you hereby agree to indemnify and hold each of the Releasees harmless from all loss, costs, damages, or expenses, including without limitation, attorneys’ fees incurred by the Releasees, arising out of any breach of this Agreement by you or the fact that any representation made in this Agreement by you was false when made.</w:t>
      </w:r>
    </w:p>
    <w:p>
      <w:pPr>
        <w:spacing w:after="0" w:line="185" w:lineRule="exact"/>
        <w:rPr>
          <w:sz w:val="20"/>
          <w:szCs w:val="20"/>
          <w:color w:val="auto"/>
        </w:rPr>
      </w:pPr>
    </w:p>
    <w:p>
      <w:pPr>
        <w:ind w:right="140" w:firstLine="1297"/>
        <w:spacing w:after="0" w:line="238" w:lineRule="auto"/>
        <w:rPr>
          <w:sz w:val="20"/>
          <w:szCs w:val="20"/>
          <w:color w:val="auto"/>
        </w:rPr>
      </w:pPr>
      <w:r>
        <w:rPr>
          <w:rFonts w:ascii="Arial" w:cs="Arial" w:eastAsia="Arial" w:hAnsi="Arial"/>
          <w:sz w:val="22"/>
          <w:szCs w:val="22"/>
          <w:color w:val="auto"/>
        </w:rPr>
        <w:t>As a further material inducement to you to enter into this Agreement, the Company hereby agrees to indemnify and hold each of the Releasees harmless from all loss, costs, damages, or expenses, including without limitation, attorneys’ fees incurred by the Releasees, arising out of any breach of this Agreement by it or the fact that any representation made in this Agreement by it was knowingly false when made.</w:t>
      </w:r>
    </w:p>
    <w:p>
      <w:pPr>
        <w:spacing w:after="0" w:line="185" w:lineRule="exact"/>
        <w:rPr>
          <w:sz w:val="20"/>
          <w:szCs w:val="20"/>
          <w:color w:val="auto"/>
        </w:rPr>
      </w:pPr>
    </w:p>
    <w:p>
      <w:pPr>
        <w:ind w:right="40" w:firstLine="1297"/>
        <w:spacing w:after="0" w:line="251" w:lineRule="auto"/>
        <w:rPr>
          <w:sz w:val="20"/>
          <w:szCs w:val="20"/>
          <w:color w:val="auto"/>
        </w:rPr>
      </w:pPr>
      <w:r>
        <w:rPr>
          <w:rFonts w:ascii="Arial" w:cs="Arial" w:eastAsia="Arial" w:hAnsi="Arial"/>
          <w:sz w:val="22"/>
          <w:szCs w:val="22"/>
          <w:color w:val="auto"/>
        </w:rPr>
        <w:t>EIGHT: You and the Company represent and acknowledge that in executing this Agreement, neither is relying upon any representation or statement not set forth in this Agreement or the Severance Agreement.</w:t>
      </w:r>
    </w:p>
    <w:p>
      <w:pPr>
        <w:spacing w:after="0" w:line="160" w:lineRule="exact"/>
        <w:rPr>
          <w:sz w:val="20"/>
          <w:szCs w:val="20"/>
          <w:color w:val="auto"/>
        </w:rPr>
      </w:pPr>
    </w:p>
    <w:p>
      <w:pPr>
        <w:ind w:right="60" w:firstLine="1297"/>
        <w:spacing w:after="0" w:line="235" w:lineRule="auto"/>
        <w:rPr>
          <w:sz w:val="20"/>
          <w:szCs w:val="20"/>
          <w:color w:val="auto"/>
        </w:rPr>
      </w:pPr>
      <w:r>
        <w:rPr>
          <w:rFonts w:ascii="Arial" w:cs="Arial" w:eastAsia="Arial" w:hAnsi="Arial"/>
          <w:sz w:val="22"/>
          <w:szCs w:val="22"/>
          <w:color w:val="auto"/>
        </w:rPr>
        <w:t>NINE: (a) This Agreement shall not in any way be construed as an admission by the Company that it has acted wrongfully with respect to you or any other person, or that you have any rights whatsoever against the Company, and the Company specifically disclaims any liability to or wrongful acts against you or any other person, on the part of itself, its employees or its agents. This Agreement shall not in any way be construed as an admission by you that you have acted wrongfully with respect to the Company, or that you failed to perform your duties or negligently performed or breached your duties, or that the Company had good cause to terminate your employment.</w:t>
      </w:r>
    </w:p>
    <w:p>
      <w:pPr>
        <w:spacing w:after="0" w:line="188" w:lineRule="exact"/>
        <w:rPr>
          <w:sz w:val="20"/>
          <w:szCs w:val="20"/>
          <w:color w:val="auto"/>
        </w:rPr>
      </w:pPr>
    </w:p>
    <w:p>
      <w:pPr>
        <w:ind w:right="60" w:firstLine="1953"/>
        <w:spacing w:after="0" w:line="279" w:lineRule="auto"/>
        <w:tabs>
          <w:tab w:leader="none" w:pos="2593" w:val="left"/>
        </w:tabs>
        <w:numPr>
          <w:ilvl w:val="0"/>
          <w:numId w:val="179"/>
        </w:numPr>
        <w:rPr>
          <w:rFonts w:ascii="Arial" w:cs="Arial" w:eastAsia="Arial" w:hAnsi="Arial"/>
          <w:sz w:val="19"/>
          <w:szCs w:val="19"/>
          <w:color w:val="auto"/>
        </w:rPr>
      </w:pPr>
      <w:r>
        <w:rPr>
          <w:rFonts w:ascii="Arial" w:cs="Arial" w:eastAsia="Arial" w:hAnsi="Arial"/>
          <w:sz w:val="19"/>
          <w:szCs w:val="19"/>
          <w:color w:val="auto"/>
        </w:rPr>
        <w:t xml:space="preserve">If you are a party or are threatened to be made a party to any proceeding by reason of the fact that you were an officer or director of the Company, the Company shall indemnify you against any expenses (including reasonable attorneys’ fees;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counsel has been approved by the Company prior to retention, which approval shall not be unreasonably withheld), judgments, fines, settlements and other amounts actually or reasonably incurred by you in connection with that proceeding; </w:t>
      </w:r>
      <w:r>
        <w:rPr>
          <w:rFonts w:ascii="Arial" w:cs="Arial" w:eastAsia="Arial" w:hAnsi="Arial"/>
          <w:sz w:val="19"/>
          <w:szCs w:val="19"/>
          <w:i w:val="1"/>
          <w:iCs w:val="1"/>
          <w:color w:val="auto"/>
        </w:rPr>
        <w:t>provided</w:t>
      </w:r>
      <w:r>
        <w:rPr>
          <w:rFonts w:ascii="Arial" w:cs="Arial" w:eastAsia="Arial" w:hAnsi="Arial"/>
          <w:sz w:val="19"/>
          <w:szCs w:val="19"/>
          <w:color w:val="auto"/>
        </w:rPr>
        <w:t>, that you acted in good faith and in a manner you reasonably believed to be in the best interest of the Company. The limitations of California Corporations Code Section 317 shall apply to this assurance of indemnification.</w:t>
      </w:r>
    </w:p>
    <w:p>
      <w:pPr>
        <w:spacing w:after="0" w:line="137" w:lineRule="exact"/>
        <w:rPr>
          <w:rFonts w:ascii="Arial" w:cs="Arial" w:eastAsia="Arial" w:hAnsi="Arial"/>
          <w:sz w:val="19"/>
          <w:szCs w:val="19"/>
          <w:color w:val="auto"/>
        </w:rPr>
      </w:pPr>
    </w:p>
    <w:p>
      <w:pPr>
        <w:ind w:right="100" w:firstLine="1953"/>
        <w:spacing w:after="0" w:line="282" w:lineRule="auto"/>
        <w:tabs>
          <w:tab w:leader="none" w:pos="2593" w:val="left"/>
        </w:tabs>
        <w:numPr>
          <w:ilvl w:val="0"/>
          <w:numId w:val="179"/>
        </w:numPr>
        <w:rPr>
          <w:rFonts w:ascii="Arial" w:cs="Arial" w:eastAsia="Arial" w:hAnsi="Arial"/>
          <w:sz w:val="19"/>
          <w:szCs w:val="19"/>
          <w:color w:val="auto"/>
        </w:rPr>
      </w:pPr>
      <w:r>
        <w:rPr>
          <w:rFonts w:ascii="Arial" w:cs="Arial" w:eastAsia="Arial" w:hAnsi="Arial"/>
          <w:sz w:val="19"/>
          <w:szCs w:val="19"/>
          <w:color w:val="auto"/>
        </w:rPr>
        <w:t>You agree to cooperate with the Company and its designated attorneys, representatives and agents in connection with any actual or threatened judicial, administrative or other legal or equitable proceeding in which the Company is or may become involved. Upon reasonable notice, you agree to meet with and provide to the Company or its designated attorneys, representatives or agents all information and knowledge you have relating to the subject matter of any such proceeding. The Company agrees to reimburse you for any reasonable costs you incur in providing such cooperation.</w:t>
      </w:r>
    </w:p>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TEN: This Agreement is entered into in California and shall be governed by substantive California law, except as provided in this section. If any dispute arises between you and the Company, including but not limited to, disputes relating to this Agreement, or if you prosecute a claim you purported to release by means of this Agreement (“Arbitrable Dispute”), you and the Company agree to resolve that Arbitrable Dispute through final and binding arbitration under this section. You also agree to arbitrate any Arbitrable Dispute which also involves any other released party who offers or agrees to arbitrate the dispute under this section. Your agreement to arbitrate applies, for example, to disputes about the validity, interpretation, or effect of this Agreement or alleged violations of it, claims of discrimination under federal or state law, or other statutory violation claims.</w:t>
      </w:r>
    </w:p>
    <w:p>
      <w:pPr>
        <w:spacing w:after="0" w:line="45" w:lineRule="exact"/>
        <w:rPr>
          <w:sz w:val="20"/>
          <w:szCs w:val="20"/>
          <w:color w:val="auto"/>
        </w:rPr>
      </w:pPr>
    </w:p>
    <w:p>
      <w:pPr>
        <w:ind w:right="300" w:firstLine="648"/>
        <w:spacing w:after="0" w:line="238" w:lineRule="auto"/>
        <w:rPr>
          <w:sz w:val="20"/>
          <w:szCs w:val="20"/>
          <w:color w:val="auto"/>
        </w:rPr>
      </w:pPr>
      <w:r>
        <w:rPr>
          <w:rFonts w:ascii="Arial" w:cs="Arial" w:eastAsia="Arial" w:hAnsi="Arial"/>
          <w:sz w:val="22"/>
          <w:szCs w:val="22"/>
          <w:color w:val="auto"/>
        </w:rPr>
        <w:t>As to any Arbitrable Dispute, you and the Company waive any right to a jury trial or a court bench trial. You and the Company also waive the right to bring, maintain, or participate in any class, collective, or representative proceeding, whether in arbitration or otherwise. Further, Arbitrable Disputes must be brought in the individual capacity of the party asserting the claim, and cannot be maintained on a class, collective, or representative basis.</w:t>
      </w:r>
    </w:p>
    <w:p>
      <w:pPr>
        <w:spacing w:after="0" w:line="77"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Arbitration shall take place in San Diego, California under the employment dispute resolution rules of the Judicial Arbitration and Mediation Service (“JAMS”), (or, if you are employed outside of California at the time of the termination of your</w:t>
      </w:r>
    </w:p>
    <w:p>
      <w:pPr>
        <w:sectPr>
          <w:pgSz w:w="11900" w:h="16852" w:orient="portrait"/>
          <w:cols w:equalWidth="0" w:num="1">
            <w:col w:w="11420"/>
          </w:cols>
          <w:pgMar w:left="240" w:top="118" w:right="239" w:bottom="0" w:gutter="0" w:footer="0" w:header="0"/>
        </w:sectPr>
      </w:pPr>
    </w:p>
    <w:bookmarkStart w:id="129" w:name="page130"/>
    <w:bookmarkEnd w:id="129"/>
    <w:p>
      <w:pPr>
        <w:jc w:val="both"/>
        <w:spacing w:after="0" w:line="272" w:lineRule="auto"/>
        <w:rPr>
          <w:sz w:val="20"/>
          <w:szCs w:val="20"/>
          <w:color w:val="auto"/>
        </w:rPr>
      </w:pPr>
      <w:r>
        <w:rPr>
          <w:rFonts w:ascii="Arial" w:cs="Arial" w:eastAsia="Arial" w:hAnsi="Arial"/>
          <w:sz w:val="19"/>
          <w:szCs w:val="19"/>
          <w:color w:val="auto"/>
        </w:rPr>
        <w:t>employment, at the nearest location of the American Arbitration Association and in accordance with the AAA rules), before an experienced employment arbitrator selected in accordance with those rules. The arbitrator may not modify or change this Agreement in any way. The Company will be responsible for paying any filing fee and the fees and costs of the Arbitrator; provided, however, that if you are the party initiating the claim, you will contribute an amount equal to the filing fee to initiate a claim in the court of general jurisdiction in the state in which you are employed by the Company. Each party shall pay for its own costs and attorneys’ fees, if any. However if any party prevails on a statutory claim which affords the prevailing party attorneys’ fees and costs, or if there is a written agreement providing for attorneys’ fees and/or costs, the Arbitrator may award reasonable attorney’s fees and/or costs to the prevailing party, applying the same standards a court would apply under the law applicable to the claim. The Arbitrator shall apply the Federal Rules of Evidence and shall have the authority to entertain a motion to dismiss or a motion for summary judgment by any party and shall apply the standards governing such motions under the Federal Rules of Civil Procedure. The Federal Arbitration Act shall govern the arbitration and shall govern the interpretation or enforcement of this section or any arbitration award. The arbitrator will not have the authority to consider, certify, or hear an arbitration as a class action, collective action, or any other type of representative action.</w:t>
      </w:r>
    </w:p>
    <w:p>
      <w:pPr>
        <w:spacing w:after="0" w:line="29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To the extent that the Federal Arbitration Act is inapplicable, California law pertaining to arbitration agreements shall apply. Arbitration in this manner shall be the exclusive remedy for any Arbitrable Dispute. Except as prohibited by the ADEA, should you or the Company attempt to resolve an Arbitrable Dispute by any method other than arbitration pursuant to this section, the responding party will be entitled to recover from the initiating party all damages, expenses, and attorneys’ fees incurred as a result of this breach. This Section TEN supersedes any existing arbitration agreement between the Company and me as to any Arbitrable Dispute. Notwithstanding anything in this Section TEN to the contrary, a claim for benefits under an ERISA-covered plan shall not be an Arbitrable Dispute.</w:t>
      </w:r>
    </w:p>
    <w:p>
      <w:pPr>
        <w:spacing w:after="0" w:line="57" w:lineRule="exact"/>
        <w:rPr>
          <w:sz w:val="20"/>
          <w:szCs w:val="20"/>
          <w:color w:val="auto"/>
        </w:rPr>
      </w:pPr>
    </w:p>
    <w:p>
      <w:pPr>
        <w:ind w:right="80" w:firstLine="1297"/>
        <w:spacing w:after="0" w:line="272" w:lineRule="auto"/>
        <w:rPr>
          <w:sz w:val="20"/>
          <w:szCs w:val="20"/>
          <w:color w:val="auto"/>
        </w:rPr>
      </w:pPr>
      <w:r>
        <w:rPr>
          <w:rFonts w:ascii="Arial" w:cs="Arial" w:eastAsia="Arial" w:hAnsi="Arial"/>
          <w:sz w:val="19"/>
          <w:szCs w:val="19"/>
          <w:color w:val="auto"/>
        </w:rPr>
        <w:t>ELEVEN: Both you and the Company understand that this Agreement is final and binding eight (8) days after its execution and return. Should you nevertheless attempt to challenge the enforceability of this Agreement as provided in Paragraph TEN or, in violation of that Paragraph, through litigation, as a further limitation on any right to make such a challenge, you shall initially tender to the Company, by certified check delivered to the Company, all monies received pursuant to Sections 4 or 5 of the Severance Pay Agreement, as applicable, plus interest, and invite the Company to retain such monies and agree with you to cancel this Agreement and void the Company’s obligations under Section 14(d) of the Severance Pay Agreement. In the event the Company accepts this offer, the Company shall retain such monies and this Agreement shall be canceled and the Company shall have no obligation under the Severance Pay Agreement. In the event the Company does not accept such offer, the Company shall so notify you and shall place such monies in an interest-bearing escrow account pending resolution of the dispute between you and the Company as to whether or not this Agreement and the Company’s obligations under the Severance Pay Agreement shall be set aside and/or otherwise rendered voidable or unenforceable. Additionally, any consulting agreement then in effect between you and the Company shall be immediately rescinded with no requirement of notice.</w:t>
      </w:r>
    </w:p>
    <w:p>
      <w:pPr>
        <w:spacing w:after="0" w:line="162" w:lineRule="exact"/>
        <w:rPr>
          <w:sz w:val="20"/>
          <w:szCs w:val="20"/>
          <w:color w:val="auto"/>
        </w:rPr>
      </w:pPr>
    </w:p>
    <w:p>
      <w:pPr>
        <w:ind w:right="360" w:firstLine="1297"/>
        <w:spacing w:after="0" w:line="251" w:lineRule="auto"/>
        <w:rPr>
          <w:sz w:val="20"/>
          <w:szCs w:val="20"/>
          <w:color w:val="auto"/>
        </w:rPr>
      </w:pPr>
      <w:r>
        <w:rPr>
          <w:rFonts w:ascii="Arial" w:cs="Arial" w:eastAsia="Arial" w:hAnsi="Arial"/>
          <w:sz w:val="22"/>
          <w:szCs w:val="22"/>
          <w:color w:val="auto"/>
        </w:rPr>
        <w:t>TWELVE: Any notices required to be given under this Agreement shall be delivered either personally or by first class United States mail, postage prepaid, addressed to the respective parties as follows:</w:t>
      </w:r>
    </w:p>
    <w:p>
      <w:pPr>
        <w:spacing w:after="0" w:line="160"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22"/>
          <w:szCs w:val="22"/>
          <w:color w:val="auto"/>
        </w:rPr>
        <w:t>To Company:</w:t>
      </w:r>
      <w:r>
        <w:rPr>
          <w:sz w:val="20"/>
          <w:szCs w:val="20"/>
          <w:color w:val="auto"/>
        </w:rPr>
        <w:tab/>
      </w:r>
      <w:r>
        <w:rPr>
          <w:rFonts w:ascii="Arial" w:cs="Arial" w:eastAsia="Arial" w:hAnsi="Arial"/>
          <w:sz w:val="21"/>
          <w:szCs w:val="21"/>
          <w:color w:val="auto"/>
        </w:rPr>
        <w:t>[TO COME]</w:t>
      </w:r>
    </w:p>
    <w:p>
      <w:pPr>
        <w:spacing w:after="0" w:line="206"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Attn: [TO COME]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You:</w:t>
      </w:r>
    </w:p>
    <w:p>
      <w:pPr>
        <w:spacing w:after="0" w:line="206"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______________________</w:t>
      </w:r>
    </w:p>
    <w:p>
      <w:pPr>
        <w:spacing w:after="0" w:line="206"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______________________</w:t>
      </w:r>
    </w:p>
    <w:p>
      <w:pPr>
        <w:spacing w:after="0" w:line="206"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______________________</w:t>
      </w:r>
    </w:p>
    <w:p>
      <w:pPr>
        <w:spacing w:after="0" w:line="206" w:lineRule="exact"/>
        <w:rPr>
          <w:sz w:val="20"/>
          <w:szCs w:val="20"/>
          <w:color w:val="auto"/>
        </w:rPr>
      </w:pPr>
    </w:p>
    <w:p>
      <w:pPr>
        <w:ind w:right="60" w:firstLine="1297"/>
        <w:spacing w:after="0" w:line="275" w:lineRule="auto"/>
        <w:rPr>
          <w:sz w:val="20"/>
          <w:szCs w:val="20"/>
          <w:color w:val="auto"/>
        </w:rPr>
      </w:pPr>
      <w:r>
        <w:rPr>
          <w:rFonts w:ascii="Arial" w:cs="Arial" w:eastAsia="Arial" w:hAnsi="Arial"/>
          <w:sz w:val="19"/>
          <w:szCs w:val="19"/>
          <w:color w:val="auto"/>
        </w:rPr>
        <w:t>THIRTEEN: You understand and acknowledge that you have been given a period of forty-five (45) days to review and consider this Agreement (as well as statistical data on the persons eligible for similar benefits) before signing it and may use as much of this forty-five (45) day period as you wish prior to signing. You are encouraged, at your personal expense, to consult with an attorney before signing this Agreement. You understand and acknowledge that whether or not you do so is your decision. You may revoke this Agreement within seven (7) days of signing it. If you wish to revoke, the Company’s Vice President, Human Resources must receive written notice from you no later than the close of business on the seventh (7th) day after you have signed the Agreement. If revoked, this Agreement shall not be effective and enforceable, and you will not receive payments or benefits under Sections 4 or 5, and Section 14 of the Severance Pay Agreement, as applicable.</w:t>
      </w:r>
    </w:p>
    <w:p>
      <w:pPr>
        <w:spacing w:after="0" w:line="158" w:lineRule="exact"/>
        <w:rPr>
          <w:sz w:val="20"/>
          <w:szCs w:val="20"/>
          <w:color w:val="auto"/>
        </w:rPr>
      </w:pPr>
    </w:p>
    <w:p>
      <w:pPr>
        <w:ind w:firstLine="1297"/>
        <w:spacing w:after="0" w:line="297" w:lineRule="auto"/>
        <w:rPr>
          <w:sz w:val="20"/>
          <w:szCs w:val="20"/>
          <w:color w:val="auto"/>
        </w:rPr>
      </w:pPr>
      <w:r>
        <w:rPr>
          <w:rFonts w:ascii="Arial" w:cs="Arial" w:eastAsia="Arial" w:hAnsi="Arial"/>
          <w:sz w:val="19"/>
          <w:szCs w:val="19"/>
          <w:color w:val="auto"/>
        </w:rPr>
        <w:t>FOURTEEN: This Agreement constitutes the entire agreement of the parties hereto and supersedes any and all other agreements (except the Severance Pay Agreement) with respect to the subject matter of this Agreement, whether written or oral, between you and the Company. All modifications and amendments to this Agreement must be in writing and signed by the parties.</w:t>
      </w:r>
    </w:p>
    <w:p>
      <w:pPr>
        <w:spacing w:after="0" w:line="134" w:lineRule="exact"/>
        <w:rPr>
          <w:sz w:val="20"/>
          <w:szCs w:val="20"/>
          <w:color w:val="auto"/>
        </w:rPr>
      </w:pPr>
    </w:p>
    <w:p>
      <w:pPr>
        <w:ind w:right="20" w:firstLine="1297"/>
        <w:spacing w:after="0" w:line="328" w:lineRule="auto"/>
        <w:rPr>
          <w:sz w:val="20"/>
          <w:szCs w:val="20"/>
          <w:color w:val="auto"/>
        </w:rPr>
      </w:pPr>
      <w:r>
        <w:rPr>
          <w:rFonts w:ascii="Arial" w:cs="Arial" w:eastAsia="Arial" w:hAnsi="Arial"/>
          <w:sz w:val="19"/>
          <w:szCs w:val="19"/>
          <w:color w:val="auto"/>
        </w:rPr>
        <w:t>FIFTEEN: Each party agrees, without further consideration, to sign or cause to be signed, and to deliver to the other party, any other documents and to take any other action as may be necessary to fulfill the obligations under this Agreement.</w:t>
      </w:r>
    </w:p>
    <w:p>
      <w:pPr>
        <w:spacing w:after="0" w:line="105" w:lineRule="exact"/>
        <w:rPr>
          <w:sz w:val="20"/>
          <w:szCs w:val="20"/>
          <w:color w:val="auto"/>
        </w:rPr>
      </w:pPr>
    </w:p>
    <w:p>
      <w:pPr>
        <w:ind w:right="360" w:firstLine="1297"/>
        <w:spacing w:after="0"/>
        <w:rPr>
          <w:sz w:val="20"/>
          <w:szCs w:val="20"/>
          <w:color w:val="auto"/>
        </w:rPr>
      </w:pPr>
      <w:r>
        <w:rPr>
          <w:rFonts w:ascii="Arial" w:cs="Arial" w:eastAsia="Arial" w:hAnsi="Arial"/>
          <w:sz w:val="22"/>
          <w:szCs w:val="22"/>
          <w:color w:val="auto"/>
        </w:rPr>
        <w:t>SIXTEEN: If any provision of this Agreement or the application thereof is held invalid, the invalidity shall not affect other provisions or applications of the Agreement which can be given effect without the invalid provisions or application; and to this end the provisions of this Agreement are declared to be severable.</w:t>
      </w:r>
    </w:p>
    <w:p>
      <w:pPr>
        <w:sectPr>
          <w:pgSz w:w="11900" w:h="16838" w:orient="portrait"/>
          <w:cols w:equalWidth="0" w:num="1">
            <w:col w:w="11420"/>
          </w:cols>
          <w:pgMar w:left="240" w:top="118" w:right="239" w:bottom="0" w:gutter="0" w:footer="0" w:header="0"/>
        </w:sectPr>
      </w:pPr>
    </w:p>
    <w:bookmarkStart w:id="130" w:name="page131"/>
    <w:bookmarkEnd w:id="130"/>
    <w:p>
      <w:pPr>
        <w:ind w:left="1300"/>
        <w:spacing w:after="0"/>
        <w:rPr>
          <w:sz w:val="20"/>
          <w:szCs w:val="20"/>
          <w:color w:val="auto"/>
        </w:rPr>
      </w:pPr>
      <w:r>
        <w:rPr>
          <w:rFonts w:ascii="Arial" w:cs="Arial" w:eastAsia="Arial" w:hAnsi="Arial"/>
          <w:sz w:val="22"/>
          <w:szCs w:val="22"/>
          <w:color w:val="auto"/>
        </w:rPr>
        <w:t>SEVENTEEN: This Agreement may be executed in counterparts.</w:t>
      </w:r>
    </w:p>
    <w:p>
      <w:pPr>
        <w:spacing w:after="0" w:line="207" w:lineRule="exact"/>
        <w:rPr>
          <w:sz w:val="20"/>
          <w:szCs w:val="20"/>
          <w:color w:val="auto"/>
        </w:rPr>
      </w:pPr>
    </w:p>
    <w:p>
      <w:pPr>
        <w:ind w:firstLine="1297"/>
        <w:spacing w:after="0" w:line="328" w:lineRule="auto"/>
        <w:rPr>
          <w:sz w:val="20"/>
          <w:szCs w:val="20"/>
          <w:color w:val="auto"/>
        </w:rPr>
      </w:pPr>
      <w:r>
        <w:rPr>
          <w:rFonts w:ascii="Arial" w:cs="Arial" w:eastAsia="Arial" w:hAnsi="Arial"/>
          <w:sz w:val="19"/>
          <w:szCs w:val="19"/>
          <w:color w:val="auto"/>
        </w:rPr>
        <w:t>I have read the foregoing General Release, and I accept and agree to the provisions it contains and hereby execute it voluntarily and with full understanding of its consequences. I am aware it includes a release of all known or unknown claims.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w:t>
      </w: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__________________________________________</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w:t>
      </w: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__________________________________________</w:t>
      </w:r>
    </w:p>
    <w:p>
      <w:pPr>
        <w:spacing w:after="0" w:line="20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You acknowledge that you first received this Agreement on [date].</w:t>
      </w:r>
    </w:p>
    <w:p>
      <w:pPr>
        <w:spacing w:after="0" w:line="20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320"/>
          </w:cols>
          <w:pgMar w:left="240" w:top="118"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25"/>
          <w:szCs w:val="25"/>
          <w:b w:val="1"/>
          <w:bCs w:val="1"/>
          <w:color w:val="auto"/>
        </w:rPr>
        <w:t>Exhibit 10.4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SEMPRA ENERGY</w:t>
      </w:r>
    </w:p>
    <w:p>
      <w:pPr>
        <w:jc w:val="center"/>
        <w:spacing w:after="0"/>
        <w:rPr>
          <w:sz w:val="20"/>
          <w:szCs w:val="20"/>
          <w:color w:val="auto"/>
        </w:rPr>
      </w:pPr>
      <w:r>
        <w:rPr>
          <w:rFonts w:ascii="Arial" w:cs="Arial" w:eastAsia="Arial" w:hAnsi="Arial"/>
          <w:sz w:val="22"/>
          <w:szCs w:val="22"/>
          <w:b w:val="1"/>
          <w:bCs w:val="1"/>
          <w:color w:val="auto"/>
        </w:rPr>
        <w:t>SEVERANCE PAY AGREEMENT</w:t>
      </w:r>
    </w:p>
    <w:p>
      <w:pPr>
        <w:spacing w:after="0" w:line="182" w:lineRule="exact"/>
        <w:rPr>
          <w:sz w:val="20"/>
          <w:szCs w:val="20"/>
          <w:color w:val="auto"/>
        </w:rPr>
      </w:pPr>
    </w:p>
    <w:p>
      <w:pPr>
        <w:ind w:right="360" w:firstLine="1297"/>
        <w:spacing w:after="0" w:line="335" w:lineRule="auto"/>
        <w:rPr>
          <w:sz w:val="20"/>
          <w:szCs w:val="20"/>
          <w:color w:val="auto"/>
        </w:rPr>
      </w:pPr>
      <w:r>
        <w:rPr>
          <w:rFonts w:ascii="Arial" w:cs="Arial" w:eastAsia="Arial" w:hAnsi="Arial"/>
          <w:sz w:val="19"/>
          <w:szCs w:val="19"/>
          <w:b w:val="1"/>
          <w:bCs w:val="1"/>
          <w:color w:val="auto"/>
        </w:rPr>
        <w:t xml:space="preserve">THIS AGREEMENT </w:t>
      </w:r>
      <w:r>
        <w:rPr>
          <w:rFonts w:ascii="Arial" w:cs="Arial" w:eastAsia="Arial" w:hAnsi="Arial"/>
          <w:sz w:val="19"/>
          <w:szCs w:val="19"/>
          <w:color w:val="auto"/>
        </w:rPr>
        <w:t>(this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February 18, 2013, (the “</w:t>
      </w:r>
      <w:r>
        <w:rPr>
          <w:rFonts w:ascii="Arial" w:cs="Arial" w:eastAsia="Arial" w:hAnsi="Arial"/>
          <w:sz w:val="19"/>
          <w:szCs w:val="19"/>
          <w:u w:val="single" w:color="auto"/>
          <w:color w:val="auto"/>
        </w:rPr>
        <w:t>Effective Date</w:t>
      </w:r>
      <w:r>
        <w:rPr>
          <w:rFonts w:ascii="Arial" w:cs="Arial" w:eastAsia="Arial" w:hAnsi="Arial"/>
          <w:sz w:val="19"/>
          <w:szCs w:val="19"/>
          <w:color w:val="auto"/>
        </w:rPr>
        <w:t>”) is made by and</w:t>
      </w:r>
      <w:r>
        <w:rPr>
          <w:rFonts w:ascii="Arial" w:cs="Arial" w:eastAsia="Arial" w:hAnsi="Arial"/>
          <w:sz w:val="19"/>
          <w:szCs w:val="19"/>
          <w:b w:val="1"/>
          <w:bCs w:val="1"/>
          <w:color w:val="auto"/>
        </w:rPr>
        <w:t xml:space="preserve"> </w:t>
      </w:r>
      <w:r>
        <w:rPr>
          <w:rFonts w:ascii="Arial" w:cs="Arial" w:eastAsia="Arial" w:hAnsi="Arial"/>
          <w:sz w:val="19"/>
          <w:szCs w:val="19"/>
          <w:color w:val="auto"/>
        </w:rPr>
        <w:t>between SEMPRA ENERGY, a California corporation (“</w:t>
      </w:r>
      <w:r>
        <w:rPr>
          <w:rFonts w:ascii="Arial" w:cs="Arial" w:eastAsia="Arial" w:hAnsi="Arial"/>
          <w:sz w:val="19"/>
          <w:szCs w:val="19"/>
          <w:u w:val="single" w:color="auto"/>
          <w:color w:val="auto"/>
        </w:rPr>
        <w:t>Sempra Energy</w:t>
      </w:r>
      <w:r>
        <w:rPr>
          <w:rFonts w:ascii="Arial" w:cs="Arial" w:eastAsia="Arial" w:hAnsi="Arial"/>
          <w:sz w:val="19"/>
          <w:szCs w:val="19"/>
          <w:color w:val="auto"/>
        </w:rPr>
        <w:t>”), and Woodrow D. Smith (the “</w:t>
      </w:r>
      <w:r>
        <w:rPr>
          <w:rFonts w:ascii="Arial" w:cs="Arial" w:eastAsia="Arial" w:hAnsi="Arial"/>
          <w:sz w:val="19"/>
          <w:szCs w:val="19"/>
          <w:u w:val="single" w:color="auto"/>
          <w:color w:val="auto"/>
        </w:rPr>
        <w:t>Executive</w:t>
      </w:r>
      <w:r>
        <w:rPr>
          <w:rFonts w:ascii="Arial" w:cs="Arial" w:eastAsia="Arial" w:hAnsi="Arial"/>
          <w:sz w:val="19"/>
          <w:szCs w:val="19"/>
          <w:color w:val="auto"/>
        </w:rPr>
        <w:t>”).</w:t>
      </w:r>
    </w:p>
    <w:p>
      <w:pPr>
        <w:spacing w:after="0" w:line="92" w:lineRule="exact"/>
        <w:rPr>
          <w:sz w:val="20"/>
          <w:szCs w:val="20"/>
          <w:color w:val="auto"/>
        </w:rPr>
      </w:pPr>
    </w:p>
    <w:p>
      <w:pPr>
        <w:ind w:right="360" w:firstLine="1297"/>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Executive is currently employed by Sempra Energy or a direct or indirect subsidiary of Sempra</w:t>
      </w:r>
      <w:r>
        <w:rPr>
          <w:rFonts w:ascii="Arial" w:cs="Arial" w:eastAsia="Arial" w:hAnsi="Arial"/>
          <w:sz w:val="22"/>
          <w:szCs w:val="22"/>
          <w:b w:val="1"/>
          <w:bCs w:val="1"/>
          <w:color w:val="auto"/>
        </w:rPr>
        <w:t xml:space="preserve"> </w:t>
      </w:r>
      <w:r>
        <w:rPr>
          <w:rFonts w:ascii="Arial" w:cs="Arial" w:eastAsia="Arial" w:hAnsi="Arial"/>
          <w:sz w:val="22"/>
          <w:szCs w:val="22"/>
          <w:color w:val="auto"/>
        </w:rPr>
        <w:t>Energy (Sempra Energy and its subsidiaries are hereinafter collectively referred to as the “</w:t>
      </w:r>
      <w:r>
        <w:rPr>
          <w:rFonts w:ascii="Arial" w:cs="Arial" w:eastAsia="Arial" w:hAnsi="Arial"/>
          <w:sz w:val="22"/>
          <w:szCs w:val="22"/>
          <w:u w:val="single" w:color="auto"/>
          <w:color w:val="auto"/>
        </w:rPr>
        <w:t>Company</w:t>
      </w:r>
      <w:r>
        <w:rPr>
          <w:rFonts w:ascii="Arial" w:cs="Arial" w:eastAsia="Arial" w:hAnsi="Arial"/>
          <w:sz w:val="22"/>
          <w:szCs w:val="22"/>
          <w:color w:val="auto"/>
        </w:rPr>
        <w:t>”) as Vice President and General Counsel, San Diego Gas &amp; Electric; and</w:t>
      </w:r>
    </w:p>
    <w:p>
      <w:pPr>
        <w:spacing w:after="0" w:line="177" w:lineRule="exact"/>
        <w:rPr>
          <w:sz w:val="20"/>
          <w:szCs w:val="20"/>
          <w:color w:val="auto"/>
        </w:rPr>
      </w:pPr>
    </w:p>
    <w:p>
      <w:pPr>
        <w:ind w:left="1300" w:right="1360"/>
        <w:spacing w:after="0" w:line="50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Sempra Energy and the Executive desire to enter into this Agreement; and</w:t>
      </w:r>
      <w:r>
        <w:rPr>
          <w:rFonts w:ascii="Arial" w:cs="Arial" w:eastAsia="Arial" w:hAnsi="Arial"/>
          <w:sz w:val="19"/>
          <w:szCs w:val="19"/>
          <w:b w:val="1"/>
          <w:bCs w:val="1"/>
          <w:color w:val="auto"/>
        </w:rPr>
        <w:t xml:space="preserve"> WHEREAS</w:t>
      </w:r>
      <w:r>
        <w:rPr>
          <w:rFonts w:ascii="Arial" w:cs="Arial" w:eastAsia="Arial" w:hAnsi="Arial"/>
          <w:sz w:val="19"/>
          <w:szCs w:val="19"/>
          <w:color w:val="auto"/>
        </w:rPr>
        <w:t>, the Board of Directors of Sempra Energy (the “</w:t>
      </w:r>
      <w:r>
        <w:rPr>
          <w:rFonts w:ascii="Arial" w:cs="Arial" w:eastAsia="Arial" w:hAnsi="Arial"/>
          <w:sz w:val="19"/>
          <w:szCs w:val="19"/>
          <w:u w:val="single" w:color="auto"/>
          <w:color w:val="auto"/>
        </w:rPr>
        <w:t>Board</w:t>
      </w:r>
      <w:r>
        <w:rPr>
          <w:rFonts w:ascii="Arial" w:cs="Arial" w:eastAsia="Arial" w:hAnsi="Arial"/>
          <w:sz w:val="19"/>
          <w:szCs w:val="19"/>
          <w:color w:val="auto"/>
        </w:rPr>
        <w:t>”) has authorized this Agreement.</w:t>
      </w:r>
    </w:p>
    <w:p>
      <w:pPr>
        <w:spacing w:after="0" w:line="1" w:lineRule="exact"/>
        <w:rPr>
          <w:sz w:val="20"/>
          <w:szCs w:val="20"/>
          <w:color w:val="auto"/>
        </w:rPr>
      </w:pPr>
    </w:p>
    <w:p>
      <w:pPr>
        <w:ind w:right="200" w:firstLine="1297"/>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mutual covenants herein contained, the Company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Executive hereby agree as follows:</w:t>
      </w:r>
    </w:p>
    <w:p>
      <w:pPr>
        <w:spacing w:after="0" w:line="15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this Agreement, the following capitalized terms have the meanings set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forth below:</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Accounting Firm</w:t>
      </w:r>
      <w:r>
        <w:rPr>
          <w:rFonts w:ascii="Arial" w:cs="Arial" w:eastAsia="Arial" w:hAnsi="Arial"/>
          <w:sz w:val="22"/>
          <w:szCs w:val="22"/>
          <w:color w:val="auto"/>
        </w:rPr>
        <w:t>” has the meaning assigned thereto in Section 8(d) hereof.</w:t>
      </w:r>
    </w:p>
    <w:p>
      <w:pPr>
        <w:spacing w:after="0" w:line="206" w:lineRule="exact"/>
        <w:rPr>
          <w:sz w:val="20"/>
          <w:szCs w:val="20"/>
          <w:color w:val="auto"/>
        </w:rPr>
      </w:pPr>
    </w:p>
    <w:p>
      <w:pPr>
        <w:ind w:right="140" w:firstLine="12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Accrued Obligations</w:t>
      </w:r>
      <w:r>
        <w:rPr>
          <w:rFonts w:ascii="Arial" w:cs="Arial" w:eastAsia="Arial" w:hAnsi="Arial"/>
          <w:sz w:val="22"/>
          <w:szCs w:val="22"/>
          <w:color w:val="auto"/>
        </w:rPr>
        <w:t>" means the sum of (A) the Executive’s Annual Base Salary through the Date of Termination to the extent not theretofore paid, (B) an amount equal to any annual Incentive Compensation Awards earned with respect to fiscal years ended prior to the year that includes the Date of Termination to the extent not theretofore paid, (C) any accrued and unpaid vacation, if any, and (D) reimbursement for unreimbursed business expenses, if any, properly incurred by the Executive in the performance of his duties in accordance with policies established from time to time by the Board, in each case to the extent not theretofore paid.</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has the meaning set forth in Rule 12b-2 promulgated under the Exchange Act.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Base Salary</w:t>
      </w:r>
      <w:r>
        <w:rPr>
          <w:rFonts w:ascii="Arial" w:cs="Arial" w:eastAsia="Arial" w:hAnsi="Arial"/>
          <w:sz w:val="22"/>
          <w:szCs w:val="22"/>
          <w:color w:val="auto"/>
        </w:rPr>
        <w:t>” means the Executive’s annual base salary from the Company.</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Purchaser</w:t>
      </w:r>
      <w:r>
        <w:rPr>
          <w:rFonts w:ascii="Arial" w:cs="Arial" w:eastAsia="Arial" w:hAnsi="Arial"/>
          <w:sz w:val="22"/>
          <w:szCs w:val="22"/>
          <w:color w:val="auto"/>
        </w:rPr>
        <w:t>” has the meaning assigned thereto in Section 16(e).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Sale</w:t>
      </w:r>
      <w:r>
        <w:rPr>
          <w:rFonts w:ascii="Arial" w:cs="Arial" w:eastAsia="Arial" w:hAnsi="Arial"/>
          <w:sz w:val="22"/>
          <w:szCs w:val="22"/>
          <w:color w:val="auto"/>
        </w:rPr>
        <w:t>” has the meaning assigned thereto in Section 16(e).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Average Annual Bonus</w:t>
      </w:r>
      <w:r>
        <w:rPr>
          <w:rFonts w:ascii="Arial" w:cs="Arial" w:eastAsia="Arial" w:hAnsi="Arial"/>
          <w:sz w:val="19"/>
          <w:szCs w:val="19"/>
          <w:color w:val="auto"/>
        </w:rPr>
        <w:t>” means the average of the annual bonuses from the Company earned by the Executive with</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respect to the three (3) fiscal years of the Company immediately preceding the Date of Termination (the “</w:t>
      </w:r>
      <w:r>
        <w:rPr>
          <w:rFonts w:ascii="Arial" w:cs="Arial" w:eastAsia="Arial" w:hAnsi="Arial"/>
          <w:sz w:val="19"/>
          <w:szCs w:val="19"/>
          <w:u w:val="single" w:color="auto"/>
          <w:color w:val="auto"/>
        </w:rPr>
        <w:t>Bonus Fiscal Years</w:t>
      </w:r>
      <w:r>
        <w:rPr>
          <w:rFonts w:ascii="Arial" w:cs="Arial" w:eastAsia="Arial" w:hAnsi="Arial"/>
          <w:sz w:val="19"/>
          <w:szCs w:val="19"/>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if the Executive was employed by the Company for less than three (3) years of the Bonus Fiscal Years,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Average Annual Bonus</w:t>
      </w:r>
      <w:r>
        <w:rPr>
          <w:rFonts w:ascii="Arial" w:cs="Arial" w:eastAsia="Arial" w:hAnsi="Arial"/>
          <w:sz w:val="19"/>
          <w:szCs w:val="19"/>
          <w:color w:val="auto"/>
        </w:rPr>
        <w:t>” means the average of the annual bonuses (if any) from the Company earned by the Executive with respect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to the Bonus Fiscal Years during which the Executive was employed by the Company;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if the Executive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was not employed by the Company during any portion of any of the Bonus Fiscal Years, “</w:t>
      </w:r>
      <w:r>
        <w:rPr>
          <w:rFonts w:ascii="Arial" w:cs="Arial" w:eastAsia="Arial" w:hAnsi="Arial"/>
          <w:sz w:val="19"/>
          <w:szCs w:val="19"/>
          <w:u w:val="single" w:color="auto"/>
          <w:color w:val="auto"/>
        </w:rPr>
        <w:t>Average Annual Bonus</w:t>
      </w:r>
      <w:r>
        <w:rPr>
          <w:rFonts w:ascii="Arial" w:cs="Arial" w:eastAsia="Arial" w:hAnsi="Arial"/>
          <w:sz w:val="19"/>
          <w:szCs w:val="19"/>
          <w:color w:val="auto"/>
        </w:rPr>
        <w:t>” means zero.</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means:</w:t>
      </w:r>
    </w:p>
    <w:p>
      <w:pPr>
        <w:spacing w:after="0" w:line="206" w:lineRule="exact"/>
        <w:rPr>
          <w:sz w:val="20"/>
          <w:szCs w:val="20"/>
          <w:color w:val="auto"/>
        </w:rPr>
      </w:pPr>
    </w:p>
    <w:p>
      <w:pPr>
        <w:ind w:right="120" w:firstLine="1305"/>
        <w:spacing w:after="0" w:line="276" w:lineRule="auto"/>
        <w:tabs>
          <w:tab w:leader="none" w:pos="1945" w:val="left"/>
        </w:tabs>
        <w:numPr>
          <w:ilvl w:val="1"/>
          <w:numId w:val="180"/>
        </w:numPr>
        <w:rPr>
          <w:rFonts w:ascii="Arial" w:cs="Arial" w:eastAsia="Arial" w:hAnsi="Arial"/>
          <w:sz w:val="19"/>
          <w:szCs w:val="19"/>
          <w:color w:val="auto"/>
        </w:rPr>
      </w:pPr>
      <w:r>
        <w:rPr>
          <w:rFonts w:ascii="Arial" w:cs="Arial" w:eastAsia="Arial" w:hAnsi="Arial"/>
          <w:sz w:val="19"/>
          <w:szCs w:val="19"/>
          <w:color w:val="auto"/>
        </w:rPr>
        <w:t>Prior to a Change in Control, (i) the willful failure by the Executive to substantially perform the Executive’s duties with the Company (other than any such failure resulting from the Executive’s incapacity due to physical or mental illness,</w:t>
      </w:r>
    </w:p>
    <w:p>
      <w:pPr>
        <w:spacing w:after="0" w:line="1" w:lineRule="exact"/>
        <w:rPr>
          <w:rFonts w:ascii="Arial" w:cs="Arial" w:eastAsia="Arial" w:hAnsi="Arial"/>
          <w:sz w:val="19"/>
          <w:szCs w:val="19"/>
          <w:color w:val="auto"/>
        </w:rPr>
      </w:pPr>
    </w:p>
    <w:p>
      <w:pPr>
        <w:ind w:right="20" w:firstLine="8"/>
        <w:spacing w:after="0" w:line="275" w:lineRule="auto"/>
        <w:tabs>
          <w:tab w:leader="none" w:pos="318" w:val="left"/>
        </w:tabs>
        <w:numPr>
          <w:ilvl w:val="0"/>
          <w:numId w:val="181"/>
        </w:numPr>
        <w:rPr>
          <w:rFonts w:ascii="Arial" w:cs="Arial" w:eastAsia="Arial" w:hAnsi="Arial"/>
          <w:sz w:val="19"/>
          <w:szCs w:val="19"/>
          <w:color w:val="auto"/>
        </w:rPr>
      </w:pPr>
      <w:r>
        <w:rPr>
          <w:rFonts w:ascii="Arial" w:cs="Arial" w:eastAsia="Arial" w:hAnsi="Arial"/>
          <w:sz w:val="19"/>
          <w:szCs w:val="19"/>
          <w:color w:val="auto"/>
        </w:rPr>
        <w:t>the grossly negligent performance of such obligations referenced in clause (i) of this definition, (iii) the Executive’s gross insubordination; and/or (iv) the Executive’s commission of one or more acts of moral turpitude that constitute a violation of applicable law (including but not limited to a felony) which have or result in an adverse effect on the Company, monetarily or otherwise, or one or more significant acts of dishonesty. For purposes of clause (i) of this subsection (a), no act, or failure to act, on the Executive’s part shall be deemed “</w:t>
      </w:r>
      <w:r>
        <w:rPr>
          <w:rFonts w:ascii="Arial" w:cs="Arial" w:eastAsia="Arial" w:hAnsi="Arial"/>
          <w:sz w:val="19"/>
          <w:szCs w:val="19"/>
          <w:u w:val="single" w:color="auto"/>
          <w:color w:val="auto"/>
        </w:rPr>
        <w:t>willful</w:t>
      </w:r>
      <w:r>
        <w:rPr>
          <w:rFonts w:ascii="Arial" w:cs="Arial" w:eastAsia="Arial" w:hAnsi="Arial"/>
          <w:sz w:val="19"/>
          <w:szCs w:val="19"/>
          <w:color w:val="auto"/>
        </w:rPr>
        <w:t>” unless done, or omitted to be done, by the Executive not in good faith and without reasonable belief that the Executive’s act, or failure to act, was in the best interests of the Company.</w:t>
      </w:r>
    </w:p>
    <w:p>
      <w:pPr>
        <w:spacing w:after="0" w:line="141" w:lineRule="exact"/>
        <w:rPr>
          <w:rFonts w:ascii="Arial" w:cs="Arial" w:eastAsia="Arial" w:hAnsi="Arial"/>
          <w:sz w:val="19"/>
          <w:szCs w:val="19"/>
          <w:color w:val="auto"/>
        </w:rPr>
      </w:pPr>
    </w:p>
    <w:p>
      <w:pPr>
        <w:ind w:right="20" w:firstLine="1305"/>
        <w:spacing w:after="0" w:line="273" w:lineRule="auto"/>
        <w:tabs>
          <w:tab w:leader="none" w:pos="1945" w:val="left"/>
        </w:tabs>
        <w:numPr>
          <w:ilvl w:val="1"/>
          <w:numId w:val="181"/>
        </w:numPr>
        <w:rPr>
          <w:rFonts w:ascii="Arial" w:cs="Arial" w:eastAsia="Arial" w:hAnsi="Arial"/>
          <w:sz w:val="19"/>
          <w:szCs w:val="19"/>
          <w:color w:val="auto"/>
        </w:rPr>
      </w:pPr>
      <w:r>
        <w:rPr>
          <w:rFonts w:ascii="Arial" w:cs="Arial" w:eastAsia="Arial" w:hAnsi="Arial"/>
          <w:sz w:val="19"/>
          <w:szCs w:val="19"/>
          <w:color w:val="auto"/>
        </w:rPr>
        <w:t>From and after a Change in Control, (i) the willful and continued failure by the Executive to substantially perform the Executive’s duties with the Company (other than any such failure resulting from the Executive’s incapacity due to physical or mental illness or any such actual or anticipated failure after the issuance of a Notice of Termination for Good Reason by the Executive pursuant to Section 2 hereof) and/or (ii) the Executive’s commission of one or more acts of moral turpitude that constitute a violation of applicable law (including but not limited to a felony) which have or result in an adverse effect on the Company, monetarily or otherwise, or one or more significant acts of dishonesty. For purposes of clause (i) of this subsection (b), no act, or failure to act, on the Executive’s part shall be deemed “</w:t>
      </w:r>
      <w:r>
        <w:rPr>
          <w:rFonts w:ascii="Arial" w:cs="Arial" w:eastAsia="Arial" w:hAnsi="Arial"/>
          <w:sz w:val="19"/>
          <w:szCs w:val="19"/>
          <w:u w:val="single" w:color="auto"/>
          <w:color w:val="auto"/>
        </w:rPr>
        <w:t>willful</w:t>
      </w:r>
      <w:r>
        <w:rPr>
          <w:rFonts w:ascii="Arial" w:cs="Arial" w:eastAsia="Arial" w:hAnsi="Arial"/>
          <w:sz w:val="19"/>
          <w:szCs w:val="19"/>
          <w:color w:val="auto"/>
        </w:rPr>
        <w:t>” unless done, or omitted to be done, by the Executive not in good faith and without reasonable belief that the Executive’s act, or failure to act, was in the best interests of the Company. Notwithstanding the foregoing, the Executive shall not be deemed terminated for Cause pursuant to clause (i) of this subsection (b) unless and until the Executive shall have been provided with reasonable notice of and, if possible, a reasonable opportunity to cure the facts and circumstances claimed to provide a basis for termination of the Executive’s employment for Cause.</w:t>
      </w:r>
    </w:p>
    <w:p>
      <w:pPr>
        <w:sectPr>
          <w:pgSz w:w="11900" w:h="16838" w:orient="portrait"/>
          <w:cols w:equalWidth="0" w:num="1">
            <w:col w:w="11420"/>
          </w:cols>
          <w:pgMar w:left="240" w:top="117" w:right="239" w:bottom="227" w:gutter="0" w:footer="0" w:header="0"/>
        </w:sectPr>
      </w:pPr>
    </w:p>
    <w:bookmarkStart w:id="132" w:name="page133"/>
    <w:bookmarkEnd w:id="132"/>
    <w:p>
      <w:pPr>
        <w:ind w:right="20" w:firstLine="1297"/>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shall be deemed to have occurred on the date that a change in the ownership of Sempra Energy, a change in the effective control of Sempra Energy, or a change in the ownership of a substantial portion of assets of Sempra Energy occurs (each, as defined in subsection (a) below), except as otherwise provided in subsections (b), (c) and (d) below:</w:t>
      </w:r>
    </w:p>
    <w:p>
      <w:pPr>
        <w:spacing w:after="0" w:line="118" w:lineRule="exact"/>
        <w:rPr>
          <w:sz w:val="20"/>
          <w:szCs w:val="20"/>
          <w:color w:val="auto"/>
        </w:rPr>
      </w:pPr>
    </w:p>
    <w:p>
      <w:pPr>
        <w:ind w:right="20" w:firstLine="1305"/>
        <w:spacing w:after="0" w:line="297" w:lineRule="auto"/>
        <w:tabs>
          <w:tab w:leader="none" w:pos="1945" w:val="left"/>
        </w:tabs>
        <w:numPr>
          <w:ilvl w:val="0"/>
          <w:numId w:val="182"/>
        </w:numPr>
        <w:rPr>
          <w:rFonts w:ascii="Arial" w:cs="Arial" w:eastAsia="Arial" w:hAnsi="Arial"/>
          <w:sz w:val="19"/>
          <w:szCs w:val="19"/>
          <w:color w:val="auto"/>
        </w:rPr>
      </w:pPr>
      <w:r>
        <w:rPr>
          <w:rFonts w:ascii="Arial" w:cs="Arial" w:eastAsia="Arial" w:hAnsi="Arial"/>
          <w:sz w:val="19"/>
          <w:szCs w:val="19"/>
          <w:color w:val="auto"/>
        </w:rPr>
        <w:t>(i) a “</w:t>
      </w:r>
      <w:r>
        <w:rPr>
          <w:rFonts w:ascii="Arial" w:cs="Arial" w:eastAsia="Arial" w:hAnsi="Arial"/>
          <w:sz w:val="19"/>
          <w:szCs w:val="19"/>
          <w:u w:val="single" w:color="auto"/>
          <w:color w:val="auto"/>
        </w:rPr>
        <w:t>change in the ownership of Sempra Energy</w:t>
      </w:r>
      <w:r>
        <w:rPr>
          <w:rFonts w:ascii="Arial" w:cs="Arial" w:eastAsia="Arial" w:hAnsi="Arial"/>
          <w:sz w:val="19"/>
          <w:szCs w:val="19"/>
          <w:color w:val="auto"/>
        </w:rPr>
        <w:t>” occurs on the date that any one person, or more than one person acting as a group, acquires ownership of stock of Sempra Energy that, together with stock held by such person or group, constitutes more than fifty percent (50%) of the total fair market value or total voting power of the stock of Sempra Energy,</w:t>
      </w:r>
    </w:p>
    <w:p>
      <w:pPr>
        <w:spacing w:after="0" w:line="120" w:lineRule="exact"/>
        <w:rPr>
          <w:rFonts w:ascii="Arial" w:cs="Arial" w:eastAsia="Arial" w:hAnsi="Arial"/>
          <w:sz w:val="19"/>
          <w:szCs w:val="19"/>
          <w:color w:val="auto"/>
        </w:rPr>
      </w:pPr>
    </w:p>
    <w:p>
      <w:pPr>
        <w:ind w:left="2600" w:hanging="647"/>
        <w:spacing w:after="0"/>
        <w:tabs>
          <w:tab w:leader="none" w:pos="2600" w:val="left"/>
        </w:tabs>
        <w:numPr>
          <w:ilvl w:val="1"/>
          <w:numId w:val="182"/>
        </w:numPr>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u w:val="single" w:color="auto"/>
          <w:color w:val="auto"/>
        </w:rPr>
        <w:t>change in the effective control of Sempra Energy</w:t>
      </w:r>
      <w:r>
        <w:rPr>
          <w:rFonts w:ascii="Arial" w:cs="Arial" w:eastAsia="Arial" w:hAnsi="Arial"/>
          <w:sz w:val="19"/>
          <w:szCs w:val="19"/>
          <w:color w:val="auto"/>
        </w:rPr>
        <w:t>” occurs only on either of the following dates:</w:t>
      </w:r>
    </w:p>
    <w:p>
      <w:pPr>
        <w:spacing w:after="0" w:line="227" w:lineRule="exact"/>
        <w:rPr>
          <w:rFonts w:ascii="Arial" w:cs="Arial" w:eastAsia="Arial" w:hAnsi="Arial"/>
          <w:sz w:val="19"/>
          <w:szCs w:val="19"/>
          <w:color w:val="auto"/>
        </w:rPr>
      </w:pPr>
    </w:p>
    <w:p>
      <w:pPr>
        <w:ind w:right="100" w:firstLine="2601"/>
        <w:spacing w:after="0" w:line="297" w:lineRule="auto"/>
        <w:tabs>
          <w:tab w:leader="none" w:pos="3241" w:val="left"/>
        </w:tabs>
        <w:numPr>
          <w:ilvl w:val="2"/>
          <w:numId w:val="182"/>
        </w:numPr>
        <w:rPr>
          <w:rFonts w:ascii="Arial" w:cs="Arial" w:eastAsia="Arial" w:hAnsi="Arial"/>
          <w:sz w:val="19"/>
          <w:szCs w:val="19"/>
          <w:color w:val="auto"/>
        </w:rPr>
      </w:pPr>
      <w:r>
        <w:rPr>
          <w:rFonts w:ascii="Arial" w:cs="Arial" w:eastAsia="Arial" w:hAnsi="Arial"/>
          <w:sz w:val="19"/>
          <w:szCs w:val="19"/>
          <w:color w:val="auto"/>
        </w:rPr>
        <w:t>the date any one person, or more than one person acting as a group, acquires (or has acquired during the twelve (12) month period ending on the date of the most recent acquisition by such person or persons) ownership of stock of Sempra Energy possessing thirty percent (30%) or more of the total voting power of the stock of Sempra Energy, or</w:t>
      </w:r>
    </w:p>
    <w:p>
      <w:pPr>
        <w:spacing w:after="0" w:line="134" w:lineRule="exact"/>
        <w:rPr>
          <w:rFonts w:ascii="Arial" w:cs="Arial" w:eastAsia="Arial" w:hAnsi="Arial"/>
          <w:sz w:val="19"/>
          <w:szCs w:val="19"/>
          <w:color w:val="auto"/>
        </w:rPr>
      </w:pPr>
    </w:p>
    <w:p>
      <w:pPr>
        <w:jc w:val="both"/>
        <w:ind w:right="380" w:firstLine="2601"/>
        <w:spacing w:after="0"/>
        <w:tabs>
          <w:tab w:leader="none" w:pos="3241" w:val="left"/>
        </w:tabs>
        <w:numPr>
          <w:ilvl w:val="2"/>
          <w:numId w:val="182"/>
        </w:numPr>
        <w:rPr>
          <w:rFonts w:ascii="Arial" w:cs="Arial" w:eastAsia="Arial" w:hAnsi="Arial"/>
          <w:sz w:val="22"/>
          <w:szCs w:val="22"/>
          <w:color w:val="auto"/>
        </w:rPr>
      </w:pPr>
      <w:r>
        <w:rPr>
          <w:rFonts w:ascii="Arial" w:cs="Arial" w:eastAsia="Arial" w:hAnsi="Arial"/>
          <w:sz w:val="22"/>
          <w:szCs w:val="22"/>
          <w:color w:val="auto"/>
        </w:rPr>
        <w:t>the date a majority of the members of the Board is replaced during any twelve (12) month period by directors whose appointment or election is not endorsed by a majority of the members of the Board before the date of appointment or election, and</w:t>
      </w:r>
    </w:p>
    <w:p>
      <w:pPr>
        <w:spacing w:after="0" w:line="172" w:lineRule="exact"/>
        <w:rPr>
          <w:rFonts w:ascii="Arial" w:cs="Arial" w:eastAsia="Arial" w:hAnsi="Arial"/>
          <w:sz w:val="22"/>
          <w:szCs w:val="22"/>
          <w:color w:val="auto"/>
        </w:rPr>
      </w:pPr>
    </w:p>
    <w:p>
      <w:pPr>
        <w:ind w:right="100" w:firstLine="1953"/>
        <w:spacing w:after="0" w:line="236" w:lineRule="auto"/>
        <w:tabs>
          <w:tab w:leader="none" w:pos="2593" w:val="left"/>
        </w:tabs>
        <w:numPr>
          <w:ilvl w:val="1"/>
          <w:numId w:val="182"/>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change in the ownership of a substantial portion of assets of Sempra Energy</w:t>
      </w:r>
      <w:r>
        <w:rPr>
          <w:rFonts w:ascii="Arial" w:cs="Arial" w:eastAsia="Arial" w:hAnsi="Arial"/>
          <w:sz w:val="22"/>
          <w:szCs w:val="22"/>
          <w:color w:val="auto"/>
        </w:rPr>
        <w:t>” occurs on the date any one person, or more than one person acting as a group, acquires (or has acquired during the twelve (12) month period ending on the date of the most recent acquisition by such person or persons) assets from Sempra Energy that have a total gross fair market value equal to or more than eighty-five percent (85%) of the total gross fair market value of all of the assets of Sempra Energy immediately before such acquisition or acquisitions.</w:t>
      </w:r>
    </w:p>
    <w:p>
      <w:pPr>
        <w:spacing w:after="0" w:line="174" w:lineRule="exact"/>
        <w:rPr>
          <w:rFonts w:ascii="Arial" w:cs="Arial" w:eastAsia="Arial" w:hAnsi="Arial"/>
          <w:sz w:val="22"/>
          <w:szCs w:val="22"/>
          <w:color w:val="auto"/>
        </w:rPr>
      </w:pPr>
    </w:p>
    <w:p>
      <w:pPr>
        <w:ind w:right="440" w:firstLine="1305"/>
        <w:spacing w:after="0" w:line="251" w:lineRule="auto"/>
        <w:tabs>
          <w:tab w:leader="none" w:pos="1945" w:val="left"/>
        </w:tabs>
        <w:numPr>
          <w:ilvl w:val="0"/>
          <w:numId w:val="182"/>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change in the ownership of Sempra Energy</w:t>
      </w:r>
      <w:r>
        <w:rPr>
          <w:rFonts w:ascii="Arial" w:cs="Arial" w:eastAsia="Arial" w:hAnsi="Arial"/>
          <w:sz w:val="22"/>
          <w:szCs w:val="22"/>
          <w:color w:val="auto"/>
        </w:rPr>
        <w:t>” or “</w:t>
      </w:r>
      <w:r>
        <w:rPr>
          <w:rFonts w:ascii="Arial" w:cs="Arial" w:eastAsia="Arial" w:hAnsi="Arial"/>
          <w:sz w:val="22"/>
          <w:szCs w:val="22"/>
          <w:u w:val="single" w:color="auto"/>
          <w:color w:val="auto"/>
        </w:rPr>
        <w:t>a change in the effective control of Sempra Energy</w:t>
      </w:r>
      <w:r>
        <w:rPr>
          <w:rFonts w:ascii="Arial" w:cs="Arial" w:eastAsia="Arial" w:hAnsi="Arial"/>
          <w:sz w:val="22"/>
          <w:szCs w:val="22"/>
          <w:color w:val="auto"/>
        </w:rPr>
        <w:t>” shall not occur under clause (a)(i) or (a)(ii) by reason of any of the following:</w:t>
      </w:r>
    </w:p>
    <w:p>
      <w:pPr>
        <w:spacing w:after="0" w:line="173" w:lineRule="exact"/>
        <w:rPr>
          <w:rFonts w:ascii="Arial" w:cs="Arial" w:eastAsia="Arial" w:hAnsi="Arial"/>
          <w:sz w:val="22"/>
          <w:szCs w:val="22"/>
          <w:color w:val="auto"/>
        </w:rPr>
      </w:pPr>
    </w:p>
    <w:p>
      <w:pPr>
        <w:ind w:right="100" w:firstLine="1953"/>
        <w:spacing w:after="0" w:line="251" w:lineRule="auto"/>
        <w:tabs>
          <w:tab w:leader="none" w:pos="2593" w:val="left"/>
        </w:tabs>
        <w:numPr>
          <w:ilvl w:val="1"/>
          <w:numId w:val="183"/>
        </w:numPr>
        <w:rPr>
          <w:rFonts w:ascii="Arial" w:cs="Arial" w:eastAsia="Arial" w:hAnsi="Arial"/>
          <w:sz w:val="22"/>
          <w:szCs w:val="22"/>
          <w:color w:val="auto"/>
        </w:rPr>
      </w:pPr>
      <w:r>
        <w:rPr>
          <w:rFonts w:ascii="Arial" w:cs="Arial" w:eastAsia="Arial" w:hAnsi="Arial"/>
          <w:sz w:val="22"/>
          <w:szCs w:val="22"/>
          <w:color w:val="auto"/>
        </w:rPr>
        <w:t>an acquisition of ownership of stock of Sempra Energy directly from Sempra Energy or its Affiliates other than in connection with the acquisition by Sempra Energy or its Affiliates of a business,</w:t>
      </w:r>
    </w:p>
    <w:p>
      <w:pPr>
        <w:spacing w:after="0" w:line="159" w:lineRule="exact"/>
        <w:rPr>
          <w:rFonts w:ascii="Arial" w:cs="Arial" w:eastAsia="Arial" w:hAnsi="Arial"/>
          <w:sz w:val="22"/>
          <w:szCs w:val="22"/>
          <w:color w:val="auto"/>
        </w:rPr>
      </w:pPr>
    </w:p>
    <w:p>
      <w:pPr>
        <w:ind w:right="80" w:firstLine="1953"/>
        <w:spacing w:after="0" w:line="235" w:lineRule="auto"/>
        <w:tabs>
          <w:tab w:leader="none" w:pos="2593" w:val="left"/>
        </w:tabs>
        <w:numPr>
          <w:ilvl w:val="1"/>
          <w:numId w:val="183"/>
        </w:numPr>
        <w:rPr>
          <w:rFonts w:ascii="Arial" w:cs="Arial" w:eastAsia="Arial" w:hAnsi="Arial"/>
          <w:sz w:val="22"/>
          <w:szCs w:val="22"/>
          <w:color w:val="auto"/>
        </w:rPr>
      </w:pPr>
      <w:r>
        <w:rPr>
          <w:rFonts w:ascii="Arial" w:cs="Arial" w:eastAsia="Arial" w:hAnsi="Arial"/>
          <w:sz w:val="22"/>
          <w:szCs w:val="22"/>
          <w:color w:val="auto"/>
        </w:rPr>
        <w:t>a merger or consolidation which would result in the voting securities of Sempra Energy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at least sixty percent (60%) of the combined voting power of the securities of Sempra Energy or such surviving entity or any parent thereof outstanding immediately after such merger or consolidation, or</w:t>
      </w:r>
    </w:p>
    <w:p>
      <w:pPr>
        <w:spacing w:after="0" w:line="174" w:lineRule="exact"/>
        <w:rPr>
          <w:rFonts w:ascii="Arial" w:cs="Arial" w:eastAsia="Arial" w:hAnsi="Arial"/>
          <w:sz w:val="22"/>
          <w:szCs w:val="22"/>
          <w:color w:val="auto"/>
        </w:rPr>
      </w:pPr>
    </w:p>
    <w:p>
      <w:pPr>
        <w:ind w:firstLine="1953"/>
        <w:spacing w:after="0" w:line="235" w:lineRule="auto"/>
        <w:tabs>
          <w:tab w:leader="none" w:pos="2593" w:val="left"/>
        </w:tabs>
        <w:numPr>
          <w:ilvl w:val="1"/>
          <w:numId w:val="183"/>
        </w:numPr>
        <w:rPr>
          <w:rFonts w:ascii="Arial" w:cs="Arial" w:eastAsia="Arial" w:hAnsi="Arial"/>
          <w:sz w:val="22"/>
          <w:szCs w:val="22"/>
          <w:color w:val="auto"/>
        </w:rPr>
      </w:pPr>
      <w:r>
        <w:rPr>
          <w:rFonts w:ascii="Arial" w:cs="Arial" w:eastAsia="Arial" w:hAnsi="Arial"/>
          <w:sz w:val="22"/>
          <w:szCs w:val="22"/>
          <w:color w:val="auto"/>
        </w:rPr>
        <w:t>a merger or consolidation effected to implement a recapitalization of Sempra Energy (or similar transaction) in which no Person is or becomes the Beneficial Owner (within the meaning of Rule 13d-3 promulgated under the Exchange Act, directly or indirectly, of securities of Sempra Energy (not including the securities beneficially owned by such Person any securities acquired directly from Sempra Energy or its Affiliates other than in connection with the acquisition by Sempra Energy or its Affiliates of a business) representing twenty percent (20%) or more of the combined voting power of Sempra Energy’s then outstanding securities.</w:t>
      </w:r>
    </w:p>
    <w:p>
      <w:pPr>
        <w:spacing w:after="0" w:line="188" w:lineRule="exact"/>
        <w:rPr>
          <w:rFonts w:ascii="Arial" w:cs="Arial" w:eastAsia="Arial" w:hAnsi="Arial"/>
          <w:sz w:val="22"/>
          <w:szCs w:val="22"/>
          <w:color w:val="auto"/>
        </w:rPr>
      </w:pPr>
    </w:p>
    <w:p>
      <w:pPr>
        <w:jc w:val="both"/>
        <w:ind w:right="20" w:firstLine="1305"/>
        <w:spacing w:after="0" w:line="252" w:lineRule="auto"/>
        <w:tabs>
          <w:tab w:leader="none" w:pos="1945" w:val="left"/>
        </w:tabs>
        <w:numPr>
          <w:ilvl w:val="0"/>
          <w:numId w:val="184"/>
        </w:numPr>
        <w:rPr>
          <w:rFonts w:ascii="Arial" w:cs="Arial" w:eastAsia="Arial" w:hAnsi="Arial"/>
          <w:sz w:val="21"/>
          <w:szCs w:val="21"/>
          <w:color w:val="auto"/>
        </w:rPr>
      </w:pPr>
      <w:r>
        <w:rPr>
          <w:rFonts w:ascii="Arial" w:cs="Arial" w:eastAsia="Arial" w:hAnsi="Arial"/>
          <w:sz w:val="21"/>
          <w:szCs w:val="21"/>
          <w:color w:val="auto"/>
        </w:rPr>
        <w:t>A “</w:t>
      </w:r>
      <w:r>
        <w:rPr>
          <w:rFonts w:ascii="Arial" w:cs="Arial" w:eastAsia="Arial" w:hAnsi="Arial"/>
          <w:sz w:val="21"/>
          <w:szCs w:val="21"/>
          <w:u w:val="single" w:color="auto"/>
          <w:color w:val="auto"/>
        </w:rPr>
        <w:t>change in the ownership of a substantial portion of assets of Sempra Energy</w:t>
      </w:r>
      <w:r>
        <w:rPr>
          <w:rFonts w:ascii="Arial" w:cs="Arial" w:eastAsia="Arial" w:hAnsi="Arial"/>
          <w:sz w:val="21"/>
          <w:szCs w:val="21"/>
          <w:color w:val="auto"/>
        </w:rPr>
        <w:t>” shall not occur under clause (a)(iii) by reason of a sale or disposition by Sempra Energy of the assets of Sempra Energy to an entity, at least sixty percent (60%) of the combined voting power of the voting securities of which are owned by shareholders of Sempra Energy in substantially the same proportions as their ownership of Sempra Energy immediately prior to such sale.</w:t>
      </w:r>
    </w:p>
    <w:p>
      <w:pPr>
        <w:spacing w:after="0" w:line="160" w:lineRule="exact"/>
        <w:rPr>
          <w:rFonts w:ascii="Arial" w:cs="Arial" w:eastAsia="Arial" w:hAnsi="Arial"/>
          <w:sz w:val="21"/>
          <w:szCs w:val="21"/>
          <w:color w:val="auto"/>
        </w:rPr>
      </w:pPr>
    </w:p>
    <w:p>
      <w:pPr>
        <w:ind w:right="120" w:firstLine="1305"/>
        <w:spacing w:after="0" w:line="238" w:lineRule="auto"/>
        <w:tabs>
          <w:tab w:leader="none" w:pos="1945" w:val="left"/>
        </w:tabs>
        <w:numPr>
          <w:ilvl w:val="0"/>
          <w:numId w:val="184"/>
        </w:numPr>
        <w:rPr>
          <w:rFonts w:ascii="Arial" w:cs="Arial" w:eastAsia="Arial" w:hAnsi="Arial"/>
          <w:sz w:val="22"/>
          <w:szCs w:val="22"/>
          <w:color w:val="auto"/>
        </w:rPr>
      </w:pPr>
      <w:r>
        <w:rPr>
          <w:rFonts w:ascii="Arial" w:cs="Arial" w:eastAsia="Arial" w:hAnsi="Arial"/>
          <w:sz w:val="22"/>
          <w:szCs w:val="22"/>
          <w:color w:val="auto"/>
        </w:rPr>
        <w:t>This definition of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be limited to the definition of a “change in control event” relating to Sempra Energy under Treasury Regulation Section 1.409A-3(i)(5). A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only occur if there is a “change in control event” relating to Sempra Energy under Treasury Regulation Section 1.409A-3(i)(5) with respect to the Executive.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 Date</w:t>
      </w:r>
      <w:r>
        <w:rPr>
          <w:rFonts w:ascii="Arial" w:cs="Arial" w:eastAsia="Arial" w:hAnsi="Arial"/>
          <w:sz w:val="22"/>
          <w:szCs w:val="22"/>
          <w:color w:val="auto"/>
        </w:rPr>
        <w:t>” means the date on which a Change in Control occurs.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Compensation Committee</w:t>
      </w:r>
      <w:r>
        <w:rPr>
          <w:rFonts w:ascii="Arial" w:cs="Arial" w:eastAsia="Arial" w:hAnsi="Arial"/>
          <w:sz w:val="22"/>
          <w:szCs w:val="22"/>
          <w:color w:val="auto"/>
        </w:rPr>
        <w:t>” means the compensation committee of the Board.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Consulting Payment</w:t>
      </w:r>
      <w:r>
        <w:rPr>
          <w:rFonts w:ascii="Arial" w:cs="Arial" w:eastAsia="Arial" w:hAnsi="Arial"/>
          <w:sz w:val="22"/>
          <w:szCs w:val="22"/>
          <w:color w:val="auto"/>
        </w:rPr>
        <w:t>” has the meaning assigned thereto in Section 14(d)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Consulting Period</w:t>
      </w:r>
      <w:r>
        <w:rPr>
          <w:rFonts w:ascii="Arial" w:cs="Arial" w:eastAsia="Arial" w:hAnsi="Arial"/>
          <w:sz w:val="22"/>
          <w:szCs w:val="22"/>
          <w:color w:val="auto"/>
        </w:rPr>
        <w:t>” has the meaning assigned thereto in Section 14(e)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Date of Termination</w:t>
      </w:r>
      <w:r>
        <w:rPr>
          <w:rFonts w:ascii="Arial" w:cs="Arial" w:eastAsia="Arial" w:hAnsi="Arial"/>
          <w:sz w:val="22"/>
          <w:szCs w:val="22"/>
          <w:color w:val="auto"/>
        </w:rPr>
        <w:t>” has the meaning assigned thereto in Section 2(b)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Compensation Plan</w:t>
      </w:r>
      <w:r>
        <w:rPr>
          <w:rFonts w:ascii="Arial" w:cs="Arial" w:eastAsia="Arial" w:hAnsi="Arial"/>
          <w:sz w:val="22"/>
          <w:szCs w:val="22"/>
          <w:color w:val="auto"/>
        </w:rPr>
        <w:t>” has the meaning assigned thereto in Section 4(f) hereof.</w:t>
      </w:r>
    </w:p>
    <w:p>
      <w:pPr>
        <w:spacing w:after="0" w:line="206" w:lineRule="exact"/>
        <w:rPr>
          <w:sz w:val="20"/>
          <w:szCs w:val="20"/>
          <w:color w:val="auto"/>
        </w:rPr>
      </w:pPr>
    </w:p>
    <w:p>
      <w:pPr>
        <w:ind w:right="18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xml:space="preserve">” has the meaning set forth in the Company’s long-term disability plan or its successor;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Board may not terminate the Executive’s employment hereunder by reason of Disability unless (i) at the time of</w:t>
      </w:r>
    </w:p>
    <w:p>
      <w:pPr>
        <w:sectPr>
          <w:pgSz w:w="11900" w:h="16838" w:orient="portrait"/>
          <w:cols w:equalWidth="0" w:num="1">
            <w:col w:w="11400"/>
          </w:cols>
          <w:pgMar w:left="240" w:top="118" w:right="259" w:bottom="0" w:gutter="0" w:footer="0" w:header="0"/>
        </w:sectPr>
      </w:pPr>
    </w:p>
    <w:bookmarkStart w:id="133" w:name="page134"/>
    <w:bookmarkEnd w:id="133"/>
    <w:p>
      <w:pPr>
        <w:ind w:right="340"/>
        <w:spacing w:after="0" w:line="251" w:lineRule="auto"/>
        <w:rPr>
          <w:sz w:val="20"/>
          <w:szCs w:val="20"/>
          <w:color w:val="auto"/>
        </w:rPr>
      </w:pPr>
      <w:r>
        <w:rPr>
          <w:rFonts w:ascii="Arial" w:cs="Arial" w:eastAsia="Arial" w:hAnsi="Arial"/>
          <w:sz w:val="22"/>
          <w:szCs w:val="22"/>
          <w:color w:val="auto"/>
        </w:rPr>
        <w:t>such termination there is no reasonable expectation that the Executive will return to work within the next ninety (90) day period and (ii) such termination is permitted by all applicable disability laws.</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means the Securities Exchange Act of 1934, as amended, and the applicable rulings and regulations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thereunder.</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Excise Tax</w:t>
      </w:r>
      <w:r>
        <w:rPr>
          <w:rFonts w:ascii="Arial" w:cs="Arial" w:eastAsia="Arial" w:hAnsi="Arial"/>
          <w:sz w:val="22"/>
          <w:szCs w:val="22"/>
          <w:color w:val="auto"/>
        </w:rPr>
        <w:t>” has the meaning assigned thereto in Section 8(a)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 Reason</w:t>
      </w:r>
      <w:r>
        <w:rPr>
          <w:rFonts w:ascii="Arial" w:cs="Arial" w:eastAsia="Arial" w:hAnsi="Arial"/>
          <w:sz w:val="22"/>
          <w:szCs w:val="22"/>
          <w:color w:val="auto"/>
        </w:rPr>
        <w:t>” means:</w:t>
      </w:r>
    </w:p>
    <w:p>
      <w:pPr>
        <w:spacing w:after="0" w:line="193" w:lineRule="exact"/>
        <w:rPr>
          <w:sz w:val="20"/>
          <w:szCs w:val="20"/>
          <w:color w:val="auto"/>
        </w:rPr>
      </w:pPr>
    </w:p>
    <w:p>
      <w:pPr>
        <w:jc w:val="both"/>
        <w:ind w:right="140" w:firstLine="1305"/>
        <w:spacing w:after="0"/>
        <w:tabs>
          <w:tab w:leader="none" w:pos="1945" w:val="left"/>
        </w:tabs>
        <w:numPr>
          <w:ilvl w:val="0"/>
          <w:numId w:val="185"/>
        </w:numPr>
        <w:rPr>
          <w:rFonts w:ascii="Arial" w:cs="Arial" w:eastAsia="Arial" w:hAnsi="Arial"/>
          <w:sz w:val="22"/>
          <w:szCs w:val="22"/>
          <w:color w:val="auto"/>
        </w:rPr>
      </w:pPr>
      <w:r>
        <w:rPr>
          <w:rFonts w:ascii="Arial" w:cs="Arial" w:eastAsia="Arial" w:hAnsi="Arial"/>
          <w:sz w:val="22"/>
          <w:szCs w:val="22"/>
          <w:color w:val="auto"/>
        </w:rPr>
        <w:t>Prior to a Change in Control, the occurrence of any of the following without the prior written consent of the Executive, unless such act or failure to act is corrected by the Company prior to the Date of Termination specified in the Notice of Termination (as required under Section 2 hereof):</w:t>
      </w:r>
    </w:p>
    <w:p>
      <w:pPr>
        <w:spacing w:after="0" w:line="186" w:lineRule="exact"/>
        <w:rPr>
          <w:rFonts w:ascii="Arial" w:cs="Arial" w:eastAsia="Arial" w:hAnsi="Arial"/>
          <w:sz w:val="22"/>
          <w:szCs w:val="22"/>
          <w:color w:val="auto"/>
        </w:rPr>
      </w:pPr>
    </w:p>
    <w:p>
      <w:pPr>
        <w:jc w:val="both"/>
        <w:ind w:right="400" w:firstLine="1953"/>
        <w:spacing w:after="0"/>
        <w:tabs>
          <w:tab w:leader="none" w:pos="2593" w:val="left"/>
        </w:tabs>
        <w:numPr>
          <w:ilvl w:val="1"/>
          <w:numId w:val="185"/>
        </w:numPr>
        <w:rPr>
          <w:rFonts w:ascii="Arial" w:cs="Arial" w:eastAsia="Arial" w:hAnsi="Arial"/>
          <w:sz w:val="22"/>
          <w:szCs w:val="22"/>
          <w:color w:val="auto"/>
        </w:rPr>
      </w:pPr>
      <w:r>
        <w:rPr>
          <w:rFonts w:ascii="Arial" w:cs="Arial" w:eastAsia="Arial" w:hAnsi="Arial"/>
          <w:sz w:val="22"/>
          <w:szCs w:val="22"/>
          <w:color w:val="auto"/>
        </w:rPr>
        <w:t>the assignment to the Executive of any duties materially inconsistent with the range of duties and responsibilities appropriate to a senior Executive within the Company (such range determined by reference to past, current and reasonable practices within the Company);</w:t>
      </w:r>
    </w:p>
    <w:p>
      <w:pPr>
        <w:spacing w:after="0" w:line="172" w:lineRule="exact"/>
        <w:rPr>
          <w:rFonts w:ascii="Arial" w:cs="Arial" w:eastAsia="Arial" w:hAnsi="Arial"/>
          <w:sz w:val="22"/>
          <w:szCs w:val="22"/>
          <w:color w:val="auto"/>
        </w:rPr>
      </w:pPr>
    </w:p>
    <w:p>
      <w:pPr>
        <w:ind w:right="120" w:firstLine="1953"/>
        <w:spacing w:after="0"/>
        <w:tabs>
          <w:tab w:leader="none" w:pos="2593" w:val="left"/>
        </w:tabs>
        <w:numPr>
          <w:ilvl w:val="1"/>
          <w:numId w:val="185"/>
        </w:numPr>
        <w:rPr>
          <w:rFonts w:ascii="Arial" w:cs="Arial" w:eastAsia="Arial" w:hAnsi="Arial"/>
          <w:sz w:val="22"/>
          <w:szCs w:val="22"/>
          <w:color w:val="auto"/>
        </w:rPr>
      </w:pPr>
      <w:r>
        <w:rPr>
          <w:rFonts w:ascii="Arial" w:cs="Arial" w:eastAsia="Arial" w:hAnsi="Arial"/>
          <w:sz w:val="22"/>
          <w:szCs w:val="22"/>
          <w:color w:val="auto"/>
        </w:rPr>
        <w:t>a material reduction in the Executive’s overall standing and responsibilities within the Company, but not including (A) a mere change in title or (B) a transfer within the Company, which, in the case of both (A) and (B), does not adversely affect the Executive’s overall status within the Company;</w:t>
      </w:r>
    </w:p>
    <w:p>
      <w:pPr>
        <w:spacing w:after="0" w:line="172" w:lineRule="exact"/>
        <w:rPr>
          <w:rFonts w:ascii="Arial" w:cs="Arial" w:eastAsia="Arial" w:hAnsi="Arial"/>
          <w:sz w:val="22"/>
          <w:szCs w:val="22"/>
          <w:color w:val="auto"/>
        </w:rPr>
      </w:pPr>
    </w:p>
    <w:p>
      <w:pPr>
        <w:ind w:right="340" w:firstLine="1953"/>
        <w:spacing w:after="0" w:line="238" w:lineRule="auto"/>
        <w:tabs>
          <w:tab w:leader="none" w:pos="2593" w:val="left"/>
        </w:tabs>
        <w:numPr>
          <w:ilvl w:val="1"/>
          <w:numId w:val="185"/>
        </w:numPr>
        <w:rPr>
          <w:rFonts w:ascii="Arial" w:cs="Arial" w:eastAsia="Arial" w:hAnsi="Arial"/>
          <w:sz w:val="22"/>
          <w:szCs w:val="22"/>
          <w:color w:val="auto"/>
        </w:rPr>
      </w:pPr>
      <w:r>
        <w:rPr>
          <w:rFonts w:ascii="Arial" w:cs="Arial" w:eastAsia="Arial" w:hAnsi="Arial"/>
          <w:sz w:val="22"/>
          <w:szCs w:val="22"/>
          <w:color w:val="auto"/>
        </w:rPr>
        <w:t>a material reduction by the Company in the Executive’s aggregate annualized compensation and benefits opportunities, except for across-the-board reductions (or modifications of benefit plans) similarly affecting all similarly situated executives (both of the Company and of any Person then in control of the Company) of comparable rank with the Executive;</w:t>
      </w:r>
    </w:p>
    <w:p>
      <w:pPr>
        <w:spacing w:after="0" w:line="185" w:lineRule="exact"/>
        <w:rPr>
          <w:rFonts w:ascii="Arial" w:cs="Arial" w:eastAsia="Arial" w:hAnsi="Arial"/>
          <w:sz w:val="22"/>
          <w:szCs w:val="22"/>
          <w:color w:val="auto"/>
        </w:rPr>
      </w:pPr>
    </w:p>
    <w:p>
      <w:pPr>
        <w:ind w:right="80" w:firstLine="1953"/>
        <w:spacing w:after="0"/>
        <w:tabs>
          <w:tab w:leader="none" w:pos="2593" w:val="left"/>
        </w:tabs>
        <w:numPr>
          <w:ilvl w:val="1"/>
          <w:numId w:val="185"/>
        </w:numPr>
        <w:rPr>
          <w:rFonts w:ascii="Arial" w:cs="Arial" w:eastAsia="Arial" w:hAnsi="Arial"/>
          <w:sz w:val="22"/>
          <w:szCs w:val="22"/>
          <w:color w:val="auto"/>
        </w:rPr>
      </w:pPr>
      <w:r>
        <w:rPr>
          <w:rFonts w:ascii="Arial" w:cs="Arial" w:eastAsia="Arial" w:hAnsi="Arial"/>
          <w:sz w:val="22"/>
          <w:szCs w:val="22"/>
          <w:color w:val="auto"/>
        </w:rPr>
        <w:t>the failure by the Company to pay to the Executive any portion of the Executive’s current compensation and benefits or any portion of an installment of deferred compensation under any deferred compensation program of the Company within thirty (30) days of the date such compensation is due;</w:t>
      </w:r>
    </w:p>
    <w:p>
      <w:pPr>
        <w:spacing w:after="0" w:line="172" w:lineRule="exact"/>
        <w:rPr>
          <w:rFonts w:ascii="Arial" w:cs="Arial" w:eastAsia="Arial" w:hAnsi="Arial"/>
          <w:sz w:val="22"/>
          <w:szCs w:val="22"/>
          <w:color w:val="auto"/>
        </w:rPr>
      </w:pPr>
    </w:p>
    <w:p>
      <w:pPr>
        <w:ind w:firstLine="1953"/>
        <w:spacing w:after="0"/>
        <w:tabs>
          <w:tab w:leader="none" w:pos="2593" w:val="left"/>
        </w:tabs>
        <w:numPr>
          <w:ilvl w:val="1"/>
          <w:numId w:val="185"/>
        </w:numPr>
        <w:rPr>
          <w:rFonts w:ascii="Arial" w:cs="Arial" w:eastAsia="Arial" w:hAnsi="Arial"/>
          <w:sz w:val="22"/>
          <w:szCs w:val="22"/>
          <w:color w:val="auto"/>
        </w:rPr>
      </w:pPr>
      <w:r>
        <w:rPr>
          <w:rFonts w:ascii="Arial" w:cs="Arial" w:eastAsia="Arial" w:hAnsi="Arial"/>
          <w:sz w:val="22"/>
          <w:szCs w:val="22"/>
          <w:color w:val="auto"/>
        </w:rPr>
        <w:t>any purported termination of the Executive’s employment that is not effected pursuant to a Notice of Termination satisfying the requirements of Section 3 hereof; for purposes of this Agreement, no such purported termination shall be effective;</w:t>
      </w:r>
    </w:p>
    <w:p>
      <w:pPr>
        <w:spacing w:after="0" w:line="172" w:lineRule="exact"/>
        <w:rPr>
          <w:rFonts w:ascii="Arial" w:cs="Arial" w:eastAsia="Arial" w:hAnsi="Arial"/>
          <w:sz w:val="22"/>
          <w:szCs w:val="22"/>
          <w:color w:val="auto"/>
        </w:rPr>
      </w:pPr>
    </w:p>
    <w:p>
      <w:pPr>
        <w:ind w:left="2600" w:hanging="647"/>
        <w:spacing w:after="0"/>
        <w:tabs>
          <w:tab w:leader="none" w:pos="2600" w:val="left"/>
        </w:tabs>
        <w:numPr>
          <w:ilvl w:val="1"/>
          <w:numId w:val="185"/>
        </w:numPr>
        <w:rPr>
          <w:rFonts w:ascii="Arial" w:cs="Arial" w:eastAsia="Arial" w:hAnsi="Arial"/>
          <w:sz w:val="21"/>
          <w:szCs w:val="21"/>
          <w:color w:val="auto"/>
        </w:rPr>
      </w:pPr>
      <w:r>
        <w:rPr>
          <w:rFonts w:ascii="Arial" w:cs="Arial" w:eastAsia="Arial" w:hAnsi="Arial"/>
          <w:sz w:val="21"/>
          <w:szCs w:val="21"/>
          <w:color w:val="auto"/>
        </w:rPr>
        <w:t>the failure by Sempra Energy to perform its obligations under Section 16(c), (d) or (e) hereof;</w:t>
      </w:r>
    </w:p>
    <w:p>
      <w:pPr>
        <w:spacing w:after="0" w:line="217" w:lineRule="exact"/>
        <w:rPr>
          <w:rFonts w:ascii="Arial" w:cs="Arial" w:eastAsia="Arial" w:hAnsi="Arial"/>
          <w:sz w:val="21"/>
          <w:szCs w:val="21"/>
          <w:color w:val="auto"/>
        </w:rPr>
      </w:pPr>
    </w:p>
    <w:p>
      <w:pPr>
        <w:ind w:right="80" w:firstLine="1953"/>
        <w:spacing w:after="0" w:line="251" w:lineRule="auto"/>
        <w:tabs>
          <w:tab w:leader="none" w:pos="2593" w:val="left"/>
        </w:tabs>
        <w:numPr>
          <w:ilvl w:val="1"/>
          <w:numId w:val="185"/>
        </w:numPr>
        <w:rPr>
          <w:rFonts w:ascii="Arial" w:cs="Arial" w:eastAsia="Arial" w:hAnsi="Arial"/>
          <w:sz w:val="22"/>
          <w:szCs w:val="22"/>
          <w:color w:val="auto"/>
        </w:rPr>
      </w:pPr>
      <w:r>
        <w:rPr>
          <w:rFonts w:ascii="Arial" w:cs="Arial" w:eastAsia="Arial" w:hAnsi="Arial"/>
          <w:sz w:val="22"/>
          <w:szCs w:val="22"/>
          <w:color w:val="auto"/>
        </w:rPr>
        <w:t>the failure by the Company to provide the indemnification and D&amp;O insurance protection Section 10 of this Agreement requires it to provide; or</w:t>
      </w:r>
    </w:p>
    <w:p>
      <w:pPr>
        <w:spacing w:after="0" w:line="159" w:lineRule="exact"/>
        <w:rPr>
          <w:rFonts w:ascii="Arial" w:cs="Arial" w:eastAsia="Arial" w:hAnsi="Arial"/>
          <w:sz w:val="22"/>
          <w:szCs w:val="22"/>
          <w:color w:val="auto"/>
        </w:rPr>
      </w:pPr>
    </w:p>
    <w:p>
      <w:pPr>
        <w:ind w:left="2600" w:hanging="647"/>
        <w:spacing w:after="0"/>
        <w:tabs>
          <w:tab w:leader="none" w:pos="2600" w:val="left"/>
        </w:tabs>
        <w:numPr>
          <w:ilvl w:val="1"/>
          <w:numId w:val="185"/>
        </w:numPr>
        <w:rPr>
          <w:rFonts w:ascii="Arial" w:cs="Arial" w:eastAsia="Arial" w:hAnsi="Arial"/>
          <w:sz w:val="22"/>
          <w:szCs w:val="22"/>
          <w:color w:val="auto"/>
        </w:rPr>
      </w:pPr>
      <w:r>
        <w:rPr>
          <w:rFonts w:ascii="Arial" w:cs="Arial" w:eastAsia="Arial" w:hAnsi="Arial"/>
          <w:sz w:val="22"/>
          <w:szCs w:val="22"/>
          <w:color w:val="auto"/>
        </w:rPr>
        <w:t>the failure by Sempra Energy to comply with any material provision of this Agreement.</w:t>
      </w:r>
    </w:p>
    <w:p>
      <w:pPr>
        <w:spacing w:after="0" w:line="192" w:lineRule="exact"/>
        <w:rPr>
          <w:rFonts w:ascii="Arial" w:cs="Arial" w:eastAsia="Arial" w:hAnsi="Arial"/>
          <w:sz w:val="22"/>
          <w:szCs w:val="22"/>
          <w:color w:val="auto"/>
        </w:rPr>
      </w:pPr>
    </w:p>
    <w:p>
      <w:pPr>
        <w:ind w:right="60" w:firstLine="1305"/>
        <w:spacing w:after="0"/>
        <w:tabs>
          <w:tab w:leader="none" w:pos="1945" w:val="left"/>
        </w:tabs>
        <w:numPr>
          <w:ilvl w:val="0"/>
          <w:numId w:val="185"/>
        </w:numPr>
        <w:rPr>
          <w:rFonts w:ascii="Arial" w:cs="Arial" w:eastAsia="Arial" w:hAnsi="Arial"/>
          <w:sz w:val="22"/>
          <w:szCs w:val="22"/>
          <w:color w:val="auto"/>
        </w:rPr>
      </w:pPr>
      <w:r>
        <w:rPr>
          <w:rFonts w:ascii="Arial" w:cs="Arial" w:eastAsia="Arial" w:hAnsi="Arial"/>
          <w:sz w:val="22"/>
          <w:szCs w:val="22"/>
          <w:color w:val="auto"/>
        </w:rPr>
        <w:t>From and after a Change in Control, the occurrence of any of the following without the prior written consent of the Executive, unless such act or failure to act is corrected by the Company prior to the Date of Termination specified in the Notice of Termination (as required under Section 2 hereof):</w:t>
      </w:r>
    </w:p>
    <w:p>
      <w:pPr>
        <w:spacing w:after="0" w:line="186" w:lineRule="exact"/>
        <w:rPr>
          <w:rFonts w:ascii="Arial" w:cs="Arial" w:eastAsia="Arial" w:hAnsi="Arial"/>
          <w:sz w:val="22"/>
          <w:szCs w:val="22"/>
          <w:color w:val="auto"/>
        </w:rPr>
      </w:pPr>
    </w:p>
    <w:p>
      <w:pPr>
        <w:ind w:right="300" w:firstLine="1953"/>
        <w:spacing w:after="0" w:line="251" w:lineRule="auto"/>
        <w:tabs>
          <w:tab w:leader="none" w:pos="2593" w:val="left"/>
        </w:tabs>
        <w:numPr>
          <w:ilvl w:val="1"/>
          <w:numId w:val="185"/>
        </w:numPr>
        <w:rPr>
          <w:rFonts w:ascii="Arial" w:cs="Arial" w:eastAsia="Arial" w:hAnsi="Arial"/>
          <w:sz w:val="22"/>
          <w:szCs w:val="22"/>
          <w:color w:val="auto"/>
        </w:rPr>
      </w:pPr>
      <w:r>
        <w:rPr>
          <w:rFonts w:ascii="Arial" w:cs="Arial" w:eastAsia="Arial" w:hAnsi="Arial"/>
          <w:sz w:val="22"/>
          <w:szCs w:val="22"/>
          <w:color w:val="auto"/>
        </w:rPr>
        <w:t>an adverse change in the Executive’s title, authority, duties, responsibilities or reporting lines as in effect immediately prior to the Change in Control;</w:t>
      </w:r>
    </w:p>
    <w:p>
      <w:pPr>
        <w:spacing w:after="0" w:line="159" w:lineRule="exact"/>
        <w:rPr>
          <w:rFonts w:ascii="Arial" w:cs="Arial" w:eastAsia="Arial" w:hAnsi="Arial"/>
          <w:sz w:val="22"/>
          <w:szCs w:val="22"/>
          <w:color w:val="auto"/>
        </w:rPr>
      </w:pPr>
    </w:p>
    <w:p>
      <w:pPr>
        <w:ind w:right="60" w:firstLine="1953"/>
        <w:spacing w:after="0" w:line="245" w:lineRule="auto"/>
        <w:tabs>
          <w:tab w:leader="none" w:pos="2593" w:val="left"/>
        </w:tabs>
        <w:numPr>
          <w:ilvl w:val="1"/>
          <w:numId w:val="185"/>
        </w:numPr>
        <w:rPr>
          <w:rFonts w:ascii="Arial" w:cs="Arial" w:eastAsia="Arial" w:hAnsi="Arial"/>
          <w:sz w:val="21"/>
          <w:szCs w:val="21"/>
          <w:color w:val="auto"/>
        </w:rPr>
      </w:pPr>
      <w:r>
        <w:rPr>
          <w:rFonts w:ascii="Arial" w:cs="Arial" w:eastAsia="Arial" w:hAnsi="Arial"/>
          <w:sz w:val="21"/>
          <w:szCs w:val="21"/>
          <w:color w:val="auto"/>
        </w:rPr>
        <w:t>a reduction by the Company in the Executive’s aggregate annualized compensation opportunities, except for across-the-board reductions in base salaries, annual bonus opportunities or long-term incentive compensation opportunities of less than ten percent (10%) similarly affecting all similarly situated executives (both of the Company and of any Person then in control of the Company) of comparable rank with the Executive; or the failure by the Company to continue in effect any material benefit plan in which the Executive participates immediately prior to the Change in Control, unless an equitable arrangement (embodied in an ongoing substitute or alternative plan) has been made with respect to such plan, or the failure by the Company to continue the Executive's participation therein (or in such substitute or alternative plan) on a basis not materially less favorable, both in terms of the amount of benefits provided and the level of the Executive's participation relative to other participants, as existed at the time of the Change in Control;</w:t>
      </w:r>
    </w:p>
    <w:p>
      <w:pPr>
        <w:spacing w:after="0" w:line="171" w:lineRule="exact"/>
        <w:rPr>
          <w:rFonts w:ascii="Arial" w:cs="Arial" w:eastAsia="Arial" w:hAnsi="Arial"/>
          <w:sz w:val="21"/>
          <w:szCs w:val="21"/>
          <w:color w:val="auto"/>
        </w:rPr>
      </w:pPr>
    </w:p>
    <w:p>
      <w:pPr>
        <w:ind w:right="80" w:firstLine="1953"/>
        <w:spacing w:after="0" w:line="234" w:lineRule="auto"/>
        <w:tabs>
          <w:tab w:leader="none" w:pos="2593" w:val="left"/>
        </w:tabs>
        <w:numPr>
          <w:ilvl w:val="1"/>
          <w:numId w:val="185"/>
        </w:numPr>
        <w:rPr>
          <w:rFonts w:ascii="Arial" w:cs="Arial" w:eastAsia="Arial" w:hAnsi="Arial"/>
          <w:sz w:val="22"/>
          <w:szCs w:val="22"/>
          <w:color w:val="auto"/>
        </w:rPr>
      </w:pPr>
      <w:r>
        <w:rPr>
          <w:rFonts w:ascii="Arial" w:cs="Arial" w:eastAsia="Arial" w:hAnsi="Arial"/>
          <w:sz w:val="22"/>
          <w:szCs w:val="22"/>
          <w:color w:val="auto"/>
        </w:rPr>
        <w:t>the relocation of the Executive’s principal place of employment immediately prior to the Change in Control Date (the “</w:t>
      </w:r>
      <w:r>
        <w:rPr>
          <w:rFonts w:ascii="Arial" w:cs="Arial" w:eastAsia="Arial" w:hAnsi="Arial"/>
          <w:sz w:val="22"/>
          <w:szCs w:val="22"/>
          <w:u w:val="single" w:color="auto"/>
          <w:color w:val="auto"/>
        </w:rPr>
        <w:t>Principal Location</w:t>
      </w:r>
      <w:r>
        <w:rPr>
          <w:rFonts w:ascii="Arial" w:cs="Arial" w:eastAsia="Arial" w:hAnsi="Arial"/>
          <w:sz w:val="22"/>
          <w:szCs w:val="22"/>
          <w:color w:val="auto"/>
        </w:rPr>
        <w:t>”) to a location which is both further away from the Executive’s residence and more than thirty (30) miles from such Principal Location, or the Company’s requiring the Executive to be based anywhere other than such Principal Location (or permitted relocation thereof), or a substantial increase in the Executive’s business travel obligations outside of the Southern California area as of the Effective Date other than any such increase that (A) arises in connection with extraordinary business activities of the Company of limited duration and (B) is understood not to be part of the Executive’s regular duties with the Company;</w:t>
      </w:r>
    </w:p>
    <w:p>
      <w:pPr>
        <w:spacing w:after="0" w:line="191" w:lineRule="exact"/>
        <w:rPr>
          <w:rFonts w:ascii="Arial" w:cs="Arial" w:eastAsia="Arial" w:hAnsi="Arial"/>
          <w:sz w:val="22"/>
          <w:szCs w:val="22"/>
          <w:color w:val="auto"/>
        </w:rPr>
      </w:pPr>
    </w:p>
    <w:p>
      <w:pPr>
        <w:ind w:right="80" w:firstLine="1953"/>
        <w:spacing w:after="0"/>
        <w:tabs>
          <w:tab w:leader="none" w:pos="2593" w:val="left"/>
        </w:tabs>
        <w:numPr>
          <w:ilvl w:val="1"/>
          <w:numId w:val="185"/>
        </w:numPr>
        <w:rPr>
          <w:rFonts w:ascii="Arial" w:cs="Arial" w:eastAsia="Arial" w:hAnsi="Arial"/>
          <w:sz w:val="22"/>
          <w:szCs w:val="22"/>
          <w:color w:val="auto"/>
        </w:rPr>
      </w:pPr>
      <w:r>
        <w:rPr>
          <w:rFonts w:ascii="Arial" w:cs="Arial" w:eastAsia="Arial" w:hAnsi="Arial"/>
          <w:sz w:val="22"/>
          <w:szCs w:val="22"/>
          <w:color w:val="auto"/>
        </w:rPr>
        <w:t>the failure by the Company to pay to the Executive any portion of the Executive’s current compensation and benefits or any portion of an installment of deferred compensation under any deferred compensation program of the Company within thirty (30) days of the date such compensation is due;</w:t>
      </w:r>
    </w:p>
    <w:p>
      <w:pPr>
        <w:sectPr>
          <w:pgSz w:w="11900" w:h="16838" w:orient="portrait"/>
          <w:cols w:equalWidth="0" w:num="1">
            <w:col w:w="11400"/>
          </w:cols>
          <w:pgMar w:left="240" w:top="118" w:right="259" w:bottom="0" w:gutter="0" w:footer="0" w:header="0"/>
        </w:sectPr>
      </w:pPr>
    </w:p>
    <w:bookmarkStart w:id="134" w:name="page135"/>
    <w:bookmarkEnd w:id="134"/>
    <w:p>
      <w:pPr>
        <w:ind w:right="20" w:firstLine="1953"/>
        <w:spacing w:after="0" w:line="241" w:lineRule="auto"/>
        <w:tabs>
          <w:tab w:leader="none" w:pos="2593" w:val="left"/>
        </w:tabs>
        <w:numPr>
          <w:ilvl w:val="0"/>
          <w:numId w:val="186"/>
        </w:numPr>
        <w:rPr>
          <w:rFonts w:ascii="Arial" w:cs="Arial" w:eastAsia="Arial" w:hAnsi="Arial"/>
          <w:sz w:val="22"/>
          <w:szCs w:val="22"/>
          <w:color w:val="auto"/>
        </w:rPr>
      </w:pPr>
      <w:r>
        <w:rPr>
          <w:rFonts w:ascii="Arial" w:cs="Arial" w:eastAsia="Arial" w:hAnsi="Arial"/>
          <w:sz w:val="22"/>
          <w:szCs w:val="22"/>
          <w:color w:val="auto"/>
        </w:rPr>
        <w:t>any purported termination of the Executive’s employment that is not effected pursuant to a Notice of Termination satisfying the requirements of Section 3 hereof; for purposes of this Agreement, no such purported termination shall be effective;</w:t>
      </w:r>
    </w:p>
    <w:p>
      <w:pPr>
        <w:spacing w:after="0" w:line="170" w:lineRule="exact"/>
        <w:rPr>
          <w:rFonts w:ascii="Arial" w:cs="Arial" w:eastAsia="Arial" w:hAnsi="Arial"/>
          <w:sz w:val="22"/>
          <w:szCs w:val="22"/>
          <w:color w:val="auto"/>
        </w:rPr>
      </w:pPr>
    </w:p>
    <w:p>
      <w:pPr>
        <w:ind w:left="2600" w:hanging="647"/>
        <w:spacing w:after="0"/>
        <w:tabs>
          <w:tab w:leader="none" w:pos="2600" w:val="left"/>
        </w:tabs>
        <w:numPr>
          <w:ilvl w:val="0"/>
          <w:numId w:val="186"/>
        </w:numPr>
        <w:rPr>
          <w:rFonts w:ascii="Arial" w:cs="Arial" w:eastAsia="Arial" w:hAnsi="Arial"/>
          <w:sz w:val="21"/>
          <w:szCs w:val="21"/>
          <w:color w:val="auto"/>
        </w:rPr>
      </w:pPr>
      <w:r>
        <w:rPr>
          <w:rFonts w:ascii="Arial" w:cs="Arial" w:eastAsia="Arial" w:hAnsi="Arial"/>
          <w:sz w:val="21"/>
          <w:szCs w:val="21"/>
          <w:color w:val="auto"/>
        </w:rPr>
        <w:t>the failure by Sempra Energy to perform its obligations under Section 16(c), (d) or (e) hereof;</w:t>
      </w:r>
    </w:p>
    <w:p>
      <w:pPr>
        <w:spacing w:after="0" w:line="217" w:lineRule="exact"/>
        <w:rPr>
          <w:rFonts w:ascii="Arial" w:cs="Arial" w:eastAsia="Arial" w:hAnsi="Arial"/>
          <w:sz w:val="21"/>
          <w:szCs w:val="21"/>
          <w:color w:val="auto"/>
        </w:rPr>
      </w:pPr>
    </w:p>
    <w:p>
      <w:pPr>
        <w:ind w:right="100" w:firstLine="1953"/>
        <w:spacing w:after="0" w:line="251" w:lineRule="auto"/>
        <w:tabs>
          <w:tab w:leader="none" w:pos="2593"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failure by the Company to provide the indemnification and D&amp;O insurance protection Section 10 of this Agreement requires it to provide; or</w:t>
      </w:r>
    </w:p>
    <w:p>
      <w:pPr>
        <w:spacing w:after="0" w:line="159" w:lineRule="exact"/>
        <w:rPr>
          <w:rFonts w:ascii="Arial" w:cs="Arial" w:eastAsia="Arial" w:hAnsi="Arial"/>
          <w:sz w:val="22"/>
          <w:szCs w:val="22"/>
          <w:color w:val="auto"/>
        </w:rPr>
      </w:pPr>
    </w:p>
    <w:p>
      <w:pPr>
        <w:ind w:left="2600" w:hanging="647"/>
        <w:spacing w:after="0"/>
        <w:tabs>
          <w:tab w:leader="none" w:pos="260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failure by Sempra Energy to comply with any material provision of this Agreement.</w:t>
      </w:r>
    </w:p>
    <w:p>
      <w:pPr>
        <w:spacing w:after="0" w:line="206" w:lineRule="exact"/>
        <w:rPr>
          <w:sz w:val="20"/>
          <w:szCs w:val="20"/>
          <w:color w:val="auto"/>
        </w:rPr>
      </w:pPr>
    </w:p>
    <w:p>
      <w:pPr>
        <w:ind w:firstLine="1297"/>
        <w:spacing w:after="0" w:line="282" w:lineRule="auto"/>
        <w:rPr>
          <w:sz w:val="20"/>
          <w:szCs w:val="20"/>
          <w:color w:val="auto"/>
        </w:rPr>
      </w:pPr>
      <w:r>
        <w:rPr>
          <w:rFonts w:ascii="Arial" w:cs="Arial" w:eastAsia="Arial" w:hAnsi="Arial"/>
          <w:sz w:val="19"/>
          <w:szCs w:val="19"/>
          <w:color w:val="auto"/>
        </w:rPr>
        <w:t>Following a Change in Control, the Executive’s determination that an act or failure to act constitutes Good Reason shall be presumed to be valid unless such determination is deemed to be unreasonable by an arbitrator pursuant to the procedure described in Section 13 hereof. The Executive’s right to terminate the Executive’s employment for Good Reason shall not be affected by the Executive’s incapacity due to physical or mental illness. The Executive’s continued employment shall not constitute consent to, or a waiver of rights with respect to, any act or failure to act constituting Good Reason hereunder.</w:t>
      </w:r>
    </w:p>
    <w:p>
      <w:pPr>
        <w:spacing w:after="0" w:line="148" w:lineRule="exact"/>
        <w:rPr>
          <w:sz w:val="20"/>
          <w:szCs w:val="20"/>
          <w:color w:val="auto"/>
        </w:rPr>
      </w:pPr>
    </w:p>
    <w:p>
      <w:pPr>
        <w:ind w:right="70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Incentive Compensation Awards</w:t>
      </w:r>
      <w:r>
        <w:rPr>
          <w:rFonts w:ascii="Arial" w:cs="Arial" w:eastAsia="Arial" w:hAnsi="Arial"/>
          <w:sz w:val="19"/>
          <w:szCs w:val="19"/>
          <w:color w:val="auto"/>
        </w:rPr>
        <w:t>” means awards granted under Incentive Compensation Plans providing the Executive with the opportunity to earn, on a year-by-year basis, annual and long-term incentive compensation.</w:t>
      </w:r>
    </w:p>
    <w:p>
      <w:pPr>
        <w:spacing w:after="0" w:line="105"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Incentive Compensation Plans</w:t>
      </w:r>
      <w:r>
        <w:rPr>
          <w:rFonts w:ascii="Arial" w:cs="Arial" w:eastAsia="Arial" w:hAnsi="Arial"/>
          <w:sz w:val="22"/>
          <w:szCs w:val="22"/>
          <w:color w:val="auto"/>
        </w:rPr>
        <w:t>” means annual incentive compensation plans and long-term incentive compensation plans of the Company, which long-term incentive compensation plans may include plans offering stock options, restricted stock and other long-term incentive compensation.</w:t>
      </w:r>
    </w:p>
    <w:p>
      <w:pPr>
        <w:spacing w:after="0" w:line="186" w:lineRule="exact"/>
        <w:rPr>
          <w:sz w:val="20"/>
          <w:szCs w:val="20"/>
          <w:color w:val="auto"/>
        </w:rPr>
      </w:pPr>
    </w:p>
    <w:p>
      <w:pPr>
        <w:ind w:right="4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Involuntary Termination</w:t>
      </w:r>
      <w:r>
        <w:rPr>
          <w:rFonts w:ascii="Arial" w:cs="Arial" w:eastAsia="Arial" w:hAnsi="Arial"/>
          <w:sz w:val="22"/>
          <w:szCs w:val="22"/>
          <w:color w:val="auto"/>
        </w:rPr>
        <w:t>” means (a) the Executive’s Separation from Service by reason other than for Cause, death, Disability or Mandatory Retirement, or (b) the Executive’s Separation from Service by reason of resignation of employment for Good Reason.</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JAMS Rules</w:t>
      </w:r>
      <w:r>
        <w:rPr>
          <w:rFonts w:ascii="Arial" w:cs="Arial" w:eastAsia="Arial" w:hAnsi="Arial"/>
          <w:sz w:val="22"/>
          <w:szCs w:val="22"/>
          <w:color w:val="auto"/>
        </w:rPr>
        <w:t>” has the meaning assigned thereto in Section 13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Mandatory Retirement</w:t>
      </w:r>
      <w:r>
        <w:rPr>
          <w:rFonts w:ascii="Arial" w:cs="Arial" w:eastAsia="Arial" w:hAnsi="Arial"/>
          <w:sz w:val="19"/>
          <w:szCs w:val="19"/>
          <w:color w:val="auto"/>
        </w:rPr>
        <w:t>” means termination of employment pursuant to the Company’s mandatory retirement policy.</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Termination</w:t>
      </w:r>
      <w:r>
        <w:rPr>
          <w:rFonts w:ascii="Arial" w:cs="Arial" w:eastAsia="Arial" w:hAnsi="Arial"/>
          <w:sz w:val="22"/>
          <w:szCs w:val="22"/>
          <w:color w:val="auto"/>
        </w:rPr>
        <w:t>” has the meaning assigned thereto in Section 2(a)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w:t>
      </w:r>
      <w:r>
        <w:rPr>
          <w:rFonts w:ascii="Arial" w:cs="Arial" w:eastAsia="Arial" w:hAnsi="Arial"/>
          <w:sz w:val="22"/>
          <w:szCs w:val="22"/>
          <w:color w:val="auto"/>
        </w:rPr>
        <w:t>” has the meaning assigned thereto in Section 8(a)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in Lieu of Notice</w:t>
      </w:r>
      <w:r>
        <w:rPr>
          <w:rFonts w:ascii="Arial" w:cs="Arial" w:eastAsia="Arial" w:hAnsi="Arial"/>
          <w:sz w:val="22"/>
          <w:szCs w:val="22"/>
          <w:color w:val="auto"/>
        </w:rPr>
        <w:t>” has the meaning assigned thereto in Section 2(b) hereof.</w:t>
      </w:r>
    </w:p>
    <w:p>
      <w:pPr>
        <w:spacing w:after="0" w:line="206" w:lineRule="exact"/>
        <w:rPr>
          <w:sz w:val="20"/>
          <w:szCs w:val="20"/>
          <w:color w:val="auto"/>
        </w:rPr>
      </w:pPr>
    </w:p>
    <w:p>
      <w:pPr>
        <w:ind w:right="160" w:firstLine="12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has the meaning set forth in section 3(a)(9) of the Exchange Act, as modified and used in sections 13(d) and 14(d) thereof, except that such term shall not include (i) the Company or any of its Affiliates, (ii) a trustee or other fiduciary holding securities under an employee benefit plan of the Company or any of its Affiliates, (iii) an underwriter temporarily holding securities pursuant to an offering of such securities, (iv) a corporation owned, directly or indirectly, by the shareholders of the Company in substantially the same proportions as their ownership of stock of the Company, or (v) a person or group as used in Rule 13d-1(b) promulgated under the Exchange Act.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Post-Change in Control Severance Payment</w:t>
      </w:r>
      <w:r>
        <w:rPr>
          <w:rFonts w:ascii="Arial" w:cs="Arial" w:eastAsia="Arial" w:hAnsi="Arial"/>
          <w:sz w:val="22"/>
          <w:szCs w:val="22"/>
          <w:color w:val="auto"/>
        </w:rPr>
        <w:t>” has the meaning assigned thereto in Section 5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Pre-Change in Control Severance Payment</w:t>
      </w:r>
      <w:r>
        <w:rPr>
          <w:rFonts w:ascii="Arial" w:cs="Arial" w:eastAsia="Arial" w:hAnsi="Arial"/>
          <w:sz w:val="22"/>
          <w:szCs w:val="22"/>
          <w:color w:val="auto"/>
        </w:rPr>
        <w:t>” has the meaning assigned thereto in Section 4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Principal Location</w:t>
      </w:r>
      <w:r>
        <w:rPr>
          <w:rFonts w:ascii="Arial" w:cs="Arial" w:eastAsia="Arial" w:hAnsi="Arial"/>
          <w:sz w:val="19"/>
          <w:szCs w:val="19"/>
          <w:color w:val="auto"/>
        </w:rPr>
        <w:t>” has the meaning assigned thereto in clause (b)(iii) of the definition of Good Reason, above.</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Proprietary Information</w:t>
      </w:r>
      <w:r>
        <w:rPr>
          <w:rFonts w:ascii="Arial" w:cs="Arial" w:eastAsia="Arial" w:hAnsi="Arial"/>
          <w:sz w:val="22"/>
          <w:szCs w:val="22"/>
          <w:color w:val="auto"/>
        </w:rPr>
        <w:t>” has the meaning assigned thereto in Section 14(a)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 Rata Bonus</w:t>
      </w:r>
      <w:r>
        <w:rPr>
          <w:rFonts w:ascii="Arial" w:cs="Arial" w:eastAsia="Arial" w:hAnsi="Arial"/>
          <w:sz w:val="22"/>
          <w:szCs w:val="22"/>
          <w:color w:val="auto"/>
        </w:rPr>
        <w:t>” has the meaning assigned thereto in Section 5(b).</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has the meaning assigned thereto in Section 4 hereof.</w:t>
      </w:r>
    </w:p>
    <w:p>
      <w:pPr>
        <w:spacing w:after="0" w:line="206" w:lineRule="exact"/>
        <w:rPr>
          <w:sz w:val="20"/>
          <w:szCs w:val="20"/>
          <w:color w:val="auto"/>
        </w:rPr>
      </w:pPr>
    </w:p>
    <w:p>
      <w:pPr>
        <w:ind w:right="200" w:firstLine="129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Section 409A Payments</w:t>
      </w:r>
      <w:r>
        <w:rPr>
          <w:rFonts w:ascii="Arial" w:cs="Arial" w:eastAsia="Arial" w:hAnsi="Arial"/>
          <w:sz w:val="21"/>
          <w:szCs w:val="21"/>
          <w:color w:val="auto"/>
        </w:rPr>
        <w:t>” means any of the following: (a) the Payment in Lieu of Notice; (b) the Pre-Change in Control Severance Payment; (c) the Post-Change in Control Severance Payment; (d) the Pro Rata Bonus; (e) the Consulting Payment; (f) the financial planning services and the related payments provided under Sections 4(e) and 5(f); (g) the legal fees and expenses reimbursed under Section 15; and (h) any other payment that the Company determines in its sole discretion is subject to Section 409A of the Code as non-qualified deferred compensation.</w:t>
      </w:r>
    </w:p>
    <w:p>
      <w:pPr>
        <w:spacing w:after="0" w:line="179" w:lineRule="exact"/>
        <w:rPr>
          <w:sz w:val="20"/>
          <w:szCs w:val="20"/>
          <w:color w:val="auto"/>
        </w:rPr>
      </w:pPr>
    </w:p>
    <w:p>
      <w:pPr>
        <w:ind w:right="66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Sempra Energy Control Group</w:t>
      </w:r>
      <w:r>
        <w:rPr>
          <w:rFonts w:ascii="Arial" w:cs="Arial" w:eastAsia="Arial" w:hAnsi="Arial"/>
          <w:sz w:val="19"/>
          <w:szCs w:val="19"/>
          <w:color w:val="auto"/>
        </w:rPr>
        <w:t>” means Sempra Energy and all persons with whom Sempra Energy would be considered a single employer under Section 414(b) or 414(c) of the Code, as determined from time to time.</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Separation from Service</w:t>
      </w:r>
      <w:r>
        <w:rPr>
          <w:rFonts w:ascii="Arial" w:cs="Arial" w:eastAsia="Arial" w:hAnsi="Arial"/>
          <w:sz w:val="22"/>
          <w:szCs w:val="22"/>
          <w:color w:val="auto"/>
        </w:rPr>
        <w:t>” has the meaning set forth in Treasury Regulation Section 1.409A-1(h).</w:t>
      </w:r>
    </w:p>
    <w:p>
      <w:pPr>
        <w:spacing w:after="0" w:line="206" w:lineRule="exact"/>
        <w:rPr>
          <w:sz w:val="20"/>
          <w:szCs w:val="20"/>
          <w:color w:val="auto"/>
        </w:rPr>
      </w:pPr>
    </w:p>
    <w:p>
      <w:pPr>
        <w:ind w:right="2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Employee</w:t>
      </w:r>
      <w:r>
        <w:rPr>
          <w:rFonts w:ascii="Arial" w:cs="Arial" w:eastAsia="Arial" w:hAnsi="Arial"/>
          <w:sz w:val="22"/>
          <w:szCs w:val="22"/>
          <w:color w:val="auto"/>
        </w:rPr>
        <w:t>” shall be determined in accordance with Section 409A(a)(2)(B)(i) of the Code and Treasury Regulation Section 1.409A-1(i).</w:t>
      </w:r>
    </w:p>
    <w:p>
      <w:pPr>
        <w:sectPr>
          <w:pgSz w:w="11900" w:h="16838" w:orient="portrait"/>
          <w:cols w:equalWidth="0" w:num="1">
            <w:col w:w="11420"/>
          </w:cols>
          <w:pgMar w:left="240" w:top="118" w:right="239" w:bottom="0" w:gutter="0" w:footer="0" w:header="0"/>
        </w:sectPr>
      </w:pPr>
    </w:p>
    <w:bookmarkStart w:id="135" w:name="page136"/>
    <w:bookmarkEnd w:id="135"/>
    <w:p>
      <w:pPr>
        <w:spacing w:after="0" w:line="11" w:lineRule="exact"/>
        <w:rPr>
          <w:sz w:val="20"/>
          <w:szCs w:val="20"/>
          <w:color w:val="auto"/>
        </w:rPr>
      </w:pPr>
    </w:p>
    <w:p>
      <w:pPr>
        <w:ind w:right="60" w:firstLine="1297"/>
        <w:spacing w:after="0" w:line="251" w:lineRule="auto"/>
        <w:rPr>
          <w:sz w:val="20"/>
          <w:szCs w:val="20"/>
          <w:color w:val="auto"/>
        </w:rPr>
      </w:pPr>
      <w:r>
        <w:rPr>
          <w:rFonts w:ascii="Arial" w:cs="Arial" w:eastAsia="Arial" w:hAnsi="Arial"/>
          <w:sz w:val="22"/>
          <w:szCs w:val="22"/>
          <w:color w:val="auto"/>
        </w:rPr>
        <w:t>For purposes of this Agreement, references to any “</w:t>
      </w:r>
      <w:r>
        <w:rPr>
          <w:rFonts w:ascii="Arial" w:cs="Arial" w:eastAsia="Arial" w:hAnsi="Arial"/>
          <w:sz w:val="22"/>
          <w:szCs w:val="22"/>
          <w:u w:val="single" w:color="auto"/>
          <w:color w:val="auto"/>
        </w:rPr>
        <w:t>Treasury Regulation</w:t>
      </w:r>
      <w:r>
        <w:rPr>
          <w:rFonts w:ascii="Arial" w:cs="Arial" w:eastAsia="Arial" w:hAnsi="Arial"/>
          <w:sz w:val="22"/>
          <w:szCs w:val="22"/>
          <w:color w:val="auto"/>
        </w:rPr>
        <w:t>” shall mean such Treasury Regulation as in effect on the date hereof.</w:t>
      </w:r>
    </w:p>
    <w:p>
      <w:pPr>
        <w:spacing w:after="0" w:line="16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19"/>
          <w:szCs w:val="19"/>
          <w:u w:val="single" w:color="auto"/>
          <w:color w:val="auto"/>
        </w:rPr>
        <w:t>Notice and Date of Termination</w:t>
      </w:r>
      <w:r>
        <w:rPr>
          <w:rFonts w:ascii="Arial" w:cs="Arial" w:eastAsia="Arial" w:hAnsi="Arial"/>
          <w:sz w:val="19"/>
          <w:szCs w:val="19"/>
          <w:color w:val="auto"/>
        </w:rPr>
        <w:t>.</w:t>
      </w:r>
    </w:p>
    <w:p>
      <w:pPr>
        <w:spacing w:after="0" w:line="206" w:lineRule="exact"/>
        <w:rPr>
          <w:sz w:val="20"/>
          <w:szCs w:val="20"/>
          <w:color w:val="auto"/>
        </w:rPr>
      </w:pPr>
    </w:p>
    <w:p>
      <w:pPr>
        <w:ind w:firstLine="1305"/>
        <w:spacing w:after="0" w:line="279" w:lineRule="auto"/>
        <w:tabs>
          <w:tab w:leader="none" w:pos="1945" w:val="left"/>
        </w:tabs>
        <w:numPr>
          <w:ilvl w:val="0"/>
          <w:numId w:val="187"/>
        </w:numPr>
        <w:rPr>
          <w:rFonts w:ascii="Arial" w:cs="Arial" w:eastAsia="Arial" w:hAnsi="Arial"/>
          <w:sz w:val="19"/>
          <w:szCs w:val="19"/>
          <w:color w:val="auto"/>
        </w:rPr>
      </w:pPr>
      <w:r>
        <w:rPr>
          <w:rFonts w:ascii="Arial" w:cs="Arial" w:eastAsia="Arial" w:hAnsi="Arial"/>
          <w:sz w:val="19"/>
          <w:szCs w:val="19"/>
          <w:color w:val="auto"/>
        </w:rPr>
        <w:t>Any termination of the Executive’s employment by the Company or by the Executive shall be communicated by a written notice of termination to the other party (the “</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Where applicable, the Notice of Termination shall indicate the specific termination provision in this Agreement relied upon and shall set forth in reasonable detail the facts and circumstances claimed to provide a basis for termination of the Executive’s employment under the provision so indicated. Unless the Board determines otherwise, a Notice of Termination by the Executive alleging a termination for Good Reason must be made within 180 days of the act or failure to act that the Executive alleges to constitute Good Reason.</w:t>
      </w:r>
    </w:p>
    <w:p>
      <w:pPr>
        <w:spacing w:after="0" w:line="137" w:lineRule="exact"/>
        <w:rPr>
          <w:rFonts w:ascii="Arial" w:cs="Arial" w:eastAsia="Arial" w:hAnsi="Arial"/>
          <w:sz w:val="19"/>
          <w:szCs w:val="19"/>
          <w:color w:val="auto"/>
        </w:rPr>
      </w:pPr>
    </w:p>
    <w:p>
      <w:pPr>
        <w:ind w:right="20" w:firstLine="1305"/>
        <w:spacing w:after="0" w:line="273" w:lineRule="auto"/>
        <w:tabs>
          <w:tab w:leader="none" w:pos="1945"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The date of the Executive’s termination of employment with the Company (the “</w:t>
      </w:r>
      <w:r>
        <w:rPr>
          <w:rFonts w:ascii="Arial" w:cs="Arial" w:eastAsia="Arial" w:hAnsi="Arial"/>
          <w:sz w:val="19"/>
          <w:szCs w:val="19"/>
          <w:u w:val="single" w:color="auto"/>
          <w:color w:val="auto"/>
        </w:rPr>
        <w:t>Date of Termination</w:t>
      </w:r>
      <w:r>
        <w:rPr>
          <w:rFonts w:ascii="Arial" w:cs="Arial" w:eastAsia="Arial" w:hAnsi="Arial"/>
          <w:sz w:val="19"/>
          <w:szCs w:val="19"/>
          <w:color w:val="auto"/>
        </w:rPr>
        <w:t>”) shall be determined as follows: (i) if the Executive’s Separation from Service is at the volition of the Company, then the Date of Termination shall be the date specified in the Notice of Termination (which, in the case of a termination by the Company other than for Cause, shall not be less than two (2) weeks from the date such Notice of Termination is given unless the Company elects to pay the Executive, in addition to any other amounts payable hereunder, an amount (the “</w:t>
      </w:r>
      <w:r>
        <w:rPr>
          <w:rFonts w:ascii="Arial" w:cs="Arial" w:eastAsia="Arial" w:hAnsi="Arial"/>
          <w:sz w:val="19"/>
          <w:szCs w:val="19"/>
          <w:u w:val="single" w:color="auto"/>
          <w:color w:val="auto"/>
        </w:rPr>
        <w:t>Payment in Lieu of Notice</w:t>
      </w:r>
      <w:r>
        <w:rPr>
          <w:rFonts w:ascii="Arial" w:cs="Arial" w:eastAsia="Arial" w:hAnsi="Arial"/>
          <w:sz w:val="19"/>
          <w:szCs w:val="19"/>
          <w:color w:val="auto"/>
        </w:rPr>
        <w:t xml:space="preserve">”) equal to two (2) weeks of the Executive’s Annual Base Salary in effect on the Date of Termination), and (ii) if the Executive’s Separation from Service is by the Executive for Good Reason, the Date of Termination shall be determined by the Executive and specified in the Notice of Termination, but in no event less than fifteen (15) days nor more than sixty (60) days after the date such Notice of Termination is given. The Payment in Lieu of Notice shall be paid on such date as is required by law, but no later than thirty (30) days after the date of the Executive’s Separation from Service;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Executive is a Specified Employee on the date of his or her Separation from Service, such Payment in Lieu of Notice shall be paid as provided in Section 9 hereof.</w:t>
      </w:r>
    </w:p>
    <w:p>
      <w:pPr>
        <w:spacing w:after="0" w:line="143" w:lineRule="exact"/>
        <w:rPr>
          <w:sz w:val="20"/>
          <w:szCs w:val="20"/>
          <w:color w:val="auto"/>
        </w:rPr>
      </w:pPr>
    </w:p>
    <w:p>
      <w:pPr>
        <w:ind w:right="140" w:firstLine="1297"/>
        <w:spacing w:after="0" w:line="297" w:lineRule="auto"/>
        <w:rPr>
          <w:sz w:val="20"/>
          <w:szCs w:val="20"/>
          <w:color w:val="auto"/>
        </w:rPr>
      </w:pPr>
      <w:r>
        <w:rPr>
          <w:rFonts w:ascii="Arial" w:cs="Arial" w:eastAsia="Arial" w:hAnsi="Arial"/>
          <w:sz w:val="19"/>
          <w:szCs w:val="19"/>
          <w:b w:val="1"/>
          <w:bCs w:val="1"/>
          <w:color w:val="auto"/>
        </w:rPr>
        <w:t xml:space="preserve">Section 3. </w:t>
      </w:r>
      <w:r>
        <w:rPr>
          <w:rFonts w:ascii="Arial" w:cs="Arial" w:eastAsia="Arial" w:hAnsi="Arial"/>
          <w:sz w:val="19"/>
          <w:szCs w:val="19"/>
          <w:u w:val="single" w:color="auto"/>
          <w:color w:val="auto"/>
        </w:rPr>
        <w:t>Termination from the Board</w:t>
      </w:r>
      <w:r>
        <w:rPr>
          <w:rFonts w:ascii="Arial" w:cs="Arial" w:eastAsia="Arial" w:hAnsi="Arial"/>
          <w:sz w:val="19"/>
          <w:szCs w:val="19"/>
          <w:color w:val="auto"/>
        </w:rPr>
        <w:t>. Upon the termination of the Executive’s employment for any reason,</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Executive’s membership on the Board, the board of directors of any of the Company’s Affiliates, any committees of the Board and any committees of the board of directors of any of the Company’s Affiliates, if applicable, shall be automatically terminated.</w:t>
      </w:r>
    </w:p>
    <w:p>
      <w:pPr>
        <w:spacing w:after="0" w:line="128" w:lineRule="exact"/>
        <w:rPr>
          <w:sz w:val="20"/>
          <w:szCs w:val="20"/>
          <w:color w:val="auto"/>
        </w:rPr>
      </w:pPr>
    </w:p>
    <w:p>
      <w:pPr>
        <w:ind w:firstLine="1297"/>
        <w:spacing w:after="0" w:line="271" w:lineRule="auto"/>
        <w:rPr>
          <w:sz w:val="20"/>
          <w:szCs w:val="20"/>
          <w:color w:val="auto"/>
        </w:rPr>
      </w:pPr>
      <w:r>
        <w:rPr>
          <w:rFonts w:ascii="Arial" w:cs="Arial" w:eastAsia="Arial" w:hAnsi="Arial"/>
          <w:sz w:val="19"/>
          <w:szCs w:val="19"/>
          <w:b w:val="1"/>
          <w:bCs w:val="1"/>
          <w:color w:val="auto"/>
        </w:rPr>
        <w:t xml:space="preserve">Section 4. </w:t>
      </w:r>
      <w:r>
        <w:rPr>
          <w:rFonts w:ascii="Arial" w:cs="Arial" w:eastAsia="Arial" w:hAnsi="Arial"/>
          <w:sz w:val="19"/>
          <w:szCs w:val="19"/>
          <w:u w:val="single" w:color="auto"/>
          <w:color w:val="auto"/>
        </w:rPr>
        <w:t>Severance Benefits upon Involuntary Termination Prior to Change in Control</w:t>
      </w:r>
      <w:r>
        <w:rPr>
          <w:rFonts w:ascii="Arial" w:cs="Arial" w:eastAsia="Arial" w:hAnsi="Arial"/>
          <w:sz w:val="19"/>
          <w:szCs w:val="19"/>
          <w:color w:val="auto"/>
        </w:rPr>
        <w:t>. Except as provided in</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5(g) and Section 19(i) hereof, in the event of the Involuntary Termination of the Executive prior to a Change in Control, the Company shall pay the Executive, in one lump sum cash payment, an amount (the “</w:t>
      </w:r>
      <w:r>
        <w:rPr>
          <w:rFonts w:ascii="Arial" w:cs="Arial" w:eastAsia="Arial" w:hAnsi="Arial"/>
          <w:sz w:val="19"/>
          <w:szCs w:val="19"/>
          <w:u w:val="single" w:color="auto"/>
          <w:color w:val="auto"/>
        </w:rPr>
        <w:t>Pre-Change in Control Severance Payment</w:t>
      </w:r>
      <w:r>
        <w:rPr>
          <w:rFonts w:ascii="Arial" w:cs="Arial" w:eastAsia="Arial" w:hAnsi="Arial"/>
          <w:sz w:val="19"/>
          <w:szCs w:val="19"/>
          <w:color w:val="auto"/>
        </w:rPr>
        <w:t>”) equal to one-half (0.5) times the greater of: (X) 145% of the Executive’s Annual Base Salary as in effect on the Date of Termination, and (Y) the Executive’s Annual Base Salary as in effect on the Date of Termination, plus the Executive’s Average Annual Bonus. In addition to the Pre-Change in Control Severance Payment, the Executive shall be entitled to the following additional benefits specified in subsections (a) through (e). The Company's obligation to pay the Pre-Change in Control Severance Payment or provide the benefits set forth in subsections (c), (d) and (e) are subject to and conditioned upon the Executive executing a release (the “</w:t>
      </w: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of all claims substantially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within fifty (50) days after the date of Involuntary Termination and Executive not revoking such Release in accordance with the terms thereof. Except as provided in Section 4(f), the Pre-Change in Control Severance Payment shall be paid on such date as is determined by the Company within sixty (60) days after the date of the Involuntary Termination; but not before the Release becomes effective and irrevocable. If the fifty (50) day period in which the Release could become effective spans more than one taxable year, then the Pre-Change in Control Severance Payment shall not be made until the later taxable year. Notwithstanding the foregoing, if the Executive is a Specified Employee on the date of the Executive’s Involuntary Termination, the Pre-Change in Control Severance Payment and the financial planning services and the related payments provided under Section 4(e) shall be paid as provided in Section 9 hereof.</w:t>
      </w:r>
    </w:p>
    <w:p>
      <w:pPr>
        <w:spacing w:after="0" w:line="151" w:lineRule="exact"/>
        <w:rPr>
          <w:sz w:val="20"/>
          <w:szCs w:val="20"/>
          <w:color w:val="auto"/>
        </w:rPr>
      </w:pPr>
    </w:p>
    <w:p>
      <w:pPr>
        <w:ind w:right="720" w:firstLine="1305"/>
        <w:spacing w:after="0" w:line="251" w:lineRule="auto"/>
        <w:tabs>
          <w:tab w:leader="none" w:pos="1945" w:val="left"/>
        </w:tabs>
        <w:numPr>
          <w:ilvl w:val="0"/>
          <w:numId w:val="188"/>
        </w:numPr>
        <w:rPr>
          <w:rFonts w:ascii="Arial" w:cs="Arial" w:eastAsia="Arial" w:hAnsi="Arial"/>
          <w:sz w:val="22"/>
          <w:szCs w:val="22"/>
          <w:color w:val="auto"/>
        </w:rPr>
      </w:pPr>
      <w:r>
        <w:rPr>
          <w:rFonts w:ascii="Arial" w:cs="Arial" w:eastAsia="Arial" w:hAnsi="Arial"/>
          <w:sz w:val="22"/>
          <w:szCs w:val="22"/>
          <w:u w:val="single" w:color="auto"/>
          <w:color w:val="auto"/>
        </w:rPr>
        <w:t>Accrued Obligations</w:t>
      </w:r>
      <w:r>
        <w:rPr>
          <w:rFonts w:ascii="Arial" w:cs="Arial" w:eastAsia="Arial" w:hAnsi="Arial"/>
          <w:sz w:val="22"/>
          <w:szCs w:val="22"/>
          <w:color w:val="auto"/>
        </w:rPr>
        <w:t>. The Company shall pay the Executive a lump sum amount in cash equal to the Accrued Obligations within the time required by law.</w:t>
      </w:r>
    </w:p>
    <w:p>
      <w:pPr>
        <w:spacing w:after="0" w:line="159" w:lineRule="exact"/>
        <w:rPr>
          <w:rFonts w:ascii="Arial" w:cs="Arial" w:eastAsia="Arial" w:hAnsi="Arial"/>
          <w:sz w:val="22"/>
          <w:szCs w:val="22"/>
          <w:color w:val="auto"/>
        </w:rPr>
      </w:pPr>
    </w:p>
    <w:p>
      <w:pPr>
        <w:ind w:right="80" w:firstLine="1305"/>
        <w:spacing w:after="0" w:line="251" w:lineRule="auto"/>
        <w:tabs>
          <w:tab w:leader="none" w:pos="1945" w:val="left"/>
        </w:tabs>
        <w:numPr>
          <w:ilvl w:val="0"/>
          <w:numId w:val="188"/>
        </w:numPr>
        <w:rPr>
          <w:rFonts w:ascii="Arial" w:cs="Arial" w:eastAsia="Arial" w:hAnsi="Arial"/>
          <w:sz w:val="22"/>
          <w:szCs w:val="22"/>
          <w:color w:val="auto"/>
        </w:rPr>
      </w:pPr>
      <w:r>
        <w:rPr>
          <w:rFonts w:ascii="Arial" w:cs="Arial" w:eastAsia="Arial" w:hAnsi="Arial"/>
          <w:sz w:val="22"/>
          <w:szCs w:val="22"/>
          <w:u w:val="single" w:color="auto"/>
          <w:color w:val="auto"/>
        </w:rPr>
        <w:t>Equity Based Compensation</w:t>
      </w:r>
      <w:r>
        <w:rPr>
          <w:rFonts w:ascii="Arial" w:cs="Arial" w:eastAsia="Arial" w:hAnsi="Arial"/>
          <w:sz w:val="22"/>
          <w:szCs w:val="22"/>
          <w:color w:val="auto"/>
        </w:rPr>
        <w:t>. The Executive shall retain all rights to any equity-based compensation awards to the extent set forth in the applicable plan and/or award agreement.</w:t>
      </w:r>
    </w:p>
    <w:p>
      <w:pPr>
        <w:spacing w:after="0" w:line="173" w:lineRule="exact"/>
        <w:rPr>
          <w:rFonts w:ascii="Arial" w:cs="Arial" w:eastAsia="Arial" w:hAnsi="Arial"/>
          <w:sz w:val="22"/>
          <w:szCs w:val="22"/>
          <w:color w:val="auto"/>
        </w:rPr>
      </w:pPr>
    </w:p>
    <w:p>
      <w:pPr>
        <w:ind w:right="20" w:firstLine="1305"/>
        <w:spacing w:after="0" w:line="271" w:lineRule="auto"/>
        <w:tabs>
          <w:tab w:leader="none" w:pos="1945" w:val="left"/>
        </w:tabs>
        <w:numPr>
          <w:ilvl w:val="0"/>
          <w:numId w:val="188"/>
        </w:numPr>
        <w:rPr>
          <w:rFonts w:ascii="Arial" w:cs="Arial" w:eastAsia="Arial" w:hAnsi="Arial"/>
          <w:sz w:val="19"/>
          <w:szCs w:val="19"/>
          <w:color w:val="auto"/>
        </w:rPr>
      </w:pPr>
      <w:r>
        <w:rPr>
          <w:rFonts w:ascii="Arial" w:cs="Arial" w:eastAsia="Arial" w:hAnsi="Arial"/>
          <w:sz w:val="19"/>
          <w:szCs w:val="19"/>
          <w:u w:val="single" w:color="auto"/>
          <w:color w:val="auto"/>
        </w:rPr>
        <w:t>Welfare Benefits</w:t>
      </w:r>
      <w:r>
        <w:rPr>
          <w:rFonts w:ascii="Arial" w:cs="Arial" w:eastAsia="Arial" w:hAnsi="Arial"/>
          <w:sz w:val="19"/>
          <w:szCs w:val="19"/>
          <w:color w:val="auto"/>
        </w:rPr>
        <w:t xml:space="preserve">. Subject to Section 12 below, for a period of six (6) months following the date of the Involuntary Termination (and an additional six (6) months if the Executive provides consulting services under Section 14(e) hereof), the Executive and his dependents shall be provided with health insurance benefits substantially similar to those provided to the Executive and his dependents immediately prior to the date of the Involuntary Termination;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such benefits shall be provided on substantially the same terms and conditions and at the same cost to the Executive as in effect immediately prior to the date of the Involuntary Termination. Such benefits shall be provided through insurance maintained by the Company under the Company’s benefit plans. Such benefits shall be provided in a manner that complies with Treasury Regulation Section 1.409A-1(a)(5). Notwithstanding the foregoing, if the Company determines in its sole discretion that it cannot provide the foregoing benefit without potentially violating applicable law (including, without limitation, Section 2716 of the Public Health Service Act), the Company shall in lieu thereof provide to the Executive a taxable monthly payment in an amount equal to the monthly premium that the Executive would be required to pay to continue the Executive’s and his covered dependents’ group insurance coverages under COBRA as in effect on the Date of Termination (which amount shall be based on the premiums for the first month of COBRA coverage);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the Executive is a Specified Employee on the Date of Termination, then such payments shall be paid as provided in Section 9 hereof.</w:t>
      </w:r>
    </w:p>
    <w:p>
      <w:pPr>
        <w:spacing w:after="0" w:line="398" w:lineRule="exact"/>
        <w:rPr>
          <w:rFonts w:ascii="Arial" w:cs="Arial" w:eastAsia="Arial" w:hAnsi="Arial"/>
          <w:sz w:val="19"/>
          <w:szCs w:val="19"/>
          <w:color w:val="auto"/>
        </w:rPr>
      </w:pPr>
    </w:p>
    <w:p>
      <w:pPr>
        <w:ind w:right="140" w:firstLine="1305"/>
        <w:spacing w:after="0" w:line="297" w:lineRule="auto"/>
        <w:tabs>
          <w:tab w:leader="none" w:pos="1945" w:val="left"/>
        </w:tabs>
        <w:numPr>
          <w:ilvl w:val="0"/>
          <w:numId w:val="188"/>
        </w:numPr>
        <w:rPr>
          <w:rFonts w:ascii="Arial" w:cs="Arial" w:eastAsia="Arial" w:hAnsi="Arial"/>
          <w:sz w:val="19"/>
          <w:szCs w:val="19"/>
          <w:color w:val="auto"/>
        </w:rPr>
      </w:pPr>
      <w:r>
        <w:rPr>
          <w:rFonts w:ascii="Arial" w:cs="Arial" w:eastAsia="Arial" w:hAnsi="Arial"/>
          <w:sz w:val="19"/>
          <w:szCs w:val="19"/>
          <w:u w:val="single" w:color="auto"/>
          <w:color w:val="auto"/>
        </w:rPr>
        <w:t>Outplacement Services</w:t>
      </w:r>
      <w:r>
        <w:rPr>
          <w:rFonts w:ascii="Arial" w:cs="Arial" w:eastAsia="Arial" w:hAnsi="Arial"/>
          <w:sz w:val="19"/>
          <w:szCs w:val="19"/>
          <w:color w:val="auto"/>
        </w:rPr>
        <w:t>. The Executive shall receive reasonable outplacement services, on an in-kind basis, suitable to his position and directly related to the Executive’s Involuntary Termination, for a period of twelve (12) months following the date of the Involuntary Termination, in an aggregate amount of cost to the Company not to exceed $50,000.</w:t>
      </w:r>
    </w:p>
    <w:p>
      <w:pPr>
        <w:sectPr>
          <w:pgSz w:w="11900" w:h="16850" w:orient="portrait"/>
          <w:cols w:equalWidth="0" w:num="1">
            <w:col w:w="11400"/>
          </w:cols>
          <w:pgMar w:left="240" w:top="118" w:right="259" w:bottom="0" w:gutter="0" w:footer="0" w:header="0"/>
        </w:sectPr>
      </w:pPr>
    </w:p>
    <w:bookmarkStart w:id="136" w:name="page137"/>
    <w:bookmarkEnd w:id="136"/>
    <w:p>
      <w:pPr>
        <w:spacing w:after="0" w:line="61" w:lineRule="exact"/>
        <w:rPr>
          <w:sz w:val="20"/>
          <w:szCs w:val="20"/>
          <w:color w:val="auto"/>
        </w:rPr>
      </w:pPr>
    </w:p>
    <w:p>
      <w:pPr>
        <w:ind w:right="200" w:firstLine="54"/>
        <w:spacing w:after="0" w:line="241" w:lineRule="auto"/>
        <w:rPr>
          <w:sz w:val="20"/>
          <w:szCs w:val="20"/>
          <w:color w:val="auto"/>
        </w:rPr>
      </w:pPr>
      <w:r>
        <w:rPr>
          <w:rFonts w:ascii="Arial" w:cs="Arial" w:eastAsia="Arial" w:hAnsi="Arial"/>
          <w:sz w:val="22"/>
          <w:szCs w:val="22"/>
          <w:color w:val="auto"/>
        </w:rPr>
        <w:t>Notwithstanding the foregoing, the Executive shall cease to receive outplacement services on the date the Executive accepts employment with a subsequent employer. Such outplacement services shall be provided in a manner that complies with Treasury Regulation Section 1.409A-1(b)(9)(v)(A).</w:t>
      </w:r>
    </w:p>
    <w:p>
      <w:pPr>
        <w:spacing w:after="0" w:line="170" w:lineRule="exact"/>
        <w:rPr>
          <w:sz w:val="20"/>
          <w:szCs w:val="20"/>
          <w:color w:val="auto"/>
        </w:rPr>
      </w:pPr>
    </w:p>
    <w:p>
      <w:pPr>
        <w:ind w:firstLine="1305"/>
        <w:spacing w:after="0" w:line="273" w:lineRule="auto"/>
        <w:tabs>
          <w:tab w:leader="none" w:pos="1945" w:val="left"/>
        </w:tabs>
        <w:numPr>
          <w:ilvl w:val="0"/>
          <w:numId w:val="189"/>
        </w:numPr>
        <w:rPr>
          <w:rFonts w:ascii="Arial" w:cs="Arial" w:eastAsia="Arial" w:hAnsi="Arial"/>
          <w:sz w:val="19"/>
          <w:szCs w:val="19"/>
          <w:color w:val="auto"/>
        </w:rPr>
      </w:pPr>
      <w:r>
        <w:rPr>
          <w:rFonts w:ascii="Arial" w:cs="Arial" w:eastAsia="Arial" w:hAnsi="Arial"/>
          <w:sz w:val="19"/>
          <w:szCs w:val="19"/>
          <w:u w:val="single" w:color="auto"/>
          <w:color w:val="auto"/>
        </w:rPr>
        <w:t>Financial Planning Services</w:t>
      </w:r>
      <w:r>
        <w:rPr>
          <w:rFonts w:ascii="Arial" w:cs="Arial" w:eastAsia="Arial" w:hAnsi="Arial"/>
          <w:sz w:val="19"/>
          <w:szCs w:val="19"/>
          <w:color w:val="auto"/>
        </w:rPr>
        <w:t xml:space="preserve">. The Executive shall receive financial planning services, on an in-kind basis, for a period of twelve (12) months following the Date of Termination. Such financial planning services shall include expert financial and legal resources to assist the Executive with financial planning needs and shall be limited to (i) current investment portfolio management, (ii) tax planning, (iii) tax return preparation, and (iv) estate planning advice and document preparation (including wills and trusts);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Company shall provide such financial planning services during any taxable year of the Executive only to the extent the cost to the Company for such taxable year does not exceed [</w:t>
      </w:r>
      <w:r>
        <w:rPr>
          <w:rFonts w:ascii="Arial" w:cs="Arial" w:eastAsia="Arial" w:hAnsi="Arial"/>
          <w:sz w:val="19"/>
          <w:szCs w:val="19"/>
          <w:i w:val="1"/>
          <w:iCs w:val="1"/>
          <w:color w:val="auto"/>
        </w:rPr>
        <w:t>$25,000</w:t>
      </w:r>
      <w:r>
        <w:rPr>
          <w:rFonts w:ascii="Arial" w:cs="Arial" w:eastAsia="Arial" w:hAnsi="Arial"/>
          <w:sz w:val="19"/>
          <w:szCs w:val="19"/>
          <w:color w:val="auto"/>
        </w:rPr>
        <w:t>]. The Company shall provide such financial planning services through a financial planner selected by the Company, and shall pay the fees for such financial planning services. The financial planning services provided during any taxable year of the Executive shall not affect the financial planning services provided in any other taxable year of the Executive. The Executive’s right to financial planning services shall not be subject to liquidation or exchange for any other benefit. Such financial planning services shall be provided in a manner that complies with Treasury Regulation Section 1.409A-3(i)(1)(iv).</w:t>
      </w:r>
    </w:p>
    <w:p>
      <w:pPr>
        <w:spacing w:after="0" w:line="156" w:lineRule="exact"/>
        <w:rPr>
          <w:rFonts w:ascii="Arial" w:cs="Arial" w:eastAsia="Arial" w:hAnsi="Arial"/>
          <w:sz w:val="19"/>
          <w:szCs w:val="19"/>
          <w:color w:val="auto"/>
        </w:rPr>
      </w:pPr>
    </w:p>
    <w:p>
      <w:pPr>
        <w:ind w:right="20" w:firstLine="1305"/>
        <w:spacing w:after="0" w:line="238" w:lineRule="auto"/>
        <w:tabs>
          <w:tab w:leader="none" w:pos="1945" w:val="left"/>
        </w:tabs>
        <w:numPr>
          <w:ilvl w:val="0"/>
          <w:numId w:val="189"/>
        </w:numPr>
        <w:rPr>
          <w:rFonts w:ascii="Arial" w:cs="Arial" w:eastAsia="Arial" w:hAnsi="Arial"/>
          <w:sz w:val="22"/>
          <w:szCs w:val="22"/>
          <w:color w:val="auto"/>
        </w:rPr>
      </w:pPr>
      <w:r>
        <w:rPr>
          <w:rFonts w:ascii="Arial" w:cs="Arial" w:eastAsia="Arial" w:hAnsi="Arial"/>
          <w:sz w:val="22"/>
          <w:szCs w:val="22"/>
          <w:u w:val="single" w:color="auto"/>
          <w:color w:val="auto"/>
        </w:rPr>
        <w:t>Deferral of Payments</w:t>
      </w:r>
      <w:r>
        <w:rPr>
          <w:rFonts w:ascii="Arial" w:cs="Arial" w:eastAsia="Arial" w:hAnsi="Arial"/>
          <w:sz w:val="22"/>
          <w:szCs w:val="22"/>
          <w:color w:val="auto"/>
        </w:rPr>
        <w:t>. The Executive shall have the right to elect to defer the Pre-Change in Control Severance Payment to be received by the Executive pursuant to this Section 4 under the terms and conditions of the Sempra Energy 2005 Deferred Compensation Plan (the “</w:t>
      </w:r>
      <w:r>
        <w:rPr>
          <w:rFonts w:ascii="Arial" w:cs="Arial" w:eastAsia="Arial" w:hAnsi="Arial"/>
          <w:sz w:val="22"/>
          <w:szCs w:val="22"/>
          <w:u w:val="single" w:color="auto"/>
          <w:color w:val="auto"/>
        </w:rPr>
        <w:t>Deferred Compensation Plan</w:t>
      </w:r>
      <w:r>
        <w:rPr>
          <w:rFonts w:ascii="Arial" w:cs="Arial" w:eastAsia="Arial" w:hAnsi="Arial"/>
          <w:sz w:val="22"/>
          <w:szCs w:val="22"/>
          <w:color w:val="auto"/>
        </w:rPr>
        <w:t>”). Any such deferral election shall be made in accordance with Section 18(b) hereof.</w:t>
      </w:r>
    </w:p>
    <w:p>
      <w:pPr>
        <w:spacing w:after="0" w:line="172" w:lineRule="exact"/>
        <w:rPr>
          <w:sz w:val="20"/>
          <w:szCs w:val="20"/>
          <w:color w:val="auto"/>
        </w:rPr>
      </w:pPr>
    </w:p>
    <w:p>
      <w:pPr>
        <w:ind w:right="40" w:firstLine="1297"/>
        <w:spacing w:after="0" w:line="270" w:lineRule="auto"/>
        <w:rPr>
          <w:sz w:val="20"/>
          <w:szCs w:val="20"/>
          <w:color w:val="auto"/>
        </w:rPr>
      </w:pPr>
      <w:r>
        <w:rPr>
          <w:rFonts w:ascii="Arial" w:cs="Arial" w:eastAsia="Arial" w:hAnsi="Arial"/>
          <w:sz w:val="19"/>
          <w:szCs w:val="19"/>
          <w:b w:val="1"/>
          <w:bCs w:val="1"/>
          <w:color w:val="auto"/>
        </w:rPr>
        <w:t xml:space="preserve">Section 5. </w:t>
      </w:r>
      <w:r>
        <w:rPr>
          <w:rFonts w:ascii="Arial" w:cs="Arial" w:eastAsia="Arial" w:hAnsi="Arial"/>
          <w:sz w:val="19"/>
          <w:szCs w:val="19"/>
          <w:u w:val="single" w:color="auto"/>
          <w:color w:val="auto"/>
        </w:rPr>
        <w:t>Severance Benefits upon Involuntary Termination in Connection with and after Change in Control</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the provisions of Section 4 above, and except as provided in Section 19(i) hereof, in the event of the Involuntary Termination of the Executive on or within two (2) years following a Change in Control, in lieu of the payments described in Section 4 above, the Company shall pay the Executive, in one lump sum cash payment, an amount (the “</w:t>
      </w:r>
      <w:r>
        <w:rPr>
          <w:rFonts w:ascii="Arial" w:cs="Arial" w:eastAsia="Arial" w:hAnsi="Arial"/>
          <w:sz w:val="19"/>
          <w:szCs w:val="19"/>
          <w:u w:val="single" w:color="auto"/>
          <w:color w:val="auto"/>
        </w:rPr>
        <w:t>Post-Change in Control</w:t>
      </w:r>
      <w:r>
        <w:rPr>
          <w:rFonts w:ascii="Arial" w:cs="Arial" w:eastAsia="Arial" w:hAnsi="Arial"/>
          <w:sz w:val="19"/>
          <w:szCs w:val="19"/>
          <w:color w:val="auto"/>
        </w:rPr>
        <w:t xml:space="preserve"> </w:t>
      </w:r>
      <w:r>
        <w:rPr>
          <w:rFonts w:ascii="Arial" w:cs="Arial" w:eastAsia="Arial" w:hAnsi="Arial"/>
          <w:sz w:val="19"/>
          <w:szCs w:val="19"/>
          <w:u w:val="single" w:color="auto"/>
          <w:color w:val="auto"/>
        </w:rPr>
        <w:t>Severance Payment</w:t>
      </w:r>
      <w:r>
        <w:rPr>
          <w:rFonts w:ascii="Arial" w:cs="Arial" w:eastAsia="Arial" w:hAnsi="Arial"/>
          <w:sz w:val="19"/>
          <w:szCs w:val="19"/>
          <w:color w:val="auto"/>
        </w:rPr>
        <w:t>”) equal to the greater of: (X) 145% of the Executive’s Annual Base Salary as in effect immediately prior to the Change in Control or the Date of Termination, whichever is greater, and (Y) the Executive’s Annual Base Salary as in effect immediately prior to the Change in Control or on the Date of Termination, whichever is greater, plus the Executive’s Average Annual Bonus. In addition to the Post-Change in Control Severance Payment, the Executive shall be entitled to the benefits specified in subsections (a) through (f). The Company's obligation to pay the Post-Change in Control Severance Payment or provide the benefits set forth in subsections (b), (c), (d), (e) and (f) are subject to and conditioned upon the Executive executing the Release within fifty (50) days after the date of Involuntary Termination and Executive not revoking such Release in accordance with the terms thereof. Except as provided in Sections 5(g) and 5(h), the Post-Change in Control Severance Payment, and the Pro Rata Bonus shall be paid on such date as is determined by the Company within sixty (60) days after the date of the Involuntary Termination. If the fifty (50) day period in which the Release could become effective spans more than one taxable year, then the Post-Change in Control Severance Payment and Pro Rata Bonus shall not be made until the later taxable year. Notwithstanding the foregoing, if the Executive is a Specified Employee on the date of the Executive’s Involuntary Termination, the Post-Change in Control Severance Payment, the Pro Rata Bonus and the financial planning services and the related payments provided under Section 5(f) shall be paid as provided in Section 9 hereof.</w:t>
      </w:r>
    </w:p>
    <w:p>
      <w:pPr>
        <w:spacing w:after="0" w:line="400" w:lineRule="exact"/>
        <w:rPr>
          <w:sz w:val="20"/>
          <w:szCs w:val="20"/>
          <w:color w:val="auto"/>
        </w:rPr>
      </w:pPr>
    </w:p>
    <w:p>
      <w:pPr>
        <w:ind w:right="720" w:firstLine="1305"/>
        <w:spacing w:after="0" w:line="251" w:lineRule="auto"/>
        <w:tabs>
          <w:tab w:leader="none" w:pos="1945" w:val="left"/>
        </w:tabs>
        <w:numPr>
          <w:ilvl w:val="0"/>
          <w:numId w:val="190"/>
        </w:numPr>
        <w:rPr>
          <w:rFonts w:ascii="Arial" w:cs="Arial" w:eastAsia="Arial" w:hAnsi="Arial"/>
          <w:sz w:val="22"/>
          <w:szCs w:val="22"/>
          <w:color w:val="auto"/>
        </w:rPr>
      </w:pPr>
      <w:r>
        <w:rPr>
          <w:rFonts w:ascii="Arial" w:cs="Arial" w:eastAsia="Arial" w:hAnsi="Arial"/>
          <w:sz w:val="22"/>
          <w:szCs w:val="22"/>
          <w:u w:val="single" w:color="auto"/>
          <w:color w:val="auto"/>
        </w:rPr>
        <w:t>Accrued Obligations</w:t>
      </w:r>
      <w:r>
        <w:rPr>
          <w:rFonts w:ascii="Arial" w:cs="Arial" w:eastAsia="Arial" w:hAnsi="Arial"/>
          <w:sz w:val="22"/>
          <w:szCs w:val="22"/>
          <w:color w:val="auto"/>
        </w:rPr>
        <w:t>. The Company shall pay the Executive a lump sum amount in cash equal to the Executive's Accrued Obligations within the time required by law.</w:t>
      </w:r>
    </w:p>
    <w:p>
      <w:pPr>
        <w:spacing w:after="0" w:line="173" w:lineRule="exact"/>
        <w:rPr>
          <w:rFonts w:ascii="Arial" w:cs="Arial" w:eastAsia="Arial" w:hAnsi="Arial"/>
          <w:sz w:val="22"/>
          <w:szCs w:val="22"/>
          <w:color w:val="auto"/>
        </w:rPr>
      </w:pPr>
    </w:p>
    <w:p>
      <w:pPr>
        <w:ind w:left="1960" w:hanging="655"/>
        <w:spacing w:after="0"/>
        <w:tabs>
          <w:tab w:leader="none" w:pos="1960" w:val="left"/>
        </w:tabs>
        <w:numPr>
          <w:ilvl w:val="0"/>
          <w:numId w:val="190"/>
        </w:numPr>
        <w:rPr>
          <w:rFonts w:ascii="Arial" w:cs="Arial" w:eastAsia="Arial" w:hAnsi="Arial"/>
          <w:sz w:val="19"/>
          <w:szCs w:val="19"/>
          <w:color w:val="auto"/>
        </w:rPr>
      </w:pPr>
      <w:r>
        <w:rPr>
          <w:rFonts w:ascii="Arial" w:cs="Arial" w:eastAsia="Arial" w:hAnsi="Arial"/>
          <w:sz w:val="19"/>
          <w:szCs w:val="19"/>
          <w:u w:val="single" w:color="auto"/>
          <w:color w:val="auto"/>
        </w:rPr>
        <w:t>Pro Rata Bonus</w:t>
      </w:r>
      <w:r>
        <w:rPr>
          <w:rFonts w:ascii="Arial" w:cs="Arial" w:eastAsia="Arial" w:hAnsi="Arial"/>
          <w:sz w:val="19"/>
          <w:szCs w:val="19"/>
          <w:color w:val="auto"/>
        </w:rPr>
        <w:t>. The Company shall pay the Executive a lump sum amount in cash equal to: (i) the greater</w:t>
      </w:r>
    </w:p>
    <w:p>
      <w:pPr>
        <w:spacing w:after="0" w:line="42" w:lineRule="exact"/>
        <w:rPr>
          <w:rFonts w:ascii="Arial" w:cs="Arial" w:eastAsia="Arial" w:hAnsi="Arial"/>
          <w:sz w:val="19"/>
          <w:szCs w:val="19"/>
          <w:color w:val="auto"/>
        </w:rPr>
      </w:pPr>
    </w:p>
    <w:p>
      <w:pPr>
        <w:ind w:right="400"/>
        <w:spacing w:after="0" w:line="233" w:lineRule="auto"/>
        <w:rPr>
          <w:rFonts w:ascii="Arial" w:cs="Arial" w:eastAsia="Arial" w:hAnsi="Arial"/>
          <w:sz w:val="19"/>
          <w:szCs w:val="19"/>
          <w:color w:val="auto"/>
        </w:rPr>
      </w:pPr>
      <w:r>
        <w:rPr>
          <w:rFonts w:ascii="Arial" w:cs="Arial" w:eastAsia="Arial" w:hAnsi="Arial"/>
          <w:sz w:val="22"/>
          <w:szCs w:val="22"/>
          <w:color w:val="auto"/>
        </w:rPr>
        <w:t>of: (X) 45% of the Executive’s Annual Base Salary as in effect immediately prior to the Change in Control or on the Date of Termination, whichever is greater, or (Y) the Executive’s Average Annual Bonus, multiplied by (ii) a fraction, the numerator of which shall be the number of days from the beginning of such fiscal year to and including the Date of Termination and the denominator of which shall be 365 equal to the (“</w:t>
      </w:r>
      <w:r>
        <w:rPr>
          <w:rFonts w:ascii="Arial" w:cs="Arial" w:eastAsia="Arial" w:hAnsi="Arial"/>
          <w:sz w:val="22"/>
          <w:szCs w:val="22"/>
          <w:u w:val="single" w:color="auto"/>
          <w:color w:val="auto"/>
        </w:rPr>
        <w:t>Pro Rata Bonus</w:t>
      </w:r>
      <w:r>
        <w:rPr>
          <w:rFonts w:ascii="Arial" w:cs="Arial" w:eastAsia="Arial" w:hAnsi="Arial"/>
          <w:sz w:val="22"/>
          <w:szCs w:val="22"/>
          <w:color w:val="auto"/>
        </w:rPr>
        <w:t>”).</w:t>
      </w:r>
    </w:p>
    <w:p>
      <w:pPr>
        <w:spacing w:after="0" w:line="174" w:lineRule="exact"/>
        <w:rPr>
          <w:rFonts w:ascii="Arial" w:cs="Arial" w:eastAsia="Arial" w:hAnsi="Arial"/>
          <w:sz w:val="19"/>
          <w:szCs w:val="19"/>
          <w:color w:val="auto"/>
        </w:rPr>
      </w:pPr>
    </w:p>
    <w:p>
      <w:pPr>
        <w:ind w:right="20" w:firstLine="1305"/>
        <w:spacing w:after="0" w:line="272" w:lineRule="auto"/>
        <w:tabs>
          <w:tab w:leader="none" w:pos="1945" w:val="left"/>
        </w:tabs>
        <w:numPr>
          <w:ilvl w:val="0"/>
          <w:numId w:val="190"/>
        </w:numPr>
        <w:rPr>
          <w:rFonts w:ascii="Arial" w:cs="Arial" w:eastAsia="Arial" w:hAnsi="Arial"/>
          <w:sz w:val="19"/>
          <w:szCs w:val="19"/>
          <w:color w:val="auto"/>
        </w:rPr>
      </w:pPr>
      <w:r>
        <w:rPr>
          <w:rFonts w:ascii="Arial" w:cs="Arial" w:eastAsia="Arial" w:hAnsi="Arial"/>
          <w:sz w:val="19"/>
          <w:szCs w:val="19"/>
          <w:u w:val="single" w:color="auto"/>
          <w:color w:val="auto"/>
        </w:rPr>
        <w:t>Equity-Based Compensation</w:t>
      </w:r>
      <w:r>
        <w:rPr>
          <w:rFonts w:ascii="Arial" w:cs="Arial" w:eastAsia="Arial" w:hAnsi="Arial"/>
          <w:sz w:val="19"/>
          <w:szCs w:val="19"/>
          <w:color w:val="auto"/>
        </w:rPr>
        <w:t xml:space="preserve">. Notwithstanding the provisions of any applicable equity-compensation plan or award agreement to the contrary, all equity-based Incentive Compensation Awards (including, without limitation, stock options, stock appreciation rights, restricted stock awards, restricted stock units, performance share awards, awards covered under Section 162(m) of the Code, and dividend equivalents) held by the Executive shall immediately vest and become exercisable or payable, as the case may be, as of the Date of Termination, to be exercised or paid, as the case may be, in accordance with the terms of the applicable Incentive Compensation Plan and Incentive Compensation Award agreement, and any restrictions on any such Incentive Compensation Awards shall automatically lapse; </w:t>
      </w:r>
      <w:r>
        <w:rPr>
          <w:rFonts w:ascii="Arial" w:cs="Arial" w:eastAsia="Arial" w:hAnsi="Arial"/>
          <w:sz w:val="19"/>
          <w:szCs w:val="19"/>
          <w:i w:val="1"/>
          <w:iCs w:val="1"/>
          <w:color w:val="auto"/>
        </w:rPr>
        <w:t>provided, however</w:t>
      </w:r>
      <w:r>
        <w:rPr>
          <w:rFonts w:ascii="Arial" w:cs="Arial" w:eastAsia="Arial" w:hAnsi="Arial"/>
          <w:sz w:val="19"/>
          <w:szCs w:val="19"/>
          <w:color w:val="auto"/>
        </w:rPr>
        <w:t>, that any such stock option or stock appreciation rights awards granted on or after June 26, 1998 shall remain outstanding and exercisable until the earlier of (A) the later of eighteen (18) months following the Date of Termination or the period specified in the applicable Incentive Compensation Award agreements or (B) the expiration of the original term of such Incentive Compensation Award (or, if earlier, the tenth anniversary of the original date of grant) (it being understood that all Incentive Compensation Awards granted prior to or after June 26, 1998 shall remain outstanding and exercisable for a period that is no less than that provided for in the applicable agreement in effect as of the date of grant).</w:t>
      </w:r>
    </w:p>
    <w:p>
      <w:pPr>
        <w:spacing w:after="0" w:line="148" w:lineRule="exact"/>
        <w:rPr>
          <w:rFonts w:ascii="Arial" w:cs="Arial" w:eastAsia="Arial" w:hAnsi="Arial"/>
          <w:sz w:val="19"/>
          <w:szCs w:val="19"/>
          <w:color w:val="auto"/>
        </w:rPr>
      </w:pPr>
    </w:p>
    <w:p>
      <w:pPr>
        <w:ind w:right="20" w:firstLine="1305"/>
        <w:spacing w:after="0" w:line="277" w:lineRule="auto"/>
        <w:tabs>
          <w:tab w:leader="none" w:pos="1945" w:val="left"/>
        </w:tabs>
        <w:numPr>
          <w:ilvl w:val="0"/>
          <w:numId w:val="190"/>
        </w:numPr>
        <w:rPr>
          <w:rFonts w:ascii="Arial" w:cs="Arial" w:eastAsia="Arial" w:hAnsi="Arial"/>
          <w:sz w:val="19"/>
          <w:szCs w:val="19"/>
          <w:color w:val="auto"/>
        </w:rPr>
      </w:pPr>
      <w:r>
        <w:rPr>
          <w:rFonts w:ascii="Arial" w:cs="Arial" w:eastAsia="Arial" w:hAnsi="Arial"/>
          <w:sz w:val="19"/>
          <w:szCs w:val="19"/>
          <w:u w:val="single" w:color="auto"/>
          <w:color w:val="auto"/>
        </w:rPr>
        <w:t>Welfare Benefits</w:t>
      </w:r>
      <w:r>
        <w:rPr>
          <w:rFonts w:ascii="Arial" w:cs="Arial" w:eastAsia="Arial" w:hAnsi="Arial"/>
          <w:sz w:val="19"/>
          <w:szCs w:val="19"/>
          <w:color w:val="auto"/>
        </w:rPr>
        <w:t xml:space="preserve">. Subject to Section 12 below, for a period of six (6) months following the date of Involuntary Termination (and an additional twelve (12) months if the Executive provides consulting services under Section 14(e) hereof), the Executive and his dependents shall be provided with life, disability, accident and health insurance benefits substantially similar to those provided to the Executive and his dependents immediately prior to the date of Involuntary Termination or the Change in Control Date, whichever is more favorable to the Executive;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benefits shall be provided on substantially the same terms and conditions and at the same cost to the Executive as in effect immediately prior to the date of Involuntary Termination or the Change in Control Date, whichever is more favorable to the Executive. Such benefits shall be</w:t>
      </w:r>
    </w:p>
    <w:p>
      <w:pPr>
        <w:sectPr>
          <w:pgSz w:w="11900" w:h="16899" w:orient="portrait"/>
          <w:cols w:equalWidth="0" w:num="1">
            <w:col w:w="11400"/>
          </w:cols>
          <w:pgMar w:left="240" w:top="118" w:right="259" w:bottom="0" w:gutter="0" w:footer="0" w:header="0"/>
        </w:sectPr>
      </w:pPr>
    </w:p>
    <w:bookmarkStart w:id="137" w:name="page138"/>
    <w:bookmarkEnd w:id="137"/>
    <w:p>
      <w:pPr>
        <w:spacing w:after="0" w:line="35" w:lineRule="exact"/>
        <w:rPr>
          <w:sz w:val="20"/>
          <w:szCs w:val="20"/>
          <w:color w:val="auto"/>
        </w:rPr>
      </w:pPr>
    </w:p>
    <w:p>
      <w:pPr>
        <w:ind w:right="100"/>
        <w:spacing w:after="0" w:line="275" w:lineRule="auto"/>
        <w:rPr>
          <w:sz w:val="20"/>
          <w:szCs w:val="20"/>
          <w:color w:val="auto"/>
        </w:rPr>
      </w:pPr>
      <w:r>
        <w:rPr>
          <w:rFonts w:ascii="Arial" w:cs="Arial" w:eastAsia="Arial" w:hAnsi="Arial"/>
          <w:sz w:val="19"/>
          <w:szCs w:val="19"/>
          <w:color w:val="auto"/>
        </w:rPr>
        <w:t xml:space="preserve">provided through insurance maintained by the Company under the Company benefit plans. Such benefits shall be provided in a manner that complies with Treasury Regulation Section 1.409A-1(a)(5). Notwithstanding the foregoing, if the Company determines in its sole discretion that it cannot provide the foregoing benefit without potentially violating applicable law (including, without limitation, Section 2716 of the Public Health Service Act), the Company shall in lieu thereof provide to the Executive a taxable monthly payment in an amount equal to the monthly premium that the Executive would be required to pay to continue the Executive’s and his covered dependents’ group insurance coverages under COBRA as in effect on the Date of Termination (which amount shall be based on the premiums for the first month of COBRA coverage);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the Executive is a Specified Employee on the Date of Termination, then such payments shall be paid as provided in Section 9 hereof.</w:t>
      </w:r>
    </w:p>
    <w:p>
      <w:pPr>
        <w:spacing w:after="0" w:line="145" w:lineRule="exact"/>
        <w:rPr>
          <w:sz w:val="20"/>
          <w:szCs w:val="20"/>
          <w:color w:val="auto"/>
        </w:rPr>
      </w:pPr>
    </w:p>
    <w:p>
      <w:pPr>
        <w:ind w:right="20" w:firstLine="1305"/>
        <w:spacing w:after="0" w:line="247" w:lineRule="auto"/>
        <w:tabs>
          <w:tab w:leader="none" w:pos="1945" w:val="left"/>
        </w:tabs>
        <w:numPr>
          <w:ilvl w:val="0"/>
          <w:numId w:val="191"/>
        </w:numPr>
        <w:rPr>
          <w:rFonts w:ascii="Arial" w:cs="Arial" w:eastAsia="Arial" w:hAnsi="Arial"/>
          <w:sz w:val="21"/>
          <w:szCs w:val="21"/>
          <w:color w:val="auto"/>
        </w:rPr>
      </w:pPr>
      <w:r>
        <w:rPr>
          <w:rFonts w:ascii="Arial" w:cs="Arial" w:eastAsia="Arial" w:hAnsi="Arial"/>
          <w:sz w:val="21"/>
          <w:szCs w:val="21"/>
          <w:u w:val="single" w:color="auto"/>
          <w:color w:val="auto"/>
        </w:rPr>
        <w:t>Outplacement Services</w:t>
      </w:r>
      <w:r>
        <w:rPr>
          <w:rFonts w:ascii="Arial" w:cs="Arial" w:eastAsia="Arial" w:hAnsi="Arial"/>
          <w:sz w:val="21"/>
          <w:szCs w:val="21"/>
          <w:color w:val="auto"/>
        </w:rPr>
        <w:t>. The Executive shall receive reasonable outplacement services, on an in-kind basis, suitable to his position and directly related to the Executive’s Involuntary Termination, for a period of eighteen (18) months following the date of Involuntary Termination (but in no event beyond the last day of the Executive’s second taxable year following the Executive’s taxable year in which the Involuntary Termination occurs), in the aggregate amount of cost to the Company not to exceed $50,000. Notwithstanding the foregoing, the Executive shall cease to receive outplacement services on the date the Executive accepts employment with a subsequent employer. Such outplacement services shall be provided in a manner that complies with Treasury Regulation Section 1.409A-1(b)(9)(v)(A).</w:t>
      </w:r>
    </w:p>
    <w:p>
      <w:pPr>
        <w:spacing w:after="0" w:line="178" w:lineRule="exact"/>
        <w:rPr>
          <w:rFonts w:ascii="Arial" w:cs="Arial" w:eastAsia="Arial" w:hAnsi="Arial"/>
          <w:sz w:val="21"/>
          <w:szCs w:val="21"/>
          <w:color w:val="auto"/>
        </w:rPr>
      </w:pPr>
    </w:p>
    <w:p>
      <w:pPr>
        <w:ind w:firstLine="1305"/>
        <w:spacing w:after="0" w:line="244" w:lineRule="auto"/>
        <w:tabs>
          <w:tab w:leader="none" w:pos="1945" w:val="left"/>
        </w:tabs>
        <w:numPr>
          <w:ilvl w:val="0"/>
          <w:numId w:val="191"/>
        </w:numPr>
        <w:rPr>
          <w:rFonts w:ascii="Arial" w:cs="Arial" w:eastAsia="Arial" w:hAnsi="Arial"/>
          <w:sz w:val="21"/>
          <w:szCs w:val="21"/>
          <w:color w:val="auto"/>
        </w:rPr>
      </w:pPr>
      <w:r>
        <w:rPr>
          <w:rFonts w:ascii="Arial" w:cs="Arial" w:eastAsia="Arial" w:hAnsi="Arial"/>
          <w:sz w:val="21"/>
          <w:szCs w:val="21"/>
          <w:u w:val="single" w:color="auto"/>
          <w:color w:val="auto"/>
        </w:rPr>
        <w:t>Financial Planning Services</w:t>
      </w:r>
      <w:r>
        <w:rPr>
          <w:rFonts w:ascii="Arial" w:cs="Arial" w:eastAsia="Arial" w:hAnsi="Arial"/>
          <w:sz w:val="21"/>
          <w:szCs w:val="21"/>
          <w:color w:val="auto"/>
        </w:rPr>
        <w:t xml:space="preserve">. The Executive shall receive financial planning services, on an in-kind basis, for a period of eighteen (18) months following the date of Involuntary Termination. Such financial planning services shall include expert financial and legal resources to assist the Executive with financial planning needs and shall be limited to (i) current investment portfolio management, (ii) tax planning, (iii) tax return preparation, and (iv) estate planning advice and document preparation (including wills and trusts);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Company shall provide such financial services during any taxable year of the Executive only to the extent the cost to the Company for such taxable year does not exceed [</w:t>
      </w:r>
      <w:r>
        <w:rPr>
          <w:rFonts w:ascii="Arial" w:cs="Arial" w:eastAsia="Arial" w:hAnsi="Arial"/>
          <w:sz w:val="21"/>
          <w:szCs w:val="21"/>
          <w:i w:val="1"/>
          <w:iCs w:val="1"/>
          <w:color w:val="auto"/>
        </w:rPr>
        <w:t>$25,000</w:t>
      </w:r>
      <w:r>
        <w:rPr>
          <w:rFonts w:ascii="Arial" w:cs="Arial" w:eastAsia="Arial" w:hAnsi="Arial"/>
          <w:sz w:val="21"/>
          <w:szCs w:val="21"/>
          <w:color w:val="auto"/>
        </w:rPr>
        <w:t>]. The Company shall provide such financial planning services through a financial planner selected by the Company, and shall pay the fees for such financial planning services. The financial planning services provided during any taxable year of the Executive shall not affect the financial planning services provided in any other taxable year of the Executive. The Executive’s right to financial planning services shall not be subject to liquidation or exchange for any other benefit. Such financial planning services shall be provided in a manner that complies with Section 1.409A-3(i)(1)(iv).</w:t>
      </w:r>
    </w:p>
    <w:p>
      <w:pPr>
        <w:spacing w:after="0" w:line="176" w:lineRule="exact"/>
        <w:rPr>
          <w:rFonts w:ascii="Arial" w:cs="Arial" w:eastAsia="Arial" w:hAnsi="Arial"/>
          <w:sz w:val="21"/>
          <w:szCs w:val="21"/>
          <w:color w:val="auto"/>
        </w:rPr>
      </w:pPr>
    </w:p>
    <w:p>
      <w:pPr>
        <w:ind w:right="80" w:firstLine="1305"/>
        <w:spacing w:after="0" w:line="275" w:lineRule="auto"/>
        <w:tabs>
          <w:tab w:leader="none" w:pos="1945" w:val="left"/>
        </w:tabs>
        <w:numPr>
          <w:ilvl w:val="0"/>
          <w:numId w:val="191"/>
        </w:numPr>
        <w:rPr>
          <w:rFonts w:ascii="Arial" w:cs="Arial" w:eastAsia="Arial" w:hAnsi="Arial"/>
          <w:sz w:val="19"/>
          <w:szCs w:val="19"/>
          <w:color w:val="auto"/>
        </w:rPr>
      </w:pPr>
      <w:r>
        <w:rPr>
          <w:rFonts w:ascii="Arial" w:cs="Arial" w:eastAsia="Arial" w:hAnsi="Arial"/>
          <w:sz w:val="19"/>
          <w:szCs w:val="19"/>
          <w:u w:val="single" w:color="auto"/>
          <w:color w:val="auto"/>
        </w:rPr>
        <w:t>Involuntary Termination in Connection with a Change in Control</w:t>
      </w:r>
      <w:r>
        <w:rPr>
          <w:rFonts w:ascii="Arial" w:cs="Arial" w:eastAsia="Arial" w:hAnsi="Arial"/>
          <w:sz w:val="19"/>
          <w:szCs w:val="19"/>
          <w:color w:val="auto"/>
        </w:rPr>
        <w:t>. Notwithstanding anything contained herein, in the event of an Involuntary Termination prior to a Change in Control, if the Involuntary Termination (1) was at the request of a third party who has taken steps reasonably calculated to effect such Change in Control or (2) otherwise arose in connection with or in anticipation of such Change in Control, then the Executive shall, in lieu of the payments described in Section 4 hereof, be entitled to the Post-Change in Control Severance Payment and the additional benefits described in this Section 5 as if such Involuntary Termination had occurred within two (2) years following the Change in Control. The amounts specified in Section 5 that are to be paid under this Section 5(g) shall be reduced by any amount previously paid under Section 4. The amounts to be paid under this Section 5(g) shall be paid within sixty (60) days after the Change in Control Date of such Change in Control.</w:t>
      </w:r>
    </w:p>
    <w:p>
      <w:pPr>
        <w:spacing w:after="0" w:line="144" w:lineRule="exact"/>
        <w:rPr>
          <w:rFonts w:ascii="Arial" w:cs="Arial" w:eastAsia="Arial" w:hAnsi="Arial"/>
          <w:sz w:val="19"/>
          <w:szCs w:val="19"/>
          <w:color w:val="auto"/>
        </w:rPr>
      </w:pPr>
    </w:p>
    <w:p>
      <w:pPr>
        <w:ind w:right="140" w:firstLine="1305"/>
        <w:spacing w:after="0" w:line="297" w:lineRule="auto"/>
        <w:tabs>
          <w:tab w:leader="none" w:pos="1945" w:val="left"/>
        </w:tabs>
        <w:numPr>
          <w:ilvl w:val="0"/>
          <w:numId w:val="191"/>
        </w:numPr>
        <w:rPr>
          <w:rFonts w:ascii="Arial" w:cs="Arial" w:eastAsia="Arial" w:hAnsi="Arial"/>
          <w:sz w:val="19"/>
          <w:szCs w:val="19"/>
          <w:color w:val="auto"/>
        </w:rPr>
      </w:pPr>
      <w:r>
        <w:rPr>
          <w:rFonts w:ascii="Arial" w:cs="Arial" w:eastAsia="Arial" w:hAnsi="Arial"/>
          <w:sz w:val="19"/>
          <w:szCs w:val="19"/>
          <w:u w:val="single" w:color="auto"/>
          <w:color w:val="auto"/>
        </w:rPr>
        <w:t>Deferral of Payments</w:t>
      </w:r>
      <w:r>
        <w:rPr>
          <w:rFonts w:ascii="Arial" w:cs="Arial" w:eastAsia="Arial" w:hAnsi="Arial"/>
          <w:sz w:val="19"/>
          <w:szCs w:val="19"/>
          <w:color w:val="auto"/>
        </w:rPr>
        <w:t>. The Executive shall have the right to elect to defer the Post-Change in Control Severance Payment and the Pro Rata Bonus to be received by the Executive pursuant to this Section 5 under the terms and conditions of the Deferred Compensation Plan. Any such deferral election shall be made in accordance with Section 18(b) hereof.</w:t>
      </w:r>
    </w:p>
    <w:p>
      <w:pPr>
        <w:spacing w:after="0" w:line="128" w:lineRule="exact"/>
        <w:rPr>
          <w:sz w:val="20"/>
          <w:szCs w:val="20"/>
          <w:color w:val="auto"/>
        </w:rPr>
      </w:pPr>
    </w:p>
    <w:p>
      <w:pPr>
        <w:ind w:right="120" w:firstLine="1297"/>
        <w:spacing w:after="0" w:line="239" w:lineRule="auto"/>
        <w:rPr>
          <w:sz w:val="20"/>
          <w:szCs w:val="20"/>
          <w:color w:val="auto"/>
        </w:rPr>
      </w:pPr>
      <w:r>
        <w:rPr>
          <w:rFonts w:ascii="Arial" w:cs="Arial" w:eastAsia="Arial" w:hAnsi="Arial"/>
          <w:sz w:val="22"/>
          <w:szCs w:val="22"/>
          <w:b w:val="1"/>
          <w:bCs w:val="1"/>
          <w:color w:val="auto"/>
        </w:rPr>
        <w:t xml:space="preserve">Section 6. </w:t>
      </w:r>
      <w:r>
        <w:rPr>
          <w:rFonts w:ascii="Arial" w:cs="Arial" w:eastAsia="Arial" w:hAnsi="Arial"/>
          <w:sz w:val="22"/>
          <w:szCs w:val="22"/>
          <w:u w:val="single" w:color="auto"/>
          <w:color w:val="auto"/>
        </w:rPr>
        <w:t>Severance Benefits upon Termination by the Company for Cause or by the Executive Other than for</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Good Reason</w:t>
      </w:r>
      <w:r>
        <w:rPr>
          <w:rFonts w:ascii="Arial" w:cs="Arial" w:eastAsia="Arial" w:hAnsi="Arial"/>
          <w:sz w:val="22"/>
          <w:szCs w:val="22"/>
          <w:color w:val="auto"/>
        </w:rPr>
        <w:t>. If the Executive’s employment shall be terminated for Cause, or if the Executive terminates employment other than for Good Reason, the Company shall have no further obligations to the Executive under this Agreement other than the Accrued Obligations and any amounts or benefits described in Section 10 hereof.</w:t>
      </w:r>
    </w:p>
    <w:p>
      <w:pPr>
        <w:spacing w:after="0" w:line="173" w:lineRule="exact"/>
        <w:rPr>
          <w:sz w:val="20"/>
          <w:szCs w:val="20"/>
          <w:color w:val="auto"/>
        </w:rPr>
      </w:pPr>
    </w:p>
    <w:p>
      <w:pPr>
        <w:ind w:firstLine="1297"/>
        <w:spacing w:after="0" w:line="272" w:lineRule="auto"/>
        <w:rPr>
          <w:sz w:val="20"/>
          <w:szCs w:val="20"/>
          <w:color w:val="auto"/>
        </w:rPr>
      </w:pPr>
      <w:r>
        <w:rPr>
          <w:rFonts w:ascii="Arial" w:cs="Arial" w:eastAsia="Arial" w:hAnsi="Arial"/>
          <w:sz w:val="19"/>
          <w:szCs w:val="19"/>
          <w:b w:val="1"/>
          <w:bCs w:val="1"/>
          <w:color w:val="auto"/>
        </w:rPr>
        <w:t xml:space="preserve">Section 7. </w:t>
      </w:r>
      <w:r>
        <w:rPr>
          <w:rFonts w:ascii="Arial" w:cs="Arial" w:eastAsia="Arial" w:hAnsi="Arial"/>
          <w:sz w:val="19"/>
          <w:szCs w:val="19"/>
          <w:u w:val="single" w:color="auto"/>
          <w:color w:val="auto"/>
        </w:rPr>
        <w:t>Severance Benefits upon Termination due to Death or Disability</w:t>
      </w:r>
      <w:r>
        <w:rPr>
          <w:rFonts w:ascii="Arial" w:cs="Arial" w:eastAsia="Arial" w:hAnsi="Arial"/>
          <w:sz w:val="19"/>
          <w:szCs w:val="19"/>
          <w:color w:val="auto"/>
        </w:rPr>
        <w:t>. If the Executive has a Separation</w:t>
      </w:r>
      <w:r>
        <w:rPr>
          <w:rFonts w:ascii="Arial" w:cs="Arial" w:eastAsia="Arial" w:hAnsi="Arial"/>
          <w:sz w:val="19"/>
          <w:szCs w:val="19"/>
          <w:b w:val="1"/>
          <w:bCs w:val="1"/>
          <w:color w:val="auto"/>
        </w:rPr>
        <w:t xml:space="preserve"> </w:t>
      </w:r>
      <w:r>
        <w:rPr>
          <w:rFonts w:ascii="Arial" w:cs="Arial" w:eastAsia="Arial" w:hAnsi="Arial"/>
          <w:sz w:val="19"/>
          <w:szCs w:val="19"/>
          <w:color w:val="auto"/>
        </w:rPr>
        <w:t>from Service by reason of death or Disability, the Company shall pay the Executive or his estate, as the case may be, the Accrued Obligations and the Pro Rata Bonus (without regard to whether a Change in Control has occurred) and any amounts or benefits described in Section 10 hereof. Such payments shall be in addition to those rights and benefits to which the Executive or his estate may be entitled under the relevant Company plans or programs. The Company's obligation to pay the Pro Rata Bonus is conditioned upon the Executive, the Executive's representative or the Executive's estate, as the case may be executing the Release within fifty (50) days after the date of Executive's Separation from Service and not revoking such Release in accordance with the terms thereof. The Accrued Obligations shall be paid within the time required by law and the Pro Rata Bonus shall be paid on such date as determined by the Company within sixty (60) days after the date of the Separation from Service but not before the Release becomes effective and irrevocable. If the fifty (50) day period in which the Release could become effective spans more than one taxable year, then the Pro Rata Bonus shall not be made until the later taxable year. Notwithstanding the foregoing, if the Executive is a Specified Employee on the date of the Executive’s Separation from Service, the Pro Rata Bonus shall be paid as provided in Section 9 hereof.</w:t>
      </w:r>
    </w:p>
    <w:p>
      <w:pPr>
        <w:spacing w:after="0" w:line="39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19"/>
          <w:szCs w:val="19"/>
          <w:u w:val="single" w:color="auto"/>
          <w:color w:val="auto"/>
        </w:rPr>
        <w:t>Limitation on Payments by the Company</w:t>
      </w:r>
      <w:r>
        <w:rPr>
          <w:rFonts w:ascii="Arial" w:cs="Arial" w:eastAsia="Arial" w:hAnsi="Arial"/>
          <w:sz w:val="19"/>
          <w:szCs w:val="19"/>
          <w:color w:val="auto"/>
        </w:rPr>
        <w:t>.</w:t>
      </w:r>
    </w:p>
    <w:p>
      <w:pPr>
        <w:spacing w:after="0" w:line="206" w:lineRule="exact"/>
        <w:rPr>
          <w:sz w:val="20"/>
          <w:szCs w:val="20"/>
          <w:color w:val="auto"/>
        </w:rPr>
      </w:pPr>
    </w:p>
    <w:p>
      <w:pPr>
        <w:ind w:firstLine="1305"/>
        <w:spacing w:after="0" w:line="279" w:lineRule="auto"/>
        <w:tabs>
          <w:tab w:leader="none" w:pos="1945" w:val="left"/>
        </w:tabs>
        <w:numPr>
          <w:ilvl w:val="0"/>
          <w:numId w:val="192"/>
        </w:numPr>
        <w:rPr>
          <w:rFonts w:ascii="Arial" w:cs="Arial" w:eastAsia="Arial" w:hAnsi="Arial"/>
          <w:sz w:val="19"/>
          <w:szCs w:val="19"/>
          <w:color w:val="auto"/>
        </w:rPr>
      </w:pPr>
      <w:r>
        <w:rPr>
          <w:rFonts w:ascii="Arial" w:cs="Arial" w:eastAsia="Arial" w:hAnsi="Arial"/>
          <w:sz w:val="19"/>
          <w:szCs w:val="19"/>
          <w:color w:val="auto"/>
        </w:rPr>
        <w:t>Anything in this Agreement to the contrary notwithstanding and except as set forth in this Section 8 below, in the event it shall be determined that any payment or distribution in the nature of compensation (within the meaning of Section 280G(b)(2) of the Code) to or for the benefit of the Executive, whether paid or payable pursuant to this Agreement or otherwise (the “</w:t>
      </w:r>
      <w:r>
        <w:rPr>
          <w:rFonts w:ascii="Arial" w:cs="Arial" w:eastAsia="Arial" w:hAnsi="Arial"/>
          <w:sz w:val="19"/>
          <w:szCs w:val="19"/>
          <w:u w:val="single" w:color="auto"/>
          <w:color w:val="auto"/>
        </w:rPr>
        <w:t>Payment</w:t>
      </w:r>
      <w:r>
        <w:rPr>
          <w:rFonts w:ascii="Arial" w:cs="Arial" w:eastAsia="Arial" w:hAnsi="Arial"/>
          <w:sz w:val="19"/>
          <w:szCs w:val="19"/>
          <w:color w:val="auto"/>
        </w:rPr>
        <w:t>”) would be subject (in whole or in part)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subject to subsection (b), the Pre-Change in Control Severance Benefit or the Post-Change in Control Severance Payment (whichever is applicable) payable under this Agreement shall be reduced under this subsection (a) to the amount equal to the</w:t>
      </w:r>
    </w:p>
    <w:p>
      <w:pPr>
        <w:sectPr>
          <w:pgSz w:w="11900" w:h="16874" w:orient="portrait"/>
          <w:cols w:equalWidth="0" w:num="1">
            <w:col w:w="11420"/>
          </w:cols>
          <w:pgMar w:left="240" w:top="118" w:right="239" w:bottom="0" w:gutter="0" w:footer="0" w:header="0"/>
        </w:sectPr>
      </w:pPr>
    </w:p>
    <w:bookmarkStart w:id="138" w:name="page139"/>
    <w:bookmarkEnd w:id="138"/>
    <w:p>
      <w:pPr>
        <w:ind w:right="260"/>
        <w:spacing w:after="0" w:line="241" w:lineRule="auto"/>
        <w:rPr>
          <w:sz w:val="20"/>
          <w:szCs w:val="20"/>
          <w:color w:val="auto"/>
        </w:rPr>
      </w:pPr>
      <w:r>
        <w:rPr>
          <w:rFonts w:ascii="Arial" w:cs="Arial" w:eastAsia="Arial" w:hAnsi="Arial"/>
          <w:sz w:val="22"/>
          <w:szCs w:val="22"/>
          <w:color w:val="auto"/>
        </w:rPr>
        <w:t>Reduced Payment. For such Payment payable under this Agreement, the “</w:t>
      </w:r>
      <w:r>
        <w:rPr>
          <w:rFonts w:ascii="Arial" w:cs="Arial" w:eastAsia="Arial" w:hAnsi="Arial"/>
          <w:sz w:val="22"/>
          <w:szCs w:val="22"/>
          <w:u w:val="single" w:color="auto"/>
          <w:color w:val="auto"/>
        </w:rPr>
        <w:t>Reduced Payment</w:t>
      </w:r>
      <w:r>
        <w:rPr>
          <w:rFonts w:ascii="Arial" w:cs="Arial" w:eastAsia="Arial" w:hAnsi="Arial"/>
          <w:sz w:val="22"/>
          <w:szCs w:val="22"/>
          <w:color w:val="auto"/>
        </w:rPr>
        <w:t>” shall be the amount equal to the greatest portion of the Payment (which may be zero) that, if paid, would result in no portion of any Payment being subject to the Excise Tax.</w:t>
      </w:r>
    </w:p>
    <w:p>
      <w:pPr>
        <w:spacing w:after="0" w:line="170" w:lineRule="exact"/>
        <w:rPr>
          <w:sz w:val="20"/>
          <w:szCs w:val="20"/>
          <w:color w:val="auto"/>
        </w:rPr>
      </w:pPr>
    </w:p>
    <w:p>
      <w:pPr>
        <w:ind w:right="60" w:firstLine="1305"/>
        <w:spacing w:after="0" w:line="251" w:lineRule="auto"/>
        <w:tabs>
          <w:tab w:leader="none" w:pos="1945" w:val="left"/>
        </w:tabs>
        <w:numPr>
          <w:ilvl w:val="0"/>
          <w:numId w:val="193"/>
        </w:numPr>
        <w:rPr>
          <w:rFonts w:ascii="Arial" w:cs="Arial" w:eastAsia="Arial" w:hAnsi="Arial"/>
          <w:sz w:val="22"/>
          <w:szCs w:val="22"/>
          <w:color w:val="auto"/>
        </w:rPr>
      </w:pPr>
      <w:r>
        <w:rPr>
          <w:rFonts w:ascii="Arial" w:cs="Arial" w:eastAsia="Arial" w:hAnsi="Arial"/>
          <w:sz w:val="22"/>
          <w:szCs w:val="22"/>
          <w:color w:val="auto"/>
        </w:rPr>
        <w:t>The Pre-Change in Control Severance Benefit or the Post-Change in Control Severance Payment (whichever is applicable) payable under this Agreement shall not be reduced under subsection (a) if:</w:t>
      </w:r>
    </w:p>
    <w:p>
      <w:pPr>
        <w:spacing w:after="0" w:line="173" w:lineRule="exact"/>
        <w:rPr>
          <w:rFonts w:ascii="Arial" w:cs="Arial" w:eastAsia="Arial" w:hAnsi="Arial"/>
          <w:sz w:val="22"/>
          <w:szCs w:val="22"/>
          <w:color w:val="auto"/>
        </w:rPr>
      </w:pPr>
    </w:p>
    <w:p>
      <w:pPr>
        <w:ind w:left="3240" w:hanging="639"/>
        <w:spacing w:after="0"/>
        <w:tabs>
          <w:tab w:leader="none" w:pos="3240" w:val="left"/>
        </w:tabs>
        <w:numPr>
          <w:ilvl w:val="1"/>
          <w:numId w:val="193"/>
        </w:numPr>
        <w:rPr>
          <w:rFonts w:ascii="Arial" w:cs="Arial" w:eastAsia="Arial" w:hAnsi="Arial"/>
          <w:sz w:val="19"/>
          <w:szCs w:val="19"/>
          <w:color w:val="auto"/>
        </w:rPr>
      </w:pPr>
      <w:r>
        <w:rPr>
          <w:rFonts w:ascii="Arial" w:cs="Arial" w:eastAsia="Arial" w:hAnsi="Arial"/>
          <w:sz w:val="19"/>
          <w:szCs w:val="19"/>
          <w:color w:val="auto"/>
        </w:rPr>
        <w:t>such reduction in such Payment is not sufficient to cause no portion of any Payment to be</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subject to the Excise Tax, or</w:t>
      </w:r>
    </w:p>
    <w:p>
      <w:pPr>
        <w:spacing w:after="0" w:line="174" w:lineRule="exact"/>
        <w:rPr>
          <w:rFonts w:ascii="Arial" w:cs="Arial" w:eastAsia="Arial" w:hAnsi="Arial"/>
          <w:sz w:val="19"/>
          <w:szCs w:val="19"/>
          <w:color w:val="auto"/>
        </w:rPr>
      </w:pPr>
    </w:p>
    <w:p>
      <w:pPr>
        <w:ind w:left="660" w:right="720" w:firstLine="1941"/>
        <w:spacing w:after="0" w:line="274" w:lineRule="auto"/>
        <w:tabs>
          <w:tab w:leader="none" w:pos="3253" w:val="left"/>
        </w:tabs>
        <w:numPr>
          <w:ilvl w:val="1"/>
          <w:numId w:val="193"/>
        </w:numPr>
        <w:rPr>
          <w:rFonts w:ascii="Arial" w:cs="Arial" w:eastAsia="Arial" w:hAnsi="Arial"/>
          <w:sz w:val="21"/>
          <w:szCs w:val="21"/>
          <w:color w:val="auto"/>
        </w:rPr>
      </w:pPr>
      <w:r>
        <w:rPr>
          <w:rFonts w:ascii="Arial" w:cs="Arial" w:eastAsia="Arial" w:hAnsi="Arial"/>
          <w:sz w:val="21"/>
          <w:szCs w:val="21"/>
          <w:color w:val="auto"/>
        </w:rPr>
        <w:t>the Net After-Tax Unreduced Payments (as defined below) would equal or exceed one hundred and five percent (105%) of the Net After-Tax Reduced Payments (as defined below).</w:t>
      </w:r>
    </w:p>
    <w:p>
      <w:pPr>
        <w:spacing w:after="0" w:line="151" w:lineRule="exact"/>
        <w:rPr>
          <w:sz w:val="20"/>
          <w:szCs w:val="20"/>
          <w:color w:val="auto"/>
        </w:rPr>
      </w:pPr>
    </w:p>
    <w:p>
      <w:pPr>
        <w:ind w:right="200"/>
        <w:spacing w:after="0" w:line="279" w:lineRule="auto"/>
        <w:rPr>
          <w:sz w:val="20"/>
          <w:szCs w:val="20"/>
          <w:color w:val="auto"/>
        </w:rPr>
      </w:pPr>
      <w:r>
        <w:rPr>
          <w:rFonts w:ascii="Arial" w:cs="Arial" w:eastAsia="Arial" w:hAnsi="Arial"/>
          <w:sz w:val="19"/>
          <w:szCs w:val="19"/>
          <w:color w:val="auto"/>
        </w:rPr>
        <w:t>For purposes of determining the amount of any Reduced Payment under subsection (a), and the Net-After Tax Reduced Payments and the Net After-Tax Unreduced Payments, the Executive shall be considered to pay federal, state and local income and employment taxes at the Executive’s applicable marginal rates taking into consideration any reduction in federal income taxes which could be obtained from the deduction of state and local income taxes, and any reduction or disallowance of itemized deductions and personal exemptions under applicable tax law). The applicable federal, state and local income and employment taxes and the Excise Tax (to the extent applicable) are collectively referred to as the “</w:t>
      </w:r>
      <w:r>
        <w:rPr>
          <w:rFonts w:ascii="Arial" w:cs="Arial" w:eastAsia="Arial" w:hAnsi="Arial"/>
          <w:sz w:val="19"/>
          <w:szCs w:val="19"/>
          <w:u w:val="single" w:color="auto"/>
          <w:color w:val="auto"/>
        </w:rPr>
        <w:t>Taxes</w:t>
      </w:r>
      <w:r>
        <w:rPr>
          <w:rFonts w:ascii="Arial" w:cs="Arial" w:eastAsia="Arial" w:hAnsi="Arial"/>
          <w:sz w:val="19"/>
          <w:szCs w:val="19"/>
          <w:color w:val="auto"/>
        </w:rPr>
        <w:t>”.</w:t>
      </w:r>
    </w:p>
    <w:p>
      <w:pPr>
        <w:spacing w:after="0" w:line="137" w:lineRule="exact"/>
        <w:rPr>
          <w:sz w:val="20"/>
          <w:szCs w:val="20"/>
          <w:color w:val="auto"/>
        </w:rPr>
      </w:pPr>
    </w:p>
    <w:p>
      <w:pPr>
        <w:ind w:left="1960" w:hanging="655"/>
        <w:spacing w:after="0"/>
        <w:tabs>
          <w:tab w:leader="none" w:pos="196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The following definitions shall apply for purposes of this Section 8:</w:t>
      </w:r>
    </w:p>
    <w:p>
      <w:pPr>
        <w:spacing w:after="0" w:line="206" w:lineRule="exact"/>
        <w:rPr>
          <w:rFonts w:ascii="Arial" w:cs="Arial" w:eastAsia="Arial" w:hAnsi="Arial"/>
          <w:sz w:val="22"/>
          <w:szCs w:val="22"/>
          <w:color w:val="auto"/>
        </w:rPr>
      </w:pPr>
    </w:p>
    <w:p>
      <w:pPr>
        <w:ind w:left="660" w:right="80" w:firstLine="1941"/>
        <w:spacing w:after="0"/>
        <w:tabs>
          <w:tab w:leader="none" w:pos="3253" w:val="left"/>
        </w:tabs>
        <w:numPr>
          <w:ilvl w:val="1"/>
          <w:numId w:val="194"/>
        </w:numPr>
        <w:rPr>
          <w:rFonts w:ascii="Arial" w:cs="Arial" w:eastAsia="Arial" w:hAnsi="Arial"/>
          <w:sz w:val="22"/>
          <w:szCs w:val="22"/>
          <w:color w:val="auto"/>
        </w:rPr>
      </w:pPr>
      <w:r>
        <w:rPr>
          <w:rFonts w:ascii="Arial" w:cs="Arial" w:eastAsia="Arial" w:hAnsi="Arial"/>
          <w:sz w:val="22"/>
          <w:szCs w:val="22"/>
          <w:color w:val="auto"/>
        </w:rPr>
        <w:t>“Net After-Tax Reduced Payments” shall mean the total amount of all Payments that the Executive would retain, on a Net After-Tax Basis, in the event that the Payments payable under this Agreement are reduced pursuant to subsection (a).</w:t>
      </w:r>
    </w:p>
    <w:p>
      <w:pPr>
        <w:spacing w:after="0" w:line="172" w:lineRule="exact"/>
        <w:rPr>
          <w:rFonts w:ascii="Arial" w:cs="Arial" w:eastAsia="Arial" w:hAnsi="Arial"/>
          <w:sz w:val="22"/>
          <w:szCs w:val="22"/>
          <w:color w:val="auto"/>
        </w:rPr>
      </w:pPr>
    </w:p>
    <w:p>
      <w:pPr>
        <w:ind w:left="660" w:right="340" w:firstLine="1941"/>
        <w:spacing w:after="0"/>
        <w:tabs>
          <w:tab w:leader="none" w:pos="3253" w:val="left"/>
        </w:tabs>
        <w:numPr>
          <w:ilvl w:val="1"/>
          <w:numId w:val="194"/>
        </w:numPr>
        <w:rPr>
          <w:rFonts w:ascii="Arial" w:cs="Arial" w:eastAsia="Arial" w:hAnsi="Arial"/>
          <w:sz w:val="22"/>
          <w:szCs w:val="22"/>
          <w:color w:val="auto"/>
        </w:rPr>
      </w:pPr>
      <w:r>
        <w:rPr>
          <w:rFonts w:ascii="Arial" w:cs="Arial" w:eastAsia="Arial" w:hAnsi="Arial"/>
          <w:sz w:val="22"/>
          <w:szCs w:val="22"/>
          <w:color w:val="auto"/>
        </w:rPr>
        <w:t>“Net After-Tax Unreduced Payments” shall mean the total amount of all Payments that the Executive would retain, on a Net After-Tax Basis, in the event that the Payments payable under this Agreement are not reduced pursuant to subsection (a).</w:t>
      </w:r>
    </w:p>
    <w:p>
      <w:pPr>
        <w:spacing w:after="0" w:line="172" w:lineRule="exact"/>
        <w:rPr>
          <w:rFonts w:ascii="Arial" w:cs="Arial" w:eastAsia="Arial" w:hAnsi="Arial"/>
          <w:sz w:val="22"/>
          <w:szCs w:val="22"/>
          <w:color w:val="auto"/>
        </w:rPr>
      </w:pPr>
    </w:p>
    <w:p>
      <w:pPr>
        <w:ind w:left="660" w:right="440" w:firstLine="1941"/>
        <w:spacing w:after="0"/>
        <w:tabs>
          <w:tab w:leader="none" w:pos="3253" w:val="left"/>
        </w:tabs>
        <w:numPr>
          <w:ilvl w:val="1"/>
          <w:numId w:val="194"/>
        </w:numPr>
        <w:rPr>
          <w:rFonts w:ascii="Arial" w:cs="Arial" w:eastAsia="Arial" w:hAnsi="Arial"/>
          <w:sz w:val="22"/>
          <w:szCs w:val="22"/>
          <w:color w:val="auto"/>
        </w:rPr>
      </w:pPr>
      <w:r>
        <w:rPr>
          <w:rFonts w:ascii="Arial" w:cs="Arial" w:eastAsia="Arial" w:hAnsi="Arial"/>
          <w:sz w:val="22"/>
          <w:szCs w:val="22"/>
          <w:color w:val="auto"/>
        </w:rPr>
        <w:t>“Net After-Tax Basis” shall mean, with respect to the Payments, either with or without reduction under subsection (a) (as applicable), the amount that would be retained by the Executive from such Payments after the payment of all Taxes.</w:t>
      </w:r>
    </w:p>
    <w:p>
      <w:pPr>
        <w:spacing w:after="0" w:line="186" w:lineRule="exact"/>
        <w:rPr>
          <w:rFonts w:ascii="Arial" w:cs="Arial" w:eastAsia="Arial" w:hAnsi="Arial"/>
          <w:sz w:val="22"/>
          <w:szCs w:val="22"/>
          <w:color w:val="auto"/>
        </w:rPr>
      </w:pPr>
    </w:p>
    <w:p>
      <w:pPr>
        <w:ind w:right="80" w:firstLine="1305"/>
        <w:spacing w:after="0" w:line="270" w:lineRule="auto"/>
        <w:tabs>
          <w:tab w:leader="none" w:pos="1945" w:val="left"/>
        </w:tabs>
        <w:numPr>
          <w:ilvl w:val="0"/>
          <w:numId w:val="194"/>
        </w:numPr>
        <w:rPr>
          <w:rFonts w:ascii="Arial" w:cs="Arial" w:eastAsia="Arial" w:hAnsi="Arial"/>
          <w:sz w:val="19"/>
          <w:szCs w:val="19"/>
          <w:color w:val="auto"/>
        </w:rPr>
      </w:pPr>
      <w:r>
        <w:rPr>
          <w:rFonts w:ascii="Arial" w:cs="Arial" w:eastAsia="Arial" w:hAnsi="Arial"/>
          <w:sz w:val="19"/>
          <w:szCs w:val="19"/>
          <w:color w:val="auto"/>
        </w:rPr>
        <w:t>All determinations required to be made under this Section 8 and the assumptions to be utilized in arriving at such determinations, shall be made by a nationally recognized accounting firm as may be agreed by the Company and the Executive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that the Accounting Firm’s determination shall be made based upon “substantial authority” within the meaning of Section 6662 of the Code. The Accounting Firm shall provide detailed supporting calculations to both the Company and the Executive within fifteen (15) business days of the receipt of notice from the Executive that there has been a Payment or such earlier time as is requested by the Company. All fees and expenses of the Accounting Firm shall be borne solely by the Company. Any determination by the Accounting Firm shall be binding upon the Company and the Executive. For purposes of determining whether and the extent to which the Payments will be subject to the Excise Tax, (i) no portion of the Payments the receipt or enjoyment of which the Executive shall have waived at such time and in such manner as not to constitute a “payment” within the meaning of Section 280G(b) of the Code shall be taken into account, (ii) no portion of the Payments shall be taken into account which, in the written opinion of the Accounting Firm, does not constitute a “parachute payment” within the meaning of Section 280G(b)(2) of the Code (including by reason of Section 280G(b)(4)(A) of the Code) and, in calculating the Excise Tax, no portion of such Payments shall be taken into account which, in the opinion of the Accounting Firm,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Payments shall be determined by the Accounting Firm in accordance with the principles of Sections 280G(d)(3) and (4) of the Code.</w:t>
      </w:r>
    </w:p>
    <w:p>
      <w:pPr>
        <w:spacing w:after="0" w:line="200" w:lineRule="exact"/>
        <w:rPr>
          <w:sz w:val="20"/>
          <w:szCs w:val="20"/>
          <w:color w:val="auto"/>
        </w:rPr>
      </w:pPr>
    </w:p>
    <w:p>
      <w:pPr>
        <w:spacing w:after="0" w:line="202" w:lineRule="exact"/>
        <w:rPr>
          <w:sz w:val="20"/>
          <w:szCs w:val="20"/>
          <w:color w:val="auto"/>
        </w:rPr>
      </w:pPr>
    </w:p>
    <w:p>
      <w:pPr>
        <w:ind w:firstLine="1297"/>
        <w:spacing w:after="0" w:line="272" w:lineRule="auto"/>
        <w:rPr>
          <w:sz w:val="20"/>
          <w:szCs w:val="20"/>
          <w:color w:val="auto"/>
        </w:rPr>
      </w:pPr>
      <w:r>
        <w:rPr>
          <w:rFonts w:ascii="Arial" w:cs="Arial" w:eastAsia="Arial" w:hAnsi="Arial"/>
          <w:sz w:val="19"/>
          <w:szCs w:val="19"/>
          <w:b w:val="1"/>
          <w:bCs w:val="1"/>
          <w:color w:val="auto"/>
        </w:rPr>
        <w:t xml:space="preserve">Section 9. </w:t>
      </w:r>
      <w:r>
        <w:rPr>
          <w:rFonts w:ascii="Arial" w:cs="Arial" w:eastAsia="Arial" w:hAnsi="Arial"/>
          <w:sz w:val="19"/>
          <w:szCs w:val="19"/>
          <w:u w:val="single" w:color="auto"/>
          <w:color w:val="auto"/>
        </w:rPr>
        <w:t>Delayed Distribution under Section 409A of the Code</w:t>
      </w:r>
      <w:r>
        <w:rPr>
          <w:rFonts w:ascii="Arial" w:cs="Arial" w:eastAsia="Arial" w:hAnsi="Arial"/>
          <w:sz w:val="19"/>
          <w:szCs w:val="19"/>
          <w:color w:val="auto"/>
        </w:rPr>
        <w:t>. If the Executive is a Specified Employee on</w:t>
      </w:r>
      <w:r>
        <w:rPr>
          <w:rFonts w:ascii="Arial" w:cs="Arial" w:eastAsia="Arial" w:hAnsi="Arial"/>
          <w:sz w:val="19"/>
          <w:szCs w:val="19"/>
          <w:b w:val="1"/>
          <w:bCs w:val="1"/>
          <w:color w:val="auto"/>
        </w:rPr>
        <w:t xml:space="preserve"> </w:t>
      </w:r>
      <w:r>
        <w:rPr>
          <w:rFonts w:ascii="Arial" w:cs="Arial" w:eastAsia="Arial" w:hAnsi="Arial"/>
          <w:sz w:val="19"/>
          <w:szCs w:val="19"/>
          <w:color w:val="auto"/>
        </w:rPr>
        <w:t>the date of the Executive’s Involuntary Termination (or on the date of the Executive’s Separation from Service by reason of Disability), the Section 409A Payments, and any other payments or benefits under this Agreement subject to Section 409A of the Code, shall be delayed in order to avoid a prohibited distribution under Section 409A(a)(2)(B)(i) of the Code, and such payments or benefits shall be paid or distributed to the Executive during the thirty (30) day period commencing on the earlier of (a) the expiration of the six-month period measured from the date of the Executive’s Separation from Service or (b) the date of the Executive’s death. Upon the expiration of the applicable six-month period under Section 409A(a)(2)(B)(i) of the Code, all payments deferred pursuant to this Section 9 (excluding in-kind benefits) shall be paid in a lump sum payment to the Executive, plus interest thereon from the date of the Executive’s Involuntary Termination through the payment date at an annual rate equal to Moody’s Rate. The “</w:t>
      </w:r>
      <w:r>
        <w:rPr>
          <w:rFonts w:ascii="Arial" w:cs="Arial" w:eastAsia="Arial" w:hAnsi="Arial"/>
          <w:sz w:val="19"/>
          <w:szCs w:val="19"/>
          <w:u w:val="single" w:color="auto"/>
          <w:color w:val="auto"/>
        </w:rPr>
        <w:t>Moody’s Rate</w:t>
      </w:r>
      <w:r>
        <w:rPr>
          <w:rFonts w:ascii="Arial" w:cs="Arial" w:eastAsia="Arial" w:hAnsi="Arial"/>
          <w:sz w:val="19"/>
          <w:szCs w:val="19"/>
          <w:color w:val="auto"/>
        </w:rPr>
        <w:t>” shall mean the average of the daily Moody’s Corporate Bond Yield Average – Monthly Average Corporates as published by Moody’s Investors Service, Inc. (or any successor) for the month next preceding the Date of Termination. Any remaining payments due under the Agreement shall be paid as otherwise provided herein.</w:t>
      </w:r>
    </w:p>
    <w:p>
      <w:pPr>
        <w:spacing w:after="0" w:line="148" w:lineRule="exact"/>
        <w:rPr>
          <w:sz w:val="20"/>
          <w:szCs w:val="20"/>
          <w:color w:val="auto"/>
        </w:rPr>
      </w:pPr>
    </w:p>
    <w:p>
      <w:pPr>
        <w:ind w:right="460" w:firstLine="1297"/>
        <w:spacing w:after="0" w:line="287" w:lineRule="auto"/>
        <w:rPr>
          <w:sz w:val="20"/>
          <w:szCs w:val="20"/>
          <w:color w:val="auto"/>
        </w:rPr>
      </w:pPr>
      <w:r>
        <w:rPr>
          <w:rFonts w:ascii="Arial" w:cs="Arial" w:eastAsia="Arial" w:hAnsi="Arial"/>
          <w:sz w:val="19"/>
          <w:szCs w:val="19"/>
          <w:b w:val="1"/>
          <w:bCs w:val="1"/>
          <w:color w:val="auto"/>
        </w:rPr>
        <w:t xml:space="preserve">Section 10. </w:t>
      </w:r>
      <w:r>
        <w:rPr>
          <w:rFonts w:ascii="Arial" w:cs="Arial" w:eastAsia="Arial" w:hAnsi="Arial"/>
          <w:sz w:val="19"/>
          <w:szCs w:val="19"/>
          <w:u w:val="single" w:color="auto"/>
          <w:color w:val="auto"/>
        </w:rPr>
        <w:t>Nonexclusivity of Rights</w:t>
      </w:r>
      <w:r>
        <w:rPr>
          <w:rFonts w:ascii="Arial" w:cs="Arial" w:eastAsia="Arial" w:hAnsi="Arial"/>
          <w:sz w:val="19"/>
          <w:szCs w:val="19"/>
          <w:color w:val="auto"/>
        </w:rPr>
        <w:t>. Nothing in this Agreement shall prevent or limit the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continuing or future participation in any benefit, plan, program, policy or practice provided by the Company and for which the Executive may qualify (except with respect to any benefit to which the Executive has waived his rights in writing), including, without limitation, any and all indemnification arrangements in favor of the Executive (whether under agreements or under the</w:t>
      </w:r>
    </w:p>
    <w:p>
      <w:pPr>
        <w:sectPr>
          <w:pgSz w:w="11900" w:h="16838" w:orient="portrait"/>
          <w:cols w:equalWidth="0" w:num="1">
            <w:col w:w="11420"/>
          </w:cols>
          <w:pgMar w:left="240" w:top="118" w:right="239" w:bottom="0" w:gutter="0" w:footer="0" w:header="0"/>
        </w:sectPr>
      </w:pPr>
    </w:p>
    <w:bookmarkStart w:id="139" w:name="page140"/>
    <w:bookmarkEnd w:id="139"/>
    <w:p>
      <w:pPr>
        <w:ind w:right="80"/>
        <w:spacing w:after="0" w:line="273" w:lineRule="auto"/>
        <w:rPr>
          <w:sz w:val="20"/>
          <w:szCs w:val="20"/>
          <w:color w:val="auto"/>
        </w:rPr>
      </w:pPr>
      <w:r>
        <w:rPr>
          <w:rFonts w:ascii="Arial" w:cs="Arial" w:eastAsia="Arial" w:hAnsi="Arial"/>
          <w:sz w:val="19"/>
          <w:szCs w:val="19"/>
          <w:color w:val="auto"/>
        </w:rPr>
        <w:t>Company’s charter documents or otherwise), and insurance policies covering the Executive, nor shall anything herein limit or otherwise affect such rights as the Executive may have under any other contract or agreement entered into after the Effective Date with the Company. Amounts which are vested benefits or which the Executive is otherwise entitled to receive under any benefit, plan, policy, practice or program of, or any contract or agreement entered into with, the Company shall be payable in accordance with such benefit, plan, policy, practice or program or contract or agreement except as explicitly modified by this Agreement. At all times during the Executive’s employment with the Company and thereafter, the Company shall provide (to the extent permissible under applicable law) the Executive with indemnification and D&amp;O insurance insuring the Executive against insurable events which occur or have occurred while the Executive was a director or the Executive officer of the Company, on terms and conditions that are at least as generous as that then provided to any other current or former director or the Executive officer of the Company or any Affiliate. Such indemnification and D&amp;O insurance shall be provided in a manner that complies with Treasury Regulation Section 1.409A-1(b)(10).</w:t>
      </w:r>
    </w:p>
    <w:p>
      <w:pPr>
        <w:spacing w:after="0" w:line="392" w:lineRule="exact"/>
        <w:rPr>
          <w:sz w:val="20"/>
          <w:szCs w:val="20"/>
          <w:color w:val="auto"/>
        </w:rPr>
      </w:pPr>
    </w:p>
    <w:p>
      <w:pPr>
        <w:ind w:right="60" w:firstLine="1297"/>
        <w:spacing w:after="0" w:line="252" w:lineRule="auto"/>
        <w:rPr>
          <w:sz w:val="20"/>
          <w:szCs w:val="20"/>
          <w:color w:val="auto"/>
        </w:rPr>
      </w:pPr>
      <w:r>
        <w:rPr>
          <w:rFonts w:ascii="Arial" w:cs="Arial" w:eastAsia="Arial" w:hAnsi="Arial"/>
          <w:sz w:val="21"/>
          <w:szCs w:val="21"/>
          <w:b w:val="1"/>
          <w:bCs w:val="1"/>
          <w:color w:val="auto"/>
        </w:rPr>
        <w:t xml:space="preserve">Section 11. </w:t>
      </w:r>
      <w:r>
        <w:rPr>
          <w:rFonts w:ascii="Arial" w:cs="Arial" w:eastAsia="Arial" w:hAnsi="Arial"/>
          <w:sz w:val="21"/>
          <w:szCs w:val="21"/>
          <w:u w:val="single" w:color="auto"/>
          <w:color w:val="auto"/>
        </w:rPr>
        <w:t>Clawbacks</w:t>
      </w:r>
      <w:r>
        <w:rPr>
          <w:rFonts w:ascii="Arial" w:cs="Arial" w:eastAsia="Arial" w:hAnsi="Arial"/>
          <w:sz w:val="21"/>
          <w:szCs w:val="21"/>
          <w:color w:val="auto"/>
        </w:rPr>
        <w:t>. Notwithstanding anything herein to the contrary, if the Company determines, in its good</w:t>
      </w:r>
      <w:r>
        <w:rPr>
          <w:rFonts w:ascii="Arial" w:cs="Arial" w:eastAsia="Arial" w:hAnsi="Arial"/>
          <w:sz w:val="21"/>
          <w:szCs w:val="21"/>
          <w:b w:val="1"/>
          <w:bCs w:val="1"/>
          <w:color w:val="auto"/>
        </w:rPr>
        <w:t xml:space="preserve"> </w:t>
      </w:r>
      <w:r>
        <w:rPr>
          <w:rFonts w:ascii="Arial" w:cs="Arial" w:eastAsia="Arial" w:hAnsi="Arial"/>
          <w:sz w:val="21"/>
          <w:szCs w:val="21"/>
          <w:color w:val="auto"/>
        </w:rPr>
        <w:t>faith judgment, that if the Executive is required to forfeit or to make any repayment of any compensation or benefit(s) to the Company under the Sarbanes-Oxley Act of 2002 or pursuant to the Dodd-Frank Wall Street Reform and Consumer Protection Act or any other law, such forfeiture or repayment shall not constitute Good Reason.</w:t>
      </w:r>
    </w:p>
    <w:p>
      <w:pPr>
        <w:spacing w:after="0" w:line="168" w:lineRule="exact"/>
        <w:rPr>
          <w:sz w:val="20"/>
          <w:szCs w:val="20"/>
          <w:color w:val="auto"/>
        </w:rPr>
      </w:pPr>
    </w:p>
    <w:p>
      <w:pPr>
        <w:ind w:right="100" w:firstLine="1297"/>
        <w:spacing w:after="0" w:line="278" w:lineRule="auto"/>
        <w:rPr>
          <w:sz w:val="20"/>
          <w:szCs w:val="20"/>
          <w:color w:val="auto"/>
        </w:rPr>
      </w:pPr>
      <w:r>
        <w:rPr>
          <w:rFonts w:ascii="Arial" w:cs="Arial" w:eastAsia="Arial" w:hAnsi="Arial"/>
          <w:sz w:val="19"/>
          <w:szCs w:val="19"/>
          <w:b w:val="1"/>
          <w:bCs w:val="1"/>
          <w:color w:val="auto"/>
        </w:rPr>
        <w:t xml:space="preserve">Section 12. </w:t>
      </w:r>
      <w:r>
        <w:rPr>
          <w:rFonts w:ascii="Arial" w:cs="Arial" w:eastAsia="Arial" w:hAnsi="Arial"/>
          <w:sz w:val="19"/>
          <w:szCs w:val="19"/>
          <w:u w:val="single" w:color="auto"/>
          <w:color w:val="auto"/>
        </w:rPr>
        <w:t>Full Settlement; Mitigation</w:t>
      </w:r>
      <w:r>
        <w:rPr>
          <w:rFonts w:ascii="Arial" w:cs="Arial" w:eastAsia="Arial" w:hAnsi="Arial"/>
          <w:sz w:val="19"/>
          <w:szCs w:val="19"/>
          <w:color w:val="auto"/>
        </w:rPr>
        <w:t>. The Company’s obligation to make the payments provided for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otherwise to perform its obligations hereunder shall not be affected by any set-off, counterclaim, recoupment, defense or other claim, right or action which the Company may have against the Executive or others, provided that nothing herein shall preclude the Company from separately pursuing recovery from the Executive based on any such claim. In no event shall the Executive be obligated to seek other employment or take any other action by way of mitigation of the amounts (including amounts for damages for breach) payable to the Executive under any of the provisions of this Agreement, and such amounts shall not be reduced whether or not the Executive obtains other employment.</w:t>
      </w:r>
    </w:p>
    <w:p>
      <w:pPr>
        <w:spacing w:after="0" w:line="13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13.</w:t>
      </w:r>
      <w:r>
        <w:rPr>
          <w:sz w:val="20"/>
          <w:szCs w:val="20"/>
          <w:color w:val="auto"/>
        </w:rPr>
        <w:tab/>
      </w:r>
      <w:r>
        <w:rPr>
          <w:rFonts w:ascii="Arial" w:cs="Arial" w:eastAsia="Arial" w:hAnsi="Arial"/>
          <w:sz w:val="19"/>
          <w:szCs w:val="19"/>
          <w:u w:val="single" w:color="auto"/>
          <w:color w:val="auto"/>
        </w:rPr>
        <w:t>Dispute Resolution</w:t>
      </w:r>
      <w:r>
        <w:rPr>
          <w:rFonts w:ascii="Arial" w:cs="Arial" w:eastAsia="Arial" w:hAnsi="Arial"/>
          <w:sz w:val="19"/>
          <w:szCs w:val="19"/>
          <w:color w:val="auto"/>
        </w:rPr>
        <w:t>.</w:t>
      </w:r>
    </w:p>
    <w:p>
      <w:pPr>
        <w:spacing w:after="0" w:line="193" w:lineRule="exact"/>
        <w:rPr>
          <w:sz w:val="20"/>
          <w:szCs w:val="20"/>
          <w:color w:val="auto"/>
        </w:rPr>
      </w:pPr>
    </w:p>
    <w:p>
      <w:pPr>
        <w:ind w:firstLine="1305"/>
        <w:spacing w:after="0" w:line="282" w:lineRule="auto"/>
        <w:tabs>
          <w:tab w:leader="none" w:pos="1945" w:val="left"/>
        </w:tabs>
        <w:numPr>
          <w:ilvl w:val="0"/>
          <w:numId w:val="195"/>
        </w:numPr>
        <w:rPr>
          <w:rFonts w:ascii="Arial" w:cs="Arial" w:eastAsia="Arial" w:hAnsi="Arial"/>
          <w:sz w:val="19"/>
          <w:szCs w:val="19"/>
          <w:color w:val="auto"/>
        </w:rPr>
      </w:pPr>
      <w:r>
        <w:rPr>
          <w:rFonts w:ascii="Arial" w:cs="Arial" w:eastAsia="Arial" w:hAnsi="Arial"/>
          <w:sz w:val="19"/>
          <w:szCs w:val="19"/>
          <w:color w:val="auto"/>
        </w:rPr>
        <w:t>If any dispute arises between Executive and the Company, including, but not limited to, disputes relating to or arising out of this Agreement, any action relating to or arising out of my employment or its termination, and/or any disputes regarding the interpretation, enforceability, or validity of this Agreement (“Arbitrable Dispute”), Executive and the Company waive the right to resolve the dispute through litigation in a judicial forum and agree to resolve the Arbitrable Dispute through final and binding arbitration, except as prohibited by law. Arbitration shall be the exclusive remedy for any Arbitrable Dispute.</w:t>
      </w:r>
    </w:p>
    <w:p>
      <w:pPr>
        <w:spacing w:after="0" w:line="147" w:lineRule="exact"/>
        <w:rPr>
          <w:rFonts w:ascii="Arial" w:cs="Arial" w:eastAsia="Arial" w:hAnsi="Arial"/>
          <w:sz w:val="19"/>
          <w:szCs w:val="19"/>
          <w:color w:val="auto"/>
        </w:rPr>
      </w:pPr>
    </w:p>
    <w:p>
      <w:pPr>
        <w:ind w:right="200" w:firstLine="1305"/>
        <w:spacing w:after="0" w:line="287" w:lineRule="auto"/>
        <w:tabs>
          <w:tab w:leader="none" w:pos="1945" w:val="left"/>
        </w:tabs>
        <w:numPr>
          <w:ilvl w:val="0"/>
          <w:numId w:val="195"/>
        </w:numPr>
        <w:rPr>
          <w:rFonts w:ascii="Arial" w:cs="Arial" w:eastAsia="Arial" w:hAnsi="Arial"/>
          <w:sz w:val="19"/>
          <w:szCs w:val="19"/>
          <w:color w:val="auto"/>
        </w:rPr>
      </w:pPr>
      <w:r>
        <w:rPr>
          <w:rFonts w:ascii="Arial" w:cs="Arial" w:eastAsia="Arial" w:hAnsi="Arial"/>
          <w:sz w:val="19"/>
          <w:szCs w:val="19"/>
          <w:color w:val="auto"/>
        </w:rPr>
        <w:t>As to any Arbitrable Dispute, the Company and Executive waive any right to a jury trial or a court bench trial. The Company and Executive also waive the right to bring, maintain, or participate in any class, collective, or representative proceeding, whether in arbitration or otherwise. Further, Arbitrable Disputes must be brought in the individual capacity of the party asserting the claim, and cannot be maintained on a class, collective, or representative basis.</w:t>
      </w:r>
    </w:p>
    <w:p>
      <w:pPr>
        <w:spacing w:after="0" w:line="129" w:lineRule="exact"/>
        <w:rPr>
          <w:rFonts w:ascii="Arial" w:cs="Arial" w:eastAsia="Arial" w:hAnsi="Arial"/>
          <w:sz w:val="19"/>
          <w:szCs w:val="19"/>
          <w:color w:val="auto"/>
        </w:rPr>
      </w:pPr>
    </w:p>
    <w:p>
      <w:pPr>
        <w:ind w:right="40" w:firstLine="1305"/>
        <w:spacing w:after="0" w:line="277" w:lineRule="auto"/>
        <w:tabs>
          <w:tab w:leader="none" w:pos="1945" w:val="left"/>
        </w:tabs>
        <w:numPr>
          <w:ilvl w:val="0"/>
          <w:numId w:val="195"/>
        </w:numPr>
        <w:rPr>
          <w:rFonts w:ascii="Arial" w:cs="Arial" w:eastAsia="Arial" w:hAnsi="Arial"/>
          <w:sz w:val="19"/>
          <w:szCs w:val="19"/>
          <w:color w:val="auto"/>
        </w:rPr>
      </w:pPr>
      <w:r>
        <w:rPr>
          <w:rFonts w:ascii="Arial" w:cs="Arial" w:eastAsia="Arial" w:hAnsi="Arial"/>
          <w:sz w:val="19"/>
          <w:szCs w:val="19"/>
          <w:color w:val="auto"/>
        </w:rPr>
        <w:t>Arbitration shall take place at the office of the Judicial Arbitration and Mediation Service (“JAMS”) (or, if Executive is employed outside of California, the American Arbitration Association (“AAA”)) nearest to the location where Executive last worked for the Company. Except to the extent it conflicts with the rules and procedures set forth in this Arbitration Agreement, arbitration shall be conducted in accordance with the JAMs Employment Arbitration Rules &amp; Procedures (if Executive is employed outside of California, the AAA Employment Arbitration Rules &amp; Mediation Procedures), copies of which are attached for my reference and available at www.jamsadr.com; tel: 800.352.5267 and www.adr.org; tel: 800.778.7879, before a single experienced, neutral employment arbitrator selected in accordance with those rules.</w:t>
      </w:r>
    </w:p>
    <w:p>
      <w:pPr>
        <w:spacing w:after="0" w:line="139" w:lineRule="exact"/>
        <w:rPr>
          <w:rFonts w:ascii="Arial" w:cs="Arial" w:eastAsia="Arial" w:hAnsi="Arial"/>
          <w:sz w:val="19"/>
          <w:szCs w:val="19"/>
          <w:color w:val="auto"/>
        </w:rPr>
      </w:pPr>
    </w:p>
    <w:p>
      <w:pPr>
        <w:ind w:right="260" w:firstLine="1305"/>
        <w:spacing w:after="0" w:line="287" w:lineRule="auto"/>
        <w:tabs>
          <w:tab w:leader="none" w:pos="1945" w:val="left"/>
        </w:tabs>
        <w:numPr>
          <w:ilvl w:val="0"/>
          <w:numId w:val="195"/>
        </w:numPr>
        <w:rPr>
          <w:rFonts w:ascii="Arial" w:cs="Arial" w:eastAsia="Arial" w:hAnsi="Arial"/>
          <w:sz w:val="19"/>
          <w:szCs w:val="19"/>
          <w:color w:val="auto"/>
        </w:rPr>
      </w:pPr>
      <w:r>
        <w:rPr>
          <w:rFonts w:ascii="Arial" w:cs="Arial" w:eastAsia="Arial" w:hAnsi="Arial"/>
          <w:sz w:val="19"/>
          <w:szCs w:val="19"/>
          <w:color w:val="auto"/>
        </w:rPr>
        <w:t>The Company will be responsible for paying any filing fee and the fees and costs of the arbitrator. Each party shall pay its own attorneys’ fees. However, if any party prevails on a statutory claim that authorizes an award of attorneys’ fees to the prevailing party, or if there is a written agreement providing for attorneys’ fees, the arbitrator may award reasonable attorneys’ fees to the prevailing party, applying the same standards a court would apply under the law applicable to the claim.</w:t>
      </w:r>
    </w:p>
    <w:p>
      <w:pPr>
        <w:spacing w:after="0" w:line="143" w:lineRule="exact"/>
        <w:rPr>
          <w:rFonts w:ascii="Arial" w:cs="Arial" w:eastAsia="Arial" w:hAnsi="Arial"/>
          <w:sz w:val="19"/>
          <w:szCs w:val="19"/>
          <w:color w:val="auto"/>
        </w:rPr>
      </w:pPr>
    </w:p>
    <w:p>
      <w:pPr>
        <w:ind w:right="100" w:firstLine="1305"/>
        <w:spacing w:after="0" w:line="279" w:lineRule="auto"/>
        <w:tabs>
          <w:tab w:leader="none" w:pos="1945" w:val="left"/>
        </w:tabs>
        <w:numPr>
          <w:ilvl w:val="0"/>
          <w:numId w:val="195"/>
        </w:numPr>
        <w:rPr>
          <w:rFonts w:ascii="Arial" w:cs="Arial" w:eastAsia="Arial" w:hAnsi="Arial"/>
          <w:sz w:val="19"/>
          <w:szCs w:val="19"/>
          <w:color w:val="auto"/>
        </w:rPr>
      </w:pPr>
      <w:r>
        <w:rPr>
          <w:rFonts w:ascii="Arial" w:cs="Arial" w:eastAsia="Arial" w:hAnsi="Arial"/>
          <w:sz w:val="19"/>
          <w:szCs w:val="19"/>
          <w:color w:val="auto"/>
        </w:rPr>
        <w:t>The arbitrator shall apply the Federal Rules of Evidence, shall have the authority to entertain a motion to dismiss or a motion for summary judgment by any party, and shall apply the standards governing such motions under the Federal Rules of Civil Procedure. The arbitrator does not have the authority to consider, certify, or hear an arbitration as a class action, collective action, or any other type of representative action. The Company and Executive recognize that this Agreement arises out of or concerns interstate commerce and that the Federal Arbitration Act shall govern the arbitration and shall govern the interpretation or enforcement of this Arbitration Agreement or any arbitration award.</w:t>
      </w:r>
    </w:p>
    <w:p>
      <w:pPr>
        <w:spacing w:after="0" w:line="137" w:lineRule="exact"/>
        <w:rPr>
          <w:rFonts w:ascii="Arial" w:cs="Arial" w:eastAsia="Arial" w:hAnsi="Arial"/>
          <w:sz w:val="19"/>
          <w:szCs w:val="19"/>
          <w:color w:val="auto"/>
        </w:rPr>
      </w:pPr>
    </w:p>
    <w:p>
      <w:pPr>
        <w:ind w:right="240" w:firstLine="1305"/>
        <w:spacing w:after="0" w:line="251" w:lineRule="auto"/>
        <w:tabs>
          <w:tab w:leader="none" w:pos="1945" w:val="left"/>
        </w:tabs>
        <w:numPr>
          <w:ilvl w:val="0"/>
          <w:numId w:val="195"/>
        </w:numPr>
        <w:rPr>
          <w:rFonts w:ascii="Arial" w:cs="Arial" w:eastAsia="Arial" w:hAnsi="Arial"/>
          <w:sz w:val="22"/>
          <w:szCs w:val="22"/>
          <w:color w:val="auto"/>
        </w:rPr>
      </w:pPr>
      <w:r>
        <w:rPr>
          <w:rFonts w:ascii="Arial" w:cs="Arial" w:eastAsia="Arial" w:hAnsi="Arial"/>
          <w:sz w:val="22"/>
          <w:szCs w:val="22"/>
          <w:color w:val="auto"/>
        </w:rPr>
        <w:t>EXECUTIVE ACKNOWLEDGES THAT BY ENTERING INTO THIS AGREEMENT, EXECUTIVE IS WAIVING ANY RIGHT HE OR SHE MAY HAVE TO A TRIAL BY JURY.</w:t>
      </w:r>
    </w:p>
    <w:p>
      <w:pPr>
        <w:spacing w:after="0" w:line="16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14.</w:t>
      </w:r>
      <w:r>
        <w:rPr>
          <w:sz w:val="20"/>
          <w:szCs w:val="20"/>
          <w:color w:val="auto"/>
        </w:rPr>
        <w:tab/>
      </w:r>
      <w:r>
        <w:rPr>
          <w:rFonts w:ascii="Arial" w:cs="Arial" w:eastAsia="Arial" w:hAnsi="Arial"/>
          <w:sz w:val="19"/>
          <w:szCs w:val="19"/>
          <w:u w:val="single" w:color="auto"/>
          <w:color w:val="auto"/>
        </w:rPr>
        <w:t>Executive’s Covenants</w:t>
      </w:r>
      <w:r>
        <w:rPr>
          <w:rFonts w:ascii="Arial" w:cs="Arial" w:eastAsia="Arial" w:hAnsi="Arial"/>
          <w:sz w:val="19"/>
          <w:szCs w:val="19"/>
          <w:color w:val="auto"/>
        </w:rPr>
        <w:t>.</w:t>
      </w:r>
    </w:p>
    <w:p>
      <w:pPr>
        <w:spacing w:after="0" w:line="206" w:lineRule="exact"/>
        <w:rPr>
          <w:sz w:val="20"/>
          <w:szCs w:val="20"/>
          <w:color w:val="auto"/>
        </w:rPr>
      </w:pPr>
    </w:p>
    <w:p>
      <w:pPr>
        <w:ind w:right="40" w:firstLine="1305"/>
        <w:spacing w:after="0" w:line="279" w:lineRule="auto"/>
        <w:tabs>
          <w:tab w:leader="none" w:pos="1945" w:val="left"/>
        </w:tabs>
        <w:numPr>
          <w:ilvl w:val="0"/>
          <w:numId w:val="196"/>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The Executive acknowledges that in the course of his employment with the Company, he has acquired non-public privileged or confidential information and trade secrets concerning the operations, future plans and methods of doing business (“</w:t>
      </w:r>
      <w:r>
        <w:rPr>
          <w:rFonts w:ascii="Arial" w:cs="Arial" w:eastAsia="Arial" w:hAnsi="Arial"/>
          <w:sz w:val="19"/>
          <w:szCs w:val="19"/>
          <w:u w:val="single" w:color="auto"/>
          <w:color w:val="auto"/>
        </w:rPr>
        <w:t>Proprietary Information</w:t>
      </w:r>
      <w:r>
        <w:rPr>
          <w:rFonts w:ascii="Arial" w:cs="Arial" w:eastAsia="Arial" w:hAnsi="Arial"/>
          <w:sz w:val="19"/>
          <w:szCs w:val="19"/>
          <w:color w:val="auto"/>
        </w:rPr>
        <w:t>”) of the Company and its Affiliates; and the Executive agrees that it would be extremely damaging to the Company and its Affiliates if such Proprietary Information were disclosed to a competitor of the Company and its Affiliates or to any other person or corporation. The Executive understands and agrees that all Proprietary Information has been divulged to the Executive in confidence and further understands and agrees to keep all Proprietary</w:t>
      </w:r>
    </w:p>
    <w:p>
      <w:pPr>
        <w:sectPr>
          <w:pgSz w:w="11900" w:h="16838" w:orient="portrait"/>
          <w:cols w:equalWidth="0" w:num="1">
            <w:col w:w="11400"/>
          </w:cols>
          <w:pgMar w:left="240" w:top="118" w:right="259" w:bottom="0" w:gutter="0" w:footer="0" w:header="0"/>
        </w:sectPr>
      </w:pPr>
    </w:p>
    <w:bookmarkStart w:id="140" w:name="page141"/>
    <w:bookmarkEnd w:id="140"/>
    <w:p>
      <w:pPr>
        <w:ind w:right="80"/>
        <w:spacing w:after="0" w:line="273" w:lineRule="auto"/>
        <w:rPr>
          <w:sz w:val="20"/>
          <w:szCs w:val="20"/>
          <w:color w:val="auto"/>
        </w:rPr>
      </w:pPr>
      <w:r>
        <w:rPr>
          <w:rFonts w:ascii="Arial" w:cs="Arial" w:eastAsia="Arial" w:hAnsi="Arial"/>
          <w:sz w:val="19"/>
          <w:szCs w:val="19"/>
          <w:color w:val="auto"/>
        </w:rPr>
        <w:t xml:space="preserve">Information secret and confidential (except for such information which is or becomes publicly available other than as a result of a breach by the Executive of this provision or information the Executive is required by any governmental, administrative or court order to disclose) without limitation in time. In view of the nature of the Executive’s employment and the Proprietary Information the Executive has acquired during the course of such employment, the Executive likewise agrees that the Company and its Affiliates would be irreparably harmed by any disclosure of Proprietary Information in violation of the terms of this paragraph and that the Company and its Affiliates shall therefore be entitled to preliminary and/or permanent injunctive relief prohibiting the Executive from engaging in any activity or threatened activity in violation of the terms of this paragraph and to any other relief available to them. Inquiries regarding whether specific information constitutes Proprietary Information shall be directed to the Company’s Senior Vice President, Public Policy (or, if such position is vacant, the Company’s then Chief Executive Officer); </w:t>
      </w:r>
      <w:r>
        <w:rPr>
          <w:rFonts w:ascii="Arial" w:cs="Arial" w:eastAsia="Arial" w:hAnsi="Arial"/>
          <w:sz w:val="19"/>
          <w:szCs w:val="19"/>
          <w:i w:val="1"/>
          <w:iCs w:val="1"/>
          <w:color w:val="auto"/>
        </w:rPr>
        <w:t>provided</w:t>
      </w:r>
      <w:r>
        <w:rPr>
          <w:rFonts w:ascii="Arial" w:cs="Arial" w:eastAsia="Arial" w:hAnsi="Arial"/>
          <w:sz w:val="19"/>
          <w:szCs w:val="19"/>
          <w:color w:val="auto"/>
        </w:rPr>
        <w:t>, that the Company shall not unreasonably classify information as Proprietary Information.</w:t>
      </w:r>
    </w:p>
    <w:p>
      <w:pPr>
        <w:spacing w:after="0" w:line="149" w:lineRule="exact"/>
        <w:rPr>
          <w:sz w:val="20"/>
          <w:szCs w:val="20"/>
          <w:color w:val="auto"/>
        </w:rPr>
      </w:pPr>
    </w:p>
    <w:p>
      <w:pPr>
        <w:ind w:firstLine="1305"/>
        <w:spacing w:after="0" w:line="270" w:lineRule="auto"/>
        <w:tabs>
          <w:tab w:leader="none" w:pos="1945" w:val="left"/>
        </w:tabs>
        <w:numPr>
          <w:ilvl w:val="0"/>
          <w:numId w:val="197"/>
        </w:numPr>
        <w:rPr>
          <w:rFonts w:ascii="Arial" w:cs="Arial" w:eastAsia="Arial" w:hAnsi="Arial"/>
          <w:sz w:val="19"/>
          <w:szCs w:val="19"/>
          <w:color w:val="auto"/>
        </w:rPr>
      </w:pPr>
      <w:r>
        <w:rPr>
          <w:rFonts w:ascii="Arial" w:cs="Arial" w:eastAsia="Arial" w:hAnsi="Arial"/>
          <w:sz w:val="19"/>
          <w:szCs w:val="19"/>
          <w:u w:val="single" w:color="auto"/>
          <w:color w:val="auto"/>
        </w:rPr>
        <w:t>Non-Solicitation of Employees</w:t>
      </w:r>
      <w:r>
        <w:rPr>
          <w:rFonts w:ascii="Arial" w:cs="Arial" w:eastAsia="Arial" w:hAnsi="Arial"/>
          <w:sz w:val="19"/>
          <w:szCs w:val="19"/>
          <w:color w:val="auto"/>
        </w:rPr>
        <w:t xml:space="preserve">. The Executive recognizes that he possesses and will possess confidential information about other employees of the Company and its Affiliates relating to their education, experience, skills, abilities, compensation and benefits, and inter-personal relationships with customers of the Company and its Affiliates. The Executive recognizes that the information he possesses and will possess about these other employees is not generally known, is of substantial value to the Company and its Affiliates in developing their business and in securing and retaining customers, and has been and will be acquired by him because of his business position with the Company and its Affiliates. The Executive agrees that at all times during the Executive’s employment with the Company and for a period of one (1) year thereafter, he will not, directly or indirectly, solicit or recruit any employee of the Company or its Affiliates for the purpose of being employed by him or by any competitor of the Company or its Affiliates on whose behalf he is acting as an agent, representative or employee and that he will not convey any such confidential information or trade secrets about other employees of the Company and its Affiliates to any other person; </w:t>
      </w:r>
      <w:r>
        <w:rPr>
          <w:rFonts w:ascii="Arial" w:cs="Arial" w:eastAsia="Arial" w:hAnsi="Arial"/>
          <w:sz w:val="19"/>
          <w:szCs w:val="19"/>
          <w:i w:val="1"/>
          <w:iCs w:val="1"/>
          <w:color w:val="auto"/>
        </w:rPr>
        <w:t>provided, however</w:t>
      </w:r>
      <w:r>
        <w:rPr>
          <w:rFonts w:ascii="Arial" w:cs="Arial" w:eastAsia="Arial" w:hAnsi="Arial"/>
          <w:sz w:val="19"/>
          <w:szCs w:val="19"/>
          <w:color w:val="auto"/>
        </w:rPr>
        <w:t>, that it shall not constitute a solicitation or recruitment of employment in violation of this paragraph to discuss</w:t>
      </w:r>
      <w:r>
        <w:rPr>
          <w:rFonts w:ascii="Arial" w:cs="Arial" w:eastAsia="Arial" w:hAnsi="Arial"/>
          <w:sz w:val="19"/>
          <w:szCs w:val="19"/>
          <w:i w:val="1"/>
          <w:iCs w:val="1"/>
          <w:color w:val="auto"/>
        </w:rPr>
        <w:t xml:space="preserve"> </w:t>
      </w:r>
      <w:r>
        <w:rPr>
          <w:rFonts w:ascii="Arial" w:cs="Arial" w:eastAsia="Arial" w:hAnsi="Arial"/>
          <w:sz w:val="19"/>
          <w:szCs w:val="19"/>
          <w:color w:val="auto"/>
        </w:rPr>
        <w:t>employment opportunities with any employee of the Company or its Affiliates who has either first contacted the Executive or regarding whose employment the Executive has discussed with and received the written approval of the Company’s Vice President, Human Resources (or, if such position is vacant, the Company’s then Chief Executive Officer), prior to making such solicitation or recruitment. In view of the nature of the Executive’s employment with the Company, the Executive likewise agrees that the Company and its Affiliates would be irreparably harmed by any solicitation or recruitment in violation of the terms of this paragraph and that the Company and its Affiliates shall therefore be entitled to preliminary and/or permanent injunctive relief prohibiting the Executive from engaging in any activity or threatened activity in violation of the terms of this paragraph and to any other relief available to them.</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right="20" w:firstLine="1305"/>
        <w:spacing w:after="0" w:line="282" w:lineRule="auto"/>
        <w:tabs>
          <w:tab w:leader="none" w:pos="1945" w:val="left"/>
        </w:tabs>
        <w:numPr>
          <w:ilvl w:val="0"/>
          <w:numId w:val="197"/>
        </w:numPr>
        <w:rPr>
          <w:rFonts w:ascii="Arial" w:cs="Arial" w:eastAsia="Arial" w:hAnsi="Arial"/>
          <w:sz w:val="19"/>
          <w:szCs w:val="19"/>
          <w:color w:val="auto"/>
        </w:rPr>
      </w:pPr>
      <w:r>
        <w:rPr>
          <w:rFonts w:ascii="Arial" w:cs="Arial" w:eastAsia="Arial" w:hAnsi="Arial"/>
          <w:sz w:val="19"/>
          <w:szCs w:val="19"/>
          <w:u w:val="single" w:color="auto"/>
          <w:color w:val="auto"/>
        </w:rPr>
        <w:t>Survival of Provisions</w:t>
      </w:r>
      <w:r>
        <w:rPr>
          <w:rFonts w:ascii="Arial" w:cs="Arial" w:eastAsia="Arial" w:hAnsi="Arial"/>
          <w:sz w:val="19"/>
          <w:szCs w:val="19"/>
          <w:color w:val="auto"/>
        </w:rPr>
        <w:t>. The obligations contained in Section 14(a) and Section 14(b) above shall survive the termination of the Executive’s employment within the Company and shall be fully enforceable thereafter. If it is determined by a court of competent jurisdiction in any state that any restriction in Section 14(a) or Section 14(b) above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134" w:lineRule="exact"/>
        <w:rPr>
          <w:rFonts w:ascii="Arial" w:cs="Arial" w:eastAsia="Arial" w:hAnsi="Arial"/>
          <w:sz w:val="19"/>
          <w:szCs w:val="19"/>
          <w:color w:val="auto"/>
        </w:rPr>
      </w:pPr>
    </w:p>
    <w:p>
      <w:pPr>
        <w:ind w:right="60" w:firstLine="1305"/>
        <w:spacing w:after="0" w:line="271" w:lineRule="auto"/>
        <w:tabs>
          <w:tab w:leader="none" w:pos="1945" w:val="left"/>
        </w:tabs>
        <w:numPr>
          <w:ilvl w:val="0"/>
          <w:numId w:val="197"/>
        </w:numPr>
        <w:rPr>
          <w:rFonts w:ascii="Arial" w:cs="Arial" w:eastAsia="Arial" w:hAnsi="Arial"/>
          <w:sz w:val="19"/>
          <w:szCs w:val="19"/>
          <w:color w:val="auto"/>
        </w:rPr>
      </w:pPr>
      <w:r>
        <w:rPr>
          <w:rFonts w:ascii="Arial" w:cs="Arial" w:eastAsia="Arial" w:hAnsi="Arial"/>
          <w:sz w:val="19"/>
          <w:szCs w:val="19"/>
          <w:u w:val="single" w:color="auto"/>
          <w:color w:val="auto"/>
        </w:rPr>
        <w:t>Release; Lump Sum Payment</w:t>
      </w:r>
      <w:r>
        <w:rPr>
          <w:rFonts w:ascii="Arial" w:cs="Arial" w:eastAsia="Arial" w:hAnsi="Arial"/>
          <w:sz w:val="19"/>
          <w:szCs w:val="19"/>
          <w:color w:val="auto"/>
        </w:rPr>
        <w:t>. In the event of the Executive’s Involuntary Termination, if the Executive (i) reconfirms and agrees to abide by the covenants described in Section 14(a) and Section 14(b) above, (ii) executes the Release within fifty (50) days after the date of Involuntary Termination and does not revoke such Release in accordance with the terms thereof, and (iii) agrees to provide the consulting services described in Section 14(e) below, then in consideration for such covenants and consulting services, the Company shall pay the Executive, in one cash lump sum, an amount (the “</w:t>
      </w:r>
      <w:r>
        <w:rPr>
          <w:rFonts w:ascii="Arial" w:cs="Arial" w:eastAsia="Arial" w:hAnsi="Arial"/>
          <w:sz w:val="19"/>
          <w:szCs w:val="19"/>
          <w:u w:val="single" w:color="auto"/>
          <w:color w:val="auto"/>
        </w:rPr>
        <w:t>Consulting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Payment</w:t>
      </w:r>
      <w:r>
        <w:rPr>
          <w:rFonts w:ascii="Arial" w:cs="Arial" w:eastAsia="Arial" w:hAnsi="Arial"/>
          <w:sz w:val="19"/>
          <w:szCs w:val="19"/>
          <w:color w:val="auto"/>
        </w:rPr>
        <w:t>”) in cash equal to one-half (0.5) times the greater of: (X) 145% of the Executive’s Annual Base Salary as in effect on the Date of Termination, and (Y) the Executive’s Annual Base Salary as in effect on the Date of Termination, plus the Executive’s Average Annual Bonus. Except as provided in this subsection, the Consulting Payment shall be paid on such date as is determined</w:t>
      </w:r>
    </w:p>
    <w:p>
      <w:pPr>
        <w:spacing w:after="0" w:line="3" w:lineRule="exact"/>
        <w:rPr>
          <w:sz w:val="20"/>
          <w:szCs w:val="20"/>
          <w:color w:val="auto"/>
        </w:rPr>
      </w:pPr>
    </w:p>
    <w:p>
      <w:pPr>
        <w:ind w:right="220"/>
        <w:spacing w:after="0" w:line="225" w:lineRule="auto"/>
        <w:rPr>
          <w:sz w:val="20"/>
          <w:szCs w:val="20"/>
          <w:color w:val="auto"/>
        </w:rPr>
      </w:pPr>
      <w:r>
        <w:rPr>
          <w:rFonts w:ascii="Arial" w:cs="Arial" w:eastAsia="Arial" w:hAnsi="Arial"/>
          <w:sz w:val="21"/>
          <w:szCs w:val="21"/>
          <w:color w:val="auto"/>
        </w:rPr>
        <w:t>by the Company within the ten (10) day period commencing on the 60</w:t>
      </w:r>
      <w:r>
        <w:rPr>
          <w:rFonts w:ascii="Arial" w:cs="Arial" w:eastAsia="Arial" w:hAnsi="Arial"/>
          <w:sz w:val="35"/>
          <w:szCs w:val="35"/>
          <w:color w:val="auto"/>
          <w:vertAlign w:val="superscript"/>
        </w:rPr>
        <w:t>th</w:t>
      </w:r>
      <w:r>
        <w:rPr>
          <w:rFonts w:ascii="Arial" w:cs="Arial" w:eastAsia="Arial" w:hAnsi="Arial"/>
          <w:sz w:val="21"/>
          <w:szCs w:val="21"/>
          <w:color w:val="auto"/>
        </w:rPr>
        <w:t xml:space="preserve"> day after the date of the Executive’s Involuntary Termination; </w:t>
      </w:r>
      <w:r>
        <w:rPr>
          <w:rFonts w:ascii="Arial" w:cs="Arial" w:eastAsia="Arial" w:hAnsi="Arial"/>
          <w:sz w:val="21"/>
          <w:szCs w:val="21"/>
          <w:i w:val="1"/>
          <w:iCs w:val="1"/>
          <w:color w:val="auto"/>
        </w:rPr>
        <w:t>provided, however</w:t>
      </w:r>
      <w:r>
        <w:rPr>
          <w:rFonts w:ascii="Arial" w:cs="Arial" w:eastAsia="Arial" w:hAnsi="Arial"/>
          <w:sz w:val="21"/>
          <w:szCs w:val="21"/>
          <w:color w:val="auto"/>
        </w:rPr>
        <w:t>, that if the Executive is a Specified Employee on the date of the Executive’s Involuntary Termination, the Consulting Payment shall be paid as provided in Section 9 hereof. The Executive shall have the right to elect to defer the Consulting Payment under the terms and conditions of the Company’s Deferred Compensation Plan. Any such deferral election shall be made in accordance with Section 18(b) hereof.</w:t>
      </w:r>
    </w:p>
    <w:p>
      <w:pPr>
        <w:spacing w:after="0" w:line="171" w:lineRule="exact"/>
        <w:rPr>
          <w:sz w:val="20"/>
          <w:szCs w:val="20"/>
          <w:color w:val="auto"/>
        </w:rPr>
      </w:pPr>
    </w:p>
    <w:p>
      <w:pPr>
        <w:ind w:right="160" w:firstLine="1305"/>
        <w:spacing w:after="0" w:line="272" w:lineRule="auto"/>
        <w:tabs>
          <w:tab w:leader="none" w:pos="1945" w:val="left"/>
        </w:tabs>
        <w:numPr>
          <w:ilvl w:val="0"/>
          <w:numId w:val="198"/>
        </w:numPr>
        <w:rPr>
          <w:rFonts w:ascii="Arial" w:cs="Arial" w:eastAsia="Arial" w:hAnsi="Arial"/>
          <w:sz w:val="19"/>
          <w:szCs w:val="19"/>
          <w:color w:val="auto"/>
        </w:rPr>
      </w:pPr>
      <w:r>
        <w:rPr>
          <w:rFonts w:ascii="Arial" w:cs="Arial" w:eastAsia="Arial" w:hAnsi="Arial"/>
          <w:sz w:val="19"/>
          <w:szCs w:val="19"/>
          <w:u w:val="single" w:color="auto"/>
          <w:color w:val="auto"/>
        </w:rPr>
        <w:t>Consulting</w:t>
      </w:r>
      <w:r>
        <w:rPr>
          <w:rFonts w:ascii="Arial" w:cs="Arial" w:eastAsia="Arial" w:hAnsi="Arial"/>
          <w:sz w:val="19"/>
          <w:szCs w:val="19"/>
          <w:color w:val="auto"/>
        </w:rPr>
        <w:t>. If the Executive agrees to the provisions of in Section 14(d) above, then the Executive shall have the obligation to provide consulting services to the Company as an independent contractor, commencing on the Date of Termination and ending on the first anniversary of the Date of Termination (the “</w:t>
      </w:r>
      <w:r>
        <w:rPr>
          <w:rFonts w:ascii="Arial" w:cs="Arial" w:eastAsia="Arial" w:hAnsi="Arial"/>
          <w:sz w:val="19"/>
          <w:szCs w:val="19"/>
          <w:u w:val="single" w:color="auto"/>
          <w:color w:val="auto"/>
        </w:rPr>
        <w:t>Consulting Period</w:t>
      </w:r>
      <w:r>
        <w:rPr>
          <w:rFonts w:ascii="Arial" w:cs="Arial" w:eastAsia="Arial" w:hAnsi="Arial"/>
          <w:sz w:val="19"/>
          <w:szCs w:val="19"/>
          <w:color w:val="auto"/>
        </w:rPr>
        <w:t xml:space="preserve">”). The Executive shall hold himself available at reasonable times and on reasonable notice to render such consulting services as may be so assigned to him by the Board or the Company’s then Chief Executive Officer;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unless the parties otherwise agree, the consulting services rendered by the Executive during the Consulting Period shall not exceed twenty (20) hours each month;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the consulting services rendered by the Executive during the Consulting Period shall in no event exceed</w:t>
      </w:r>
      <w:r>
        <w:rPr>
          <w:rFonts w:ascii="Arial" w:cs="Arial" w:eastAsia="Arial" w:hAnsi="Arial"/>
          <w:sz w:val="19"/>
          <w:szCs w:val="19"/>
          <w:i w:val="1"/>
          <w:iCs w:val="1"/>
          <w:color w:val="auto"/>
        </w:rPr>
        <w:t xml:space="preserve"> </w:t>
      </w:r>
      <w:r>
        <w:rPr>
          <w:rFonts w:ascii="Arial" w:cs="Arial" w:eastAsia="Arial" w:hAnsi="Arial"/>
          <w:sz w:val="19"/>
          <w:szCs w:val="19"/>
          <w:color w:val="auto"/>
        </w:rPr>
        <w:t>twenty percent (20%) of the average level of services performed by the Executive for the Company over the thirty-six (36) month period immediately preceding the Executive’s Separation from Service (or the full period of services to the Company, if the Executive has been providing services to the Company for less than thirty-six (36) months). The Company agrees to use its best efforts during the Consulting Period to secure the benefit of the Executive’s consulting services so as to minimize the interference with the Executive’s other activities, including requiring the performance of consulting services at the Company’s offices only when such services may not be reasonably performed off-site by the Executive.</w:t>
      </w:r>
    </w:p>
    <w:p>
      <w:pPr>
        <w:spacing w:after="0" w:line="15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15.</w:t>
      </w:r>
      <w:r>
        <w:rPr>
          <w:sz w:val="20"/>
          <w:szCs w:val="20"/>
          <w:color w:val="auto"/>
        </w:rPr>
        <w:tab/>
      </w:r>
      <w:r>
        <w:rPr>
          <w:rFonts w:ascii="Arial" w:cs="Arial" w:eastAsia="Arial" w:hAnsi="Arial"/>
          <w:sz w:val="19"/>
          <w:szCs w:val="19"/>
          <w:u w:val="single" w:color="auto"/>
          <w:color w:val="auto"/>
        </w:rPr>
        <w:t>Legal Fees</w:t>
      </w:r>
      <w:r>
        <w:rPr>
          <w:rFonts w:ascii="Arial" w:cs="Arial" w:eastAsia="Arial" w:hAnsi="Arial"/>
          <w:sz w:val="19"/>
          <w:szCs w:val="19"/>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w:t>
      </w:r>
    </w:p>
    <w:p>
      <w:pPr>
        <w:sectPr>
          <w:pgSz w:w="11900" w:h="16838" w:orient="portrait"/>
          <w:cols w:equalWidth="0" w:num="1">
            <w:col w:w="11380"/>
          </w:cols>
          <w:pgMar w:left="240" w:top="118" w:right="279" w:bottom="0" w:gutter="0" w:footer="0" w:header="0"/>
        </w:sectPr>
      </w:pPr>
    </w:p>
    <w:bookmarkStart w:id="141" w:name="page142"/>
    <w:bookmarkEnd w:id="141"/>
    <w:p>
      <w:pPr>
        <w:spacing w:after="0" w:line="57" w:lineRule="exact"/>
        <w:rPr>
          <w:sz w:val="20"/>
          <w:szCs w:val="20"/>
          <w:color w:val="auto"/>
        </w:rPr>
      </w:pPr>
    </w:p>
    <w:p>
      <w:pPr>
        <w:ind w:right="80" w:firstLine="1945"/>
        <w:spacing w:after="0" w:line="249" w:lineRule="auto"/>
        <w:rPr>
          <w:sz w:val="20"/>
          <w:szCs w:val="20"/>
          <w:color w:val="auto"/>
        </w:rPr>
      </w:pPr>
      <w:r>
        <w:rPr>
          <w:rFonts w:ascii="Arial" w:cs="Arial" w:eastAsia="Arial" w:hAnsi="Arial"/>
          <w:sz w:val="21"/>
          <w:szCs w:val="21"/>
          <w:u w:val="single" w:color="auto"/>
          <w:color w:val="auto"/>
        </w:rPr>
        <w:t>Reimbursement of Legal Fees</w:t>
      </w:r>
      <w:r>
        <w:rPr>
          <w:rFonts w:ascii="Arial" w:cs="Arial" w:eastAsia="Arial" w:hAnsi="Arial"/>
          <w:sz w:val="21"/>
          <w:szCs w:val="21"/>
          <w:color w:val="auto"/>
        </w:rPr>
        <w:t>. Subject to subsection (b), in the event of the Executive’s Separation from Service either (1) prior to a Change in Control, or (2) on or within two (2) years following a Change in Control, the Company shall reimburse the Executive for all legal fees and expenses (including but not limited to fees and expenses in connection with any arbitration) incurred by the Executive in disputing any issue arising under this Agreement relating to the Executive’s Separation from Service or in seeking to obtain or enforce any benefit or right provided by this Agreement.</w:t>
      </w:r>
    </w:p>
    <w:p>
      <w:pPr>
        <w:spacing w:after="0" w:line="166" w:lineRule="exact"/>
        <w:rPr>
          <w:sz w:val="20"/>
          <w:szCs w:val="20"/>
          <w:color w:val="auto"/>
        </w:rPr>
      </w:pPr>
    </w:p>
    <w:p>
      <w:pPr>
        <w:ind w:firstLine="1305"/>
        <w:spacing w:after="0" w:line="272" w:lineRule="auto"/>
        <w:tabs>
          <w:tab w:leader="none" w:pos="1945" w:val="left"/>
        </w:tabs>
        <w:numPr>
          <w:ilvl w:val="0"/>
          <w:numId w:val="199"/>
        </w:numPr>
        <w:rPr>
          <w:rFonts w:ascii="Arial" w:cs="Arial" w:eastAsia="Arial" w:hAnsi="Arial"/>
          <w:sz w:val="19"/>
          <w:szCs w:val="19"/>
          <w:color w:val="auto"/>
        </w:rPr>
      </w:pPr>
      <w:r>
        <w:rPr>
          <w:rFonts w:ascii="Arial" w:cs="Arial" w:eastAsia="Arial" w:hAnsi="Arial"/>
          <w:sz w:val="19"/>
          <w:szCs w:val="19"/>
          <w:u w:val="single" w:color="auto"/>
          <w:color w:val="auto"/>
        </w:rPr>
        <w:t>Requirements for Reimbursement</w:t>
      </w:r>
      <w:r>
        <w:rPr>
          <w:rFonts w:ascii="Arial" w:cs="Arial" w:eastAsia="Arial" w:hAnsi="Arial"/>
          <w:sz w:val="19"/>
          <w:szCs w:val="19"/>
          <w:color w:val="auto"/>
        </w:rPr>
        <w:t>. The Company shall reimburse the Executive’s legal fees and expenses pursuant to subsection (a) above only to the extent the arbitrator or court determines the following: (i) the Executive disputed such issue, or sought to obtain or enforce such benefit or right, in good faith, (ii) the Executive had a reasonable basis for such claim, and (iii) in the case of subsection (a)(1) above, the Executive is the prevailing party. In addition, the Company shall reimburse such legal fees and expenses, only if such legal fees and expenses are incurred during the twenty (20) year period beginning on the date of the Executive’s Separation from Service. The legal fees and expenses paid to the Executive for any taxable year of the Executive shall not affect the legal fees and expenses paid to the Executive for any other taxable year of the Executive. The legal fees and expenses shall be paid to the Executive on or before the last day of the Executive’s taxable year following the taxable year in which the fees or expenses are incurred. The Executive’s right to reimbursement of legal fees and expenses shall not be subject to liquidation or exchange for any other benefit. Such right to reimbursement of legal fees and expenses shall be provided in a manner that complies with Treasury Regulation Section 1.409A-3(i)(1)(iv). If the Executive is a Specified Employee on the date of the Executive’s Separation from Service, such right to reimbursement of legal fees and expenses shall be paid as provided in Section 9 hereof.</w:t>
      </w:r>
    </w:p>
    <w:p>
      <w:pPr>
        <w:spacing w:after="0" w:line="39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16.</w:t>
      </w:r>
      <w:r>
        <w:rPr>
          <w:sz w:val="20"/>
          <w:szCs w:val="20"/>
          <w:color w:val="auto"/>
        </w:rPr>
        <w:tab/>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199" w:lineRule="exact"/>
        <w:rPr>
          <w:sz w:val="20"/>
          <w:szCs w:val="20"/>
          <w:color w:val="auto"/>
        </w:rPr>
      </w:pPr>
    </w:p>
    <w:p>
      <w:pPr>
        <w:ind w:right="200" w:firstLine="1305"/>
        <w:spacing w:after="0" w:line="297" w:lineRule="auto"/>
        <w:tabs>
          <w:tab w:leader="none" w:pos="1945" w:val="left"/>
        </w:tabs>
        <w:numPr>
          <w:ilvl w:val="0"/>
          <w:numId w:val="200"/>
        </w:numPr>
        <w:rPr>
          <w:rFonts w:ascii="Arial" w:cs="Arial" w:eastAsia="Arial" w:hAnsi="Arial"/>
          <w:sz w:val="19"/>
          <w:szCs w:val="19"/>
          <w:color w:val="auto"/>
        </w:rPr>
      </w:pPr>
      <w:r>
        <w:rPr>
          <w:rFonts w:ascii="Arial" w:cs="Arial" w:eastAsia="Arial" w:hAnsi="Arial"/>
          <w:sz w:val="19"/>
          <w:szCs w:val="19"/>
          <w:u w:val="single" w:color="auto"/>
          <w:color w:val="auto"/>
        </w:rPr>
        <w:t>Assignment by the Executive</w:t>
      </w:r>
      <w:r>
        <w:rPr>
          <w:rFonts w:ascii="Arial" w:cs="Arial" w:eastAsia="Arial" w:hAnsi="Arial"/>
          <w:sz w:val="19"/>
          <w:szCs w:val="19"/>
          <w:color w:val="auto"/>
        </w:rPr>
        <w:t>. This Agreement is personal to the Executive and without the prior written consent of Sempra Energy shall not be assignable by the Executive otherwise than by will or the laws of descent and distribution. This Agreement shall inure to the benefit of and be enforceable by the Executive’s legal representatives.</w:t>
      </w:r>
    </w:p>
    <w:p>
      <w:pPr>
        <w:spacing w:after="0" w:line="120" w:lineRule="exact"/>
        <w:rPr>
          <w:rFonts w:ascii="Arial" w:cs="Arial" w:eastAsia="Arial" w:hAnsi="Arial"/>
          <w:sz w:val="19"/>
          <w:szCs w:val="19"/>
          <w:color w:val="auto"/>
        </w:rPr>
      </w:pPr>
    </w:p>
    <w:p>
      <w:pPr>
        <w:ind w:firstLine="1305"/>
        <w:spacing w:after="0" w:line="258" w:lineRule="auto"/>
        <w:tabs>
          <w:tab w:leader="none" w:pos="1945" w:val="left"/>
        </w:tabs>
        <w:numPr>
          <w:ilvl w:val="0"/>
          <w:numId w:val="200"/>
        </w:numPr>
        <w:rPr>
          <w:rFonts w:ascii="Arial" w:cs="Arial" w:eastAsia="Arial" w:hAnsi="Arial"/>
          <w:sz w:val="21"/>
          <w:szCs w:val="21"/>
          <w:color w:val="auto"/>
        </w:rPr>
      </w:pPr>
      <w:r>
        <w:rPr>
          <w:rFonts w:ascii="Arial" w:cs="Arial" w:eastAsia="Arial" w:hAnsi="Arial"/>
          <w:sz w:val="21"/>
          <w:szCs w:val="21"/>
          <w:u w:val="single" w:color="auto"/>
          <w:color w:val="auto"/>
        </w:rPr>
        <w:t>Successors and Assigns of Sempra Energy</w:t>
      </w:r>
      <w:r>
        <w:rPr>
          <w:rFonts w:ascii="Arial" w:cs="Arial" w:eastAsia="Arial" w:hAnsi="Arial"/>
          <w:sz w:val="21"/>
          <w:szCs w:val="21"/>
          <w:color w:val="auto"/>
        </w:rPr>
        <w:t>. This Agreement shall inure to the benefit of and be binding upon Sempra Energy, its successors and assigns. Sempra Energy may not assign this Agreement to any person or entity (except for a successor described in Section 16(c), (d) or (e) below) without the Executive’s written consent.</w:t>
      </w:r>
    </w:p>
    <w:p>
      <w:pPr>
        <w:spacing w:after="0" w:line="166" w:lineRule="exact"/>
        <w:rPr>
          <w:rFonts w:ascii="Arial" w:cs="Arial" w:eastAsia="Arial" w:hAnsi="Arial"/>
          <w:sz w:val="21"/>
          <w:szCs w:val="21"/>
          <w:color w:val="auto"/>
        </w:rPr>
      </w:pPr>
    </w:p>
    <w:p>
      <w:pPr>
        <w:ind w:right="20" w:firstLine="1305"/>
        <w:spacing w:after="0" w:line="279" w:lineRule="auto"/>
        <w:tabs>
          <w:tab w:leader="none" w:pos="1945" w:val="left"/>
        </w:tabs>
        <w:numPr>
          <w:ilvl w:val="0"/>
          <w:numId w:val="200"/>
        </w:numPr>
        <w:rPr>
          <w:rFonts w:ascii="Arial" w:cs="Arial" w:eastAsia="Arial" w:hAnsi="Arial"/>
          <w:sz w:val="19"/>
          <w:szCs w:val="19"/>
          <w:color w:val="auto"/>
        </w:rPr>
      </w:pPr>
      <w:r>
        <w:rPr>
          <w:rFonts w:ascii="Arial" w:cs="Arial" w:eastAsia="Arial" w:hAnsi="Arial"/>
          <w:sz w:val="19"/>
          <w:szCs w:val="19"/>
          <w:u w:val="single" w:color="auto"/>
          <w:color w:val="auto"/>
        </w:rPr>
        <w:t>Assumption</w:t>
      </w:r>
      <w:r>
        <w:rPr>
          <w:rFonts w:ascii="Arial" w:cs="Arial" w:eastAsia="Arial" w:hAnsi="Arial"/>
          <w:sz w:val="19"/>
          <w:szCs w:val="19"/>
          <w:color w:val="auto"/>
        </w:rPr>
        <w:t>. Sempra Energy shall require any successor (whether direct or indirect, by purchase, merger, consolidation or otherwise) to all or substantially all of the business and/or assets of Sempra Energy to assume expressly and agree to perform the obligations and satisfy and discharge the liabilities of this Agreement in the same manner and to the same extent that Sempra Energy would have been required to perform the obligations and satisfy and discharge the liabilities under this Agreement if no such succession had taken place, and Sempra Energy shall have no further obligations and liabilities under this Agreement. Upon such assumption, references to Sempra Energy in this Agreement shall be replaced with references to such successor.</w:t>
      </w:r>
    </w:p>
    <w:p>
      <w:pPr>
        <w:spacing w:after="0" w:line="137" w:lineRule="exact"/>
        <w:rPr>
          <w:rFonts w:ascii="Arial" w:cs="Arial" w:eastAsia="Arial" w:hAnsi="Arial"/>
          <w:sz w:val="19"/>
          <w:szCs w:val="19"/>
          <w:color w:val="auto"/>
        </w:rPr>
      </w:pPr>
    </w:p>
    <w:p>
      <w:pPr>
        <w:ind w:right="20" w:firstLine="1305"/>
        <w:spacing w:after="0" w:line="244" w:lineRule="auto"/>
        <w:tabs>
          <w:tab w:leader="none" w:pos="1945" w:val="left"/>
        </w:tabs>
        <w:numPr>
          <w:ilvl w:val="0"/>
          <w:numId w:val="200"/>
        </w:numPr>
        <w:rPr>
          <w:rFonts w:ascii="Arial" w:cs="Arial" w:eastAsia="Arial" w:hAnsi="Arial"/>
          <w:sz w:val="21"/>
          <w:szCs w:val="21"/>
          <w:color w:val="auto"/>
        </w:rPr>
      </w:pPr>
      <w:r>
        <w:rPr>
          <w:rFonts w:ascii="Arial" w:cs="Arial" w:eastAsia="Arial" w:hAnsi="Arial"/>
          <w:sz w:val="21"/>
          <w:szCs w:val="21"/>
          <w:u w:val="single" w:color="auto"/>
          <w:color w:val="auto"/>
        </w:rPr>
        <w:t>Sale of Subsidiary</w:t>
      </w:r>
      <w:r>
        <w:rPr>
          <w:rFonts w:ascii="Arial" w:cs="Arial" w:eastAsia="Arial" w:hAnsi="Arial"/>
          <w:sz w:val="21"/>
          <w:szCs w:val="21"/>
          <w:color w:val="auto"/>
        </w:rPr>
        <w:t>. In the event that (i) the Executive is employed by a direct or indirect subsidiary of Sempra Energy that is a member of the Sempra Energy Control Group, (ii) Sempra Energy, directly or indirectly through one or more intermediaries, sells or otherwise disposes of such subsidiary, and (iii) such subsidiary ceases to be a member of the Sempra Energy Control Group, then if, on the date such subsidiary ceases to be a member of the Sempra Energy Control Group, the Executive continues in employment with such subsidiary and the Executive does not have a Separation from Service, Sempra Energy shall require such subsidiary or any successor (whether direct or indirect, by purchase merger, consolidation or otherwise) to such subsidiary, or the parent thereof, to assume expressly and agree to perform the obligations and satisfy and discharge the liabilities under this Agreement in the same manner and to the same extent that Sempra Energy would have been required to perform the obligations and satisfy and discharge the liabilities under this Agreement, if such subsidiary had not ceased to be part of the Sempra Energy Control Group, and, upon such assumption, Sempra Energy shall have no further obligations and liabilities under the Agreement. Upon such assumption, (i) references to Sempra Energy in this Agreement shall be replaced with references to such subsidiary, or such successor or parent thereof, assuming this Agreement, and (ii) subsection (b) of the definition of “Cause” and subsection (b) of the definition of “Good Reason” shall apply thereafter, as if a Change in Control had occurred on the date of such cessation.</w:t>
      </w:r>
    </w:p>
    <w:p>
      <w:pPr>
        <w:spacing w:after="0" w:line="168" w:lineRule="exact"/>
        <w:rPr>
          <w:rFonts w:ascii="Arial" w:cs="Arial" w:eastAsia="Arial" w:hAnsi="Arial"/>
          <w:sz w:val="21"/>
          <w:szCs w:val="21"/>
          <w:color w:val="auto"/>
        </w:rPr>
      </w:pPr>
    </w:p>
    <w:p>
      <w:pPr>
        <w:ind w:firstLine="1305"/>
        <w:spacing w:after="0" w:line="272" w:lineRule="auto"/>
        <w:tabs>
          <w:tab w:leader="none" w:pos="1945" w:val="left"/>
        </w:tabs>
        <w:numPr>
          <w:ilvl w:val="0"/>
          <w:numId w:val="200"/>
        </w:numPr>
        <w:rPr>
          <w:rFonts w:ascii="Arial" w:cs="Arial" w:eastAsia="Arial" w:hAnsi="Arial"/>
          <w:sz w:val="19"/>
          <w:szCs w:val="19"/>
          <w:color w:val="auto"/>
        </w:rPr>
      </w:pPr>
      <w:r>
        <w:rPr>
          <w:rFonts w:ascii="Arial" w:cs="Arial" w:eastAsia="Arial" w:hAnsi="Arial"/>
          <w:sz w:val="19"/>
          <w:szCs w:val="19"/>
          <w:u w:val="single" w:color="auto"/>
          <w:color w:val="auto"/>
        </w:rPr>
        <w:t>Sale of Assets of Subsidiary</w:t>
      </w:r>
      <w:r>
        <w:rPr>
          <w:rFonts w:ascii="Arial" w:cs="Arial" w:eastAsia="Arial" w:hAnsi="Arial"/>
          <w:sz w:val="19"/>
          <w:szCs w:val="19"/>
          <w:color w:val="auto"/>
        </w:rPr>
        <w:t>. In the event that (i) the Executive is employed by a direct or indirect subsidiary of Sempra Energy, and (ii) such subsidiary sells or otherwise disposes of substantial assets of such subsidiary to an unrelated service recipient, as determined under Treasury Regulation Section 1.409A-1(f)(2)(ii) (the “</w:t>
      </w:r>
      <w:r>
        <w:rPr>
          <w:rFonts w:ascii="Arial" w:cs="Arial" w:eastAsia="Arial" w:hAnsi="Arial"/>
          <w:sz w:val="19"/>
          <w:szCs w:val="19"/>
          <w:u w:val="single" w:color="auto"/>
          <w:color w:val="auto"/>
        </w:rPr>
        <w:t>Asset Purchaser</w:t>
      </w:r>
      <w:r>
        <w:rPr>
          <w:rFonts w:ascii="Arial" w:cs="Arial" w:eastAsia="Arial" w:hAnsi="Arial"/>
          <w:sz w:val="19"/>
          <w:szCs w:val="19"/>
          <w:color w:val="auto"/>
        </w:rPr>
        <w:t>”), in a transaction described in Treasury Regulation Section 1.409A-1(h)(4) (an “</w:t>
      </w:r>
      <w:r>
        <w:rPr>
          <w:rFonts w:ascii="Arial" w:cs="Arial" w:eastAsia="Arial" w:hAnsi="Arial"/>
          <w:sz w:val="19"/>
          <w:szCs w:val="19"/>
          <w:u w:val="single" w:color="auto"/>
          <w:color w:val="auto"/>
        </w:rPr>
        <w:t>Asset Sale</w:t>
      </w:r>
      <w:r>
        <w:rPr>
          <w:rFonts w:ascii="Arial" w:cs="Arial" w:eastAsia="Arial" w:hAnsi="Arial"/>
          <w:sz w:val="19"/>
          <w:szCs w:val="19"/>
          <w:color w:val="auto"/>
        </w:rPr>
        <w:t>”), then if, on the date of such Asset Sale, the Executive becomes employed by the Asset Purchaser, Sempra Energy and the Asset Purchaser shall specify, in accordance with Treasury Regulation Section 1.409A-1(h)(4), that the Executive shall not be treated as having a Separation from Service, and Sempra Energy shall require such Asset Purchaser, or the parent thereof, to assume expressly and agree to perform the obligations and satisfy and discharge the liabilities under this Agreement in the same manner and to the same extent that Sempra Energy would have been required to perform the obligations and satisfy and discharge the liabilities under this Agreement, if the Asset Sale had not taken place, and, upon such assumption, Sempra Energy shall have no further obligations and liabilities under the Agreement. Upon such assumption, (i) references to Sempra Energy in this Agreement shall be replaced with references to the Asset Purchaser or the parent thereof, as applicable, and (ii) subsection (b) of the definition of “Cause” and subsection (b) of the definition of “Good Reason” shall apply thereafter, as if a Change in Control had occurred on the date of the Asset Sale.</w:t>
      </w:r>
    </w:p>
    <w:p>
      <w:pPr>
        <w:spacing w:after="0" w:line="151" w:lineRule="exact"/>
        <w:rPr>
          <w:sz w:val="20"/>
          <w:szCs w:val="20"/>
          <w:color w:val="auto"/>
        </w:rPr>
      </w:pPr>
    </w:p>
    <w:p>
      <w:pPr>
        <w:ind w:right="600" w:firstLine="1297"/>
        <w:spacing w:after="0" w:line="301" w:lineRule="auto"/>
        <w:rPr>
          <w:sz w:val="20"/>
          <w:szCs w:val="20"/>
          <w:color w:val="auto"/>
        </w:rPr>
      </w:pPr>
      <w:r>
        <w:rPr>
          <w:rFonts w:ascii="Arial" w:cs="Arial" w:eastAsia="Arial" w:hAnsi="Arial"/>
          <w:sz w:val="19"/>
          <w:szCs w:val="19"/>
          <w:b w:val="1"/>
          <w:bCs w:val="1"/>
          <w:color w:val="auto"/>
        </w:rPr>
        <w:t xml:space="preserve">Section 17. </w:t>
      </w:r>
      <w:r>
        <w:rPr>
          <w:rFonts w:ascii="Arial" w:cs="Arial" w:eastAsia="Arial" w:hAnsi="Arial"/>
          <w:sz w:val="19"/>
          <w:szCs w:val="19"/>
          <w:u w:val="single" w:color="auto"/>
          <w:color w:val="auto"/>
        </w:rPr>
        <w:t>Administration Prior to Change in Control</w:t>
      </w:r>
      <w:r>
        <w:rPr>
          <w:rFonts w:ascii="Arial" w:cs="Arial" w:eastAsia="Arial" w:hAnsi="Arial"/>
          <w:sz w:val="19"/>
          <w:szCs w:val="19"/>
          <w:color w:val="auto"/>
        </w:rPr>
        <w:t>. Prior to a Change in Control, the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shall have full and complete authority to construe and interpret the provisions of this Agreement, to determine an individual’s entitlement to benefits under this Agreement, to make in its sole and absolute discretion all determinations</w:t>
      </w:r>
    </w:p>
    <w:p>
      <w:pPr>
        <w:sectPr>
          <w:pgSz w:w="11900" w:h="16895" w:orient="portrait"/>
          <w:cols w:equalWidth="0" w:num="1">
            <w:col w:w="11400"/>
          </w:cols>
          <w:pgMar w:left="240" w:top="118" w:right="259" w:bottom="0" w:gutter="0" w:footer="0" w:header="0"/>
        </w:sectPr>
      </w:pPr>
    </w:p>
    <w:bookmarkStart w:id="142" w:name="page143"/>
    <w:bookmarkEnd w:id="142"/>
    <w:p>
      <w:pPr>
        <w:ind w:right="40"/>
        <w:spacing w:after="0" w:line="279" w:lineRule="auto"/>
        <w:rPr>
          <w:sz w:val="20"/>
          <w:szCs w:val="20"/>
          <w:color w:val="auto"/>
        </w:rPr>
      </w:pPr>
      <w:r>
        <w:rPr>
          <w:rFonts w:ascii="Arial" w:cs="Arial" w:eastAsia="Arial" w:hAnsi="Arial"/>
          <w:sz w:val="19"/>
          <w:szCs w:val="19"/>
          <w:color w:val="auto"/>
        </w:rPr>
        <w:t>contemplated under this Agreement, to investigate and make factual determinations necessary or advisable to administer or implement this Agreement, and to adopt such rules and procedures as it deems necessary or advisable for the administration or implementation of this Agreement. All determinations made under this Agreement by the Compensation Committee shall be final and binding on all interested persons. Prior to a Change in Control, the Compensation Committee may delegate responsibilities for the operation and administration of this Agreement to one or more officers or employees of the Company. The provisions of this Section 17 shall terminate and be of no further force and effect upon the occurrence of a Change in Control.</w:t>
      </w:r>
    </w:p>
    <w:p>
      <w:pPr>
        <w:spacing w:after="0" w:line="13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18.</w:t>
      </w:r>
      <w:r>
        <w:rPr>
          <w:sz w:val="20"/>
          <w:szCs w:val="20"/>
          <w:color w:val="auto"/>
        </w:rPr>
        <w:tab/>
      </w:r>
      <w:r>
        <w:rPr>
          <w:rFonts w:ascii="Arial" w:cs="Arial" w:eastAsia="Arial" w:hAnsi="Arial"/>
          <w:sz w:val="19"/>
          <w:szCs w:val="19"/>
          <w:u w:val="single" w:color="auto"/>
          <w:color w:val="auto"/>
        </w:rPr>
        <w:t>Section 409A of the Code.</w:t>
      </w:r>
    </w:p>
    <w:p>
      <w:pPr>
        <w:spacing w:after="0" w:line="206" w:lineRule="exact"/>
        <w:rPr>
          <w:sz w:val="20"/>
          <w:szCs w:val="20"/>
          <w:color w:val="auto"/>
        </w:rPr>
      </w:pPr>
    </w:p>
    <w:p>
      <w:pPr>
        <w:ind w:firstLine="1305"/>
        <w:spacing w:after="0" w:line="269" w:lineRule="auto"/>
        <w:tabs>
          <w:tab w:leader="none" w:pos="1945" w:val="left"/>
        </w:tabs>
        <w:numPr>
          <w:ilvl w:val="0"/>
          <w:numId w:val="201"/>
        </w:numPr>
        <w:rPr>
          <w:rFonts w:ascii="Arial" w:cs="Arial" w:eastAsia="Arial" w:hAnsi="Arial"/>
          <w:sz w:val="19"/>
          <w:szCs w:val="19"/>
          <w:color w:val="auto"/>
        </w:rPr>
      </w:pPr>
      <w:r>
        <w:rPr>
          <w:rFonts w:ascii="Arial" w:cs="Arial" w:eastAsia="Arial" w:hAnsi="Arial"/>
          <w:sz w:val="19"/>
          <w:szCs w:val="19"/>
          <w:u w:val="single" w:color="auto"/>
          <w:color w:val="auto"/>
        </w:rPr>
        <w:t>Compliance with and Exemption from Section 409A of the Code</w:t>
      </w:r>
      <w:r>
        <w:rPr>
          <w:rFonts w:ascii="Arial" w:cs="Arial" w:eastAsia="Arial" w:hAnsi="Arial"/>
          <w:sz w:val="19"/>
          <w:szCs w:val="19"/>
          <w:color w:val="auto"/>
        </w:rPr>
        <w:t>. Certain payments and benefits payable under this Agreement (including, without limitation, the Section 409A Payments) are intended to comply with the requirements of Section 409A of the Code. Certain payments and benefits payable under this Agreement are intended to be exempt from the requirements of Section 409A of the Code. This Agreement shall be interpreted in accordance with the applicable requirements of, and exemptions from, Section 409A of the Code and the Treasury Regulations thereunder. To the extent the payments and benefits under this Agreement are subject to Section 409A of the Code, this Agreement shall be interpreted, construed and administered in a manner that satisfies the requirements of Sections 409A(a)(2), (3) and (4) of the Code and the Treasury Regulations thereunder (subject to the transitional relief under Internal Revenue Service Notice 2005-1, the Proposed Regulations under Section 409A of the Code, Internal Revenue Service Notice 2006-79, Internal Revenue Service Notice 2007-78, Internal Revenue Service Notice 2007-86 and other applicable authority issued by the Internal Revenue Service). As provided in Internal Revenue Notice 2007-86, notwithstanding any other provision of this Agreement, with respect to an election or amendment to change a time or form of payment under this Agreement made on or after January 1, 2008 and on or before December 31, 2008, the election or amendment shall apply only with respect to payments that would not otherwise be payable in 2008, and shall not cause payments to be made in 2008 that would not otherwise be payable in 2008. If the Company and the Executive determine that any compensation, benefits or other payments that are payable under this Agreement and intended to comply with Sections 409A(a)(2), (3) and (4) of the Code do not comply with Section 409A of the Code, the Treasury Regulations thereunder and other applicable authority issued by the Internal Revenue Service, to the extent permitted under Section 409A of the Code, the Treasury Regulations thereunder and any applicable authority issued by the Internal Revenue Service, the Company and the Executive agree to amend this Agreement, or take such other actions as the Company and the Executive deem reasonably necessary or appropriate, to cause such compensation, benefits and other payments to comply with the requirements of Section 409A of the Code, the Treasury Regulations thereunder and other applicable authority issued by the Internal Revenue Service, while providing compensation, benefits and other payments that are, in the aggregate, no less favorable than the compensation, benefits and other payments provided under this Agreement. In the case of any compensation, benefits or other payments that are payable under this Agreement and intended to comply with Sections 409A(a)(2), (3) and (4) of the Code, if any provision of the Agreement would cause such compensation, benefits or other payments to fail to so comply, such provision shall not be effective and shall be null and void with respect to such compensation, benefits or other payments to the extent such provision would cause a failure to comply, and such provision shall otherwise remain in full force and effect.</w:t>
      </w:r>
    </w:p>
    <w:p>
      <w:pPr>
        <w:spacing w:after="0" w:line="399" w:lineRule="exact"/>
        <w:rPr>
          <w:rFonts w:ascii="Arial" w:cs="Arial" w:eastAsia="Arial" w:hAnsi="Arial"/>
          <w:sz w:val="19"/>
          <w:szCs w:val="19"/>
          <w:color w:val="auto"/>
        </w:rPr>
      </w:pPr>
    </w:p>
    <w:p>
      <w:pPr>
        <w:ind w:right="80" w:firstLine="1305"/>
        <w:spacing w:after="0" w:line="274" w:lineRule="auto"/>
        <w:tabs>
          <w:tab w:leader="none" w:pos="1945" w:val="left"/>
        </w:tabs>
        <w:numPr>
          <w:ilvl w:val="0"/>
          <w:numId w:val="201"/>
        </w:numPr>
        <w:rPr>
          <w:rFonts w:ascii="Arial" w:cs="Arial" w:eastAsia="Arial" w:hAnsi="Arial"/>
          <w:sz w:val="19"/>
          <w:szCs w:val="19"/>
          <w:color w:val="auto"/>
        </w:rPr>
      </w:pPr>
      <w:r>
        <w:rPr>
          <w:rFonts w:ascii="Arial" w:cs="Arial" w:eastAsia="Arial" w:hAnsi="Arial"/>
          <w:sz w:val="19"/>
          <w:szCs w:val="19"/>
          <w:u w:val="single" w:color="auto"/>
          <w:color w:val="auto"/>
        </w:rPr>
        <w:t>Deferral Elections</w:t>
      </w:r>
      <w:r>
        <w:rPr>
          <w:rFonts w:ascii="Arial" w:cs="Arial" w:eastAsia="Arial" w:hAnsi="Arial"/>
          <w:sz w:val="19"/>
          <w:szCs w:val="19"/>
          <w:color w:val="auto"/>
        </w:rPr>
        <w:t>. As provided in Sections 4(f), 5(h) and 14(d), the Executive may elect to defer the Pre-Change in Control Severance Payment, the Post-Change in Control Severance Payment and the Consulting Payment as follows. The Executive’s deferral election shall satisfy the requirements of Treasury Regulation Section 1.409A-2(b) and the terms and conditions of the Deferred Compensation Plan. Such deferral election shall designate the whole percentage (up to a maximum of 100%) of the Pre-Change in Control Severance Payment, the Post-Change in Control Severance Payment and the Consulting Payment to be deferred, shall be irrevocable when made, and shall not take effect until at least twelve (12) months after the date on which the election is made. Such deferral election shall provide that the amount deferred shall be deferred for a period of not less than five (5) years from the date the payment of the amount deferred would otherwise have been made, in accordance with Treasury Regulation Section 1.409A-2(b)(1)(ii).</w:t>
      </w:r>
    </w:p>
    <w:p>
      <w:pPr>
        <w:spacing w:after="0" w:line="14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19.</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06" w:lineRule="exact"/>
        <w:rPr>
          <w:sz w:val="20"/>
          <w:szCs w:val="20"/>
          <w:color w:val="auto"/>
        </w:rPr>
      </w:pPr>
    </w:p>
    <w:p>
      <w:pPr>
        <w:ind w:right="60" w:firstLine="1305"/>
        <w:spacing w:after="0" w:line="247" w:lineRule="auto"/>
        <w:tabs>
          <w:tab w:leader="none" w:pos="1945" w:val="left"/>
        </w:tabs>
        <w:numPr>
          <w:ilvl w:val="0"/>
          <w:numId w:val="202"/>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and construed in accordance with the laws of the State of California, without reference to its principles of conflict of laws. The captions of this Agreement are not part of the provisions hereof and shall have no force or effect. This Agreement may not be amended, modified, repealed, waived, extended or discharged except by an agreement in writing signed by the party against whom enforcement of such amendment, modification, repeal, waiver, extension or discharge is sought. No person, other than pursuant to a resolution of the Board or a committee thereof, shall have authority on behalf of the Company to agree to amend, modify, repeal, waive, extend or discharge any provision of this Agreement or anything in reference thereto.</w:t>
      </w:r>
    </w:p>
    <w:p>
      <w:pPr>
        <w:spacing w:after="0" w:line="164" w:lineRule="exact"/>
        <w:rPr>
          <w:rFonts w:ascii="Arial" w:cs="Arial" w:eastAsia="Arial" w:hAnsi="Arial"/>
          <w:sz w:val="21"/>
          <w:szCs w:val="21"/>
          <w:color w:val="auto"/>
        </w:rPr>
      </w:pPr>
    </w:p>
    <w:p>
      <w:pPr>
        <w:ind w:right="180" w:firstLine="1305"/>
        <w:spacing w:after="0" w:line="287" w:lineRule="auto"/>
        <w:tabs>
          <w:tab w:leader="none" w:pos="1945" w:val="left"/>
        </w:tabs>
        <w:numPr>
          <w:ilvl w:val="0"/>
          <w:numId w:val="202"/>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shall be in writing and shall be given by hand delivery to the other party or by registered or certified mail, return receipt requested, postage prepaid, addressed, in either case, to the Company’s headquarters or to such other address as either party shall have furnished to the other in writing in accordance herewith. Notices and communications shall be effective when actually received by the addressee.</w:t>
      </w:r>
    </w:p>
    <w:p>
      <w:pPr>
        <w:spacing w:after="0" w:line="129" w:lineRule="exact"/>
        <w:rPr>
          <w:rFonts w:ascii="Arial" w:cs="Arial" w:eastAsia="Arial" w:hAnsi="Arial"/>
          <w:sz w:val="19"/>
          <w:szCs w:val="19"/>
          <w:color w:val="auto"/>
        </w:rPr>
      </w:pPr>
    </w:p>
    <w:p>
      <w:pPr>
        <w:ind w:right="580" w:firstLine="1305"/>
        <w:spacing w:after="0" w:line="251" w:lineRule="auto"/>
        <w:tabs>
          <w:tab w:leader="none" w:pos="1945" w:val="left"/>
        </w:tabs>
        <w:numPr>
          <w:ilvl w:val="0"/>
          <w:numId w:val="202"/>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this Agreement shall not affect the validity or enforceability of any other provision of this Agreement.</w:t>
      </w:r>
    </w:p>
    <w:p>
      <w:pPr>
        <w:spacing w:after="0" w:line="173" w:lineRule="exact"/>
        <w:rPr>
          <w:rFonts w:ascii="Arial" w:cs="Arial" w:eastAsia="Arial" w:hAnsi="Arial"/>
          <w:sz w:val="22"/>
          <w:szCs w:val="22"/>
          <w:color w:val="auto"/>
        </w:rPr>
      </w:pPr>
    </w:p>
    <w:p>
      <w:pPr>
        <w:ind w:right="180" w:firstLine="1305"/>
        <w:spacing w:after="0" w:line="251" w:lineRule="auto"/>
        <w:tabs>
          <w:tab w:leader="none" w:pos="1945" w:val="left"/>
        </w:tabs>
        <w:numPr>
          <w:ilvl w:val="0"/>
          <w:numId w:val="202"/>
        </w:numPr>
        <w:rPr>
          <w:rFonts w:ascii="Arial" w:cs="Arial" w:eastAsia="Arial" w:hAnsi="Arial"/>
          <w:sz w:val="22"/>
          <w:szCs w:val="22"/>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 The Company may withhold from any amounts payable under this Agreement such federal, state or local taxes as shall be required to be withheld pursuant to any applicable law or regulation.</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w:t>
      </w:r>
    </w:p>
    <w:p>
      <w:pPr>
        <w:sectPr>
          <w:pgSz w:w="11900" w:h="16838" w:orient="portrait"/>
          <w:cols w:equalWidth="0" w:num="1">
            <w:col w:w="11400"/>
          </w:cols>
          <w:pgMar w:left="240" w:top="118" w:right="259" w:bottom="0" w:gutter="0" w:footer="0" w:header="0"/>
        </w:sectPr>
      </w:pPr>
    </w:p>
    <w:bookmarkStart w:id="143" w:name="page144"/>
    <w:bookmarkEnd w:id="143"/>
    <w:p>
      <w:pPr>
        <w:ind w:firstLine="1945"/>
        <w:spacing w:after="0" w:line="282" w:lineRule="auto"/>
        <w:rPr>
          <w:sz w:val="20"/>
          <w:szCs w:val="20"/>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The Executive’s or the Company’s failure to insist upon strict compliance with any provision hereof or any other provision of this Agreement or the failure to assert any right the Executive or the Company may have hereunder, including, without limitation, the right of the Executive to terminate employment for Good Reason pursuant to Section 1 hereof, or the right of the Company to terminate the Executive’s employment for Cause pursuant to Section 1 hereof shall not be deemed to be a waiver of such provision or right or any other provision or right of this Agreement.</w:t>
      </w:r>
    </w:p>
    <w:p>
      <w:pPr>
        <w:spacing w:after="0" w:line="135" w:lineRule="exact"/>
        <w:rPr>
          <w:sz w:val="20"/>
          <w:szCs w:val="20"/>
          <w:color w:val="auto"/>
        </w:rPr>
      </w:pPr>
    </w:p>
    <w:p>
      <w:pPr>
        <w:ind w:right="40" w:firstLine="1305"/>
        <w:spacing w:after="0" w:line="277" w:lineRule="auto"/>
        <w:tabs>
          <w:tab w:leader="none" w:pos="1945" w:val="left"/>
        </w:tabs>
        <w:numPr>
          <w:ilvl w:val="0"/>
          <w:numId w:val="203"/>
        </w:numPr>
        <w:rPr>
          <w:rFonts w:ascii="Arial" w:cs="Arial" w:eastAsia="Arial" w:hAnsi="Arial"/>
          <w:sz w:val="19"/>
          <w:szCs w:val="19"/>
          <w:color w:val="auto"/>
        </w:rPr>
      </w:pPr>
      <w:r>
        <w:rPr>
          <w:rFonts w:ascii="Arial" w:cs="Arial" w:eastAsia="Arial" w:hAnsi="Arial"/>
          <w:sz w:val="19"/>
          <w:szCs w:val="19"/>
          <w:u w:val="single" w:color="auto"/>
          <w:color w:val="auto"/>
        </w:rPr>
        <w:t>Entire Agreement; Exclusive Benefit; Supersession of Prior Agreement</w:t>
      </w:r>
      <w:r>
        <w:rPr>
          <w:rFonts w:ascii="Arial" w:cs="Arial" w:eastAsia="Arial" w:hAnsi="Arial"/>
          <w:sz w:val="19"/>
          <w:szCs w:val="19"/>
          <w:color w:val="auto"/>
        </w:rPr>
        <w:t>. This instrument contains the entire agreement of the Executive, the Company or any predecessor or subsidiary thereof with respect to any severance or termination pay. The Pre-Change in Control Severance Payment, the Post-Change in Control Severance Payment and all other benefits provided hereunder shall be in lieu of any other severance payments to which the Executive is entitled under any other severance plan or program or arrangement sponsored by the Company, as well as pursuant to any individual employment or severance agreement that was entered into by the Executive and the Company, and, upon the Effective Date of this Agreement, all such plans, programs, arrangements and agreements are hereby automatically superseded and terminated.</w:t>
      </w:r>
    </w:p>
    <w:p>
      <w:pPr>
        <w:spacing w:after="0" w:line="152" w:lineRule="exact"/>
        <w:rPr>
          <w:rFonts w:ascii="Arial" w:cs="Arial" w:eastAsia="Arial" w:hAnsi="Arial"/>
          <w:sz w:val="19"/>
          <w:szCs w:val="19"/>
          <w:color w:val="auto"/>
        </w:rPr>
      </w:pPr>
    </w:p>
    <w:p>
      <w:pPr>
        <w:ind w:right="40" w:firstLine="1305"/>
        <w:spacing w:after="0"/>
        <w:tabs>
          <w:tab w:leader="none" w:pos="1945" w:val="left"/>
        </w:tabs>
        <w:numPr>
          <w:ilvl w:val="0"/>
          <w:numId w:val="203"/>
        </w:numPr>
        <w:rPr>
          <w:rFonts w:ascii="Arial" w:cs="Arial" w:eastAsia="Arial" w:hAnsi="Arial"/>
          <w:sz w:val="22"/>
          <w:szCs w:val="22"/>
          <w:color w:val="auto"/>
        </w:rPr>
      </w:pPr>
      <w:r>
        <w:rPr>
          <w:rFonts w:ascii="Arial" w:cs="Arial" w:eastAsia="Arial" w:hAnsi="Arial"/>
          <w:sz w:val="22"/>
          <w:szCs w:val="22"/>
          <w:u w:val="single" w:color="auto"/>
          <w:color w:val="auto"/>
        </w:rPr>
        <w:t>No Right of Employment</w:t>
      </w:r>
      <w:r>
        <w:rPr>
          <w:rFonts w:ascii="Arial" w:cs="Arial" w:eastAsia="Arial" w:hAnsi="Arial"/>
          <w:sz w:val="22"/>
          <w:szCs w:val="22"/>
          <w:color w:val="auto"/>
        </w:rPr>
        <w:t>. Nothing in this Agreement shall be construed as giving the Executive any right to be retained in the employ of the Company or shall interfere in any way with the right of the Company to terminate the Executive’s employment at any time, with or without Cause.</w:t>
      </w:r>
    </w:p>
    <w:p>
      <w:pPr>
        <w:spacing w:after="0" w:line="172" w:lineRule="exact"/>
        <w:rPr>
          <w:rFonts w:ascii="Arial" w:cs="Arial" w:eastAsia="Arial" w:hAnsi="Arial"/>
          <w:sz w:val="22"/>
          <w:szCs w:val="22"/>
          <w:color w:val="auto"/>
        </w:rPr>
      </w:pPr>
    </w:p>
    <w:p>
      <w:pPr>
        <w:jc w:val="both"/>
        <w:ind w:firstLine="1305"/>
        <w:spacing w:after="0"/>
        <w:tabs>
          <w:tab w:leader="none" w:pos="1945" w:val="left"/>
        </w:tabs>
        <w:numPr>
          <w:ilvl w:val="0"/>
          <w:numId w:val="203"/>
        </w:numPr>
        <w:rPr>
          <w:rFonts w:ascii="Arial" w:cs="Arial" w:eastAsia="Arial" w:hAnsi="Arial"/>
          <w:sz w:val="22"/>
          <w:szCs w:val="22"/>
          <w:color w:val="auto"/>
        </w:rPr>
      </w:pPr>
      <w:r>
        <w:rPr>
          <w:rFonts w:ascii="Arial" w:cs="Arial" w:eastAsia="Arial" w:hAnsi="Arial"/>
          <w:sz w:val="22"/>
          <w:szCs w:val="22"/>
          <w:u w:val="single" w:color="auto"/>
          <w:color w:val="auto"/>
        </w:rPr>
        <w:t>Unfunded Obligation</w:t>
      </w:r>
      <w:r>
        <w:rPr>
          <w:rFonts w:ascii="Arial" w:cs="Arial" w:eastAsia="Arial" w:hAnsi="Arial"/>
          <w:sz w:val="22"/>
          <w:szCs w:val="22"/>
          <w:color w:val="auto"/>
        </w:rPr>
        <w:t>. The obligations under this Agreement shall be unfunded. Benefits payable under this Agreement shall be paid from the general assets of the Company. The Company shall have no obligation to establish any fund or to set aside any assets to provide benefits under this Agreement.</w:t>
      </w:r>
    </w:p>
    <w:p>
      <w:pPr>
        <w:spacing w:after="0" w:line="172" w:lineRule="exact"/>
        <w:rPr>
          <w:rFonts w:ascii="Arial" w:cs="Arial" w:eastAsia="Arial" w:hAnsi="Arial"/>
          <w:sz w:val="22"/>
          <w:szCs w:val="22"/>
          <w:color w:val="auto"/>
        </w:rPr>
      </w:pPr>
    </w:p>
    <w:p>
      <w:pPr>
        <w:ind w:right="20" w:firstLine="1305"/>
        <w:spacing w:after="0" w:line="245" w:lineRule="auto"/>
        <w:tabs>
          <w:tab w:leader="none" w:pos="1945" w:val="left"/>
        </w:tabs>
        <w:numPr>
          <w:ilvl w:val="0"/>
          <w:numId w:val="203"/>
        </w:numPr>
        <w:rPr>
          <w:rFonts w:ascii="Arial" w:cs="Arial" w:eastAsia="Arial" w:hAnsi="Arial"/>
          <w:sz w:val="21"/>
          <w:szCs w:val="21"/>
          <w:color w:val="auto"/>
        </w:rPr>
      </w:pPr>
      <w:r>
        <w:rPr>
          <w:rFonts w:ascii="Arial" w:cs="Arial" w:eastAsia="Arial" w:hAnsi="Arial"/>
          <w:sz w:val="21"/>
          <w:szCs w:val="21"/>
          <w:u w:val="single" w:color="auto"/>
          <w:color w:val="auto"/>
        </w:rPr>
        <w:t>Termination upon Sale of Assets of Subsidiary</w:t>
      </w:r>
      <w:r>
        <w:rPr>
          <w:rFonts w:ascii="Arial" w:cs="Arial" w:eastAsia="Arial" w:hAnsi="Arial"/>
          <w:sz w:val="21"/>
          <w:szCs w:val="21"/>
          <w:color w:val="auto"/>
        </w:rPr>
        <w:t>. Notwithstanding anything contained herein, this Agreement shall automatically terminate and be of no further force and effect and no benefits shall be payable hereunder in the event that (i) the Executive is employed by a direct or indirect subsidiary of Sempra Energy, and (ii) an Asset Sale (as defined in Section 16(e)) occurs (other than such a sale or disposition which is part of a transaction or series of transactions which would result in a Change in Control), and (iii) as a result of such Asset Sale, the Executive is offered employment by the Asset Purchaser in an executive position with reasonably comparable status, compensation, benefits and severance agreement (including the assumption of this Agreement in accordance with Section 16(e)) and which is consistent with the Executive’s experience and education, but the Executive declines to accept such offer and the Executive fails to become employed by the Asset Purchaser on the date of the Asset Sale.</w:t>
      </w:r>
    </w:p>
    <w:p>
      <w:pPr>
        <w:spacing w:after="0" w:line="185" w:lineRule="exact"/>
        <w:rPr>
          <w:rFonts w:ascii="Arial" w:cs="Arial" w:eastAsia="Arial" w:hAnsi="Arial"/>
          <w:sz w:val="21"/>
          <w:szCs w:val="21"/>
          <w:color w:val="auto"/>
        </w:rPr>
      </w:pPr>
    </w:p>
    <w:p>
      <w:pPr>
        <w:ind w:right="40" w:firstLine="1305"/>
        <w:spacing w:after="0" w:line="275" w:lineRule="auto"/>
        <w:tabs>
          <w:tab w:leader="none" w:pos="1945" w:val="left"/>
        </w:tabs>
        <w:numPr>
          <w:ilvl w:val="0"/>
          <w:numId w:val="203"/>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xml:space="preserve">. The term of this Agreement shall commence on the Effective Date and shall continue until the third (3rd) anniversary of the Effective Date; </w:t>
      </w:r>
      <w:r>
        <w:rPr>
          <w:rFonts w:ascii="Arial" w:cs="Arial" w:eastAsia="Arial" w:hAnsi="Arial"/>
          <w:sz w:val="19"/>
          <w:szCs w:val="19"/>
          <w:i w:val="1"/>
          <w:iCs w:val="1"/>
          <w:color w:val="auto"/>
        </w:rPr>
        <w:t>provided, however</w:t>
      </w:r>
      <w:r>
        <w:rPr>
          <w:rFonts w:ascii="Arial" w:cs="Arial" w:eastAsia="Arial" w:hAnsi="Arial"/>
          <w:sz w:val="19"/>
          <w:szCs w:val="19"/>
          <w:color w:val="auto"/>
        </w:rPr>
        <w:t>, that commencing on the second (2nd) anniversary of the Effective Date (and each anniversary of the Effective Date thereafter), the term of this Agreement shall automatically be extended for one (1) additional year, unless at least ninety (90) days prior to such date, the Company or the Executive shall give written notice to the other party that it or he, as the case may be, does not wish to so extend this Agreement. Notwithstanding the foregoing, if the Company gives such written notice to the Executive less than two (2) years after a Change in Control, the term of this Agreement shall be automatically extended until the later of (A) the date that is one (1) year after the anniversary of the Effective Date that follows such written notice or (B) the second (2nd) anniversary of the Change in Control Date.</w:t>
      </w:r>
    </w:p>
    <w:p>
      <w:pPr>
        <w:spacing w:after="0" w:line="144" w:lineRule="exact"/>
        <w:rPr>
          <w:rFonts w:ascii="Arial" w:cs="Arial" w:eastAsia="Arial" w:hAnsi="Arial"/>
          <w:sz w:val="19"/>
          <w:szCs w:val="19"/>
          <w:color w:val="auto"/>
        </w:rPr>
      </w:pPr>
    </w:p>
    <w:p>
      <w:pPr>
        <w:ind w:right="20" w:firstLine="1305"/>
        <w:spacing w:after="0" w:line="251" w:lineRule="auto"/>
        <w:tabs>
          <w:tab w:leader="none" w:pos="1945" w:val="left"/>
        </w:tabs>
        <w:numPr>
          <w:ilvl w:val="0"/>
          <w:numId w:val="203"/>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ectPr>
          <w:pgSz w:w="11900" w:h="16838" w:orient="portrait"/>
          <w:cols w:equalWidth="0" w:num="1">
            <w:col w:w="11400"/>
          </w:cols>
          <w:pgMar w:left="240" w:top="118" w:right="259" w:bottom="1440" w:gutter="0" w:footer="0" w:header="0"/>
        </w:sectPr>
      </w:pPr>
    </w:p>
    <w:bookmarkStart w:id="144" w:name="page145"/>
    <w:bookmarkEnd w:id="144"/>
    <w:p>
      <w:pPr>
        <w:ind w:firstLine="648"/>
        <w:spacing w:after="0" w:line="251" w:lineRule="auto"/>
        <w:rPr>
          <w:sz w:val="20"/>
          <w:szCs w:val="20"/>
          <w:color w:val="auto"/>
        </w:rPr>
      </w:pPr>
      <w:r>
        <w:rPr>
          <w:rFonts w:ascii="Arial" w:cs="Arial" w:eastAsia="Arial" w:hAnsi="Arial"/>
          <w:sz w:val="22"/>
          <w:szCs w:val="22"/>
          <w:color w:val="auto"/>
        </w:rPr>
        <w:t>IN WITNESS WHEREOF, the Executive and, pursuant to due authorization from its Board of Directors, the Company have caused this Agreement to be executed as of the day and year first above written.</w:t>
      </w:r>
    </w:p>
    <w:p>
      <w:pPr>
        <w:spacing w:after="0" w:line="1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SEMPRA ENERGY</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 Joyce Rowland</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Senior Vice President, Human Resources, Diversity and Inclusion</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Woodrow D. Smith</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Vice President and General Counsel, San Diego Gas &amp; Electric</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ectPr>
          <w:pgSz w:w="11900" w:h="16838" w:orient="portrait"/>
          <w:cols w:equalWidth="0" w:num="1">
            <w:col w:w="11380"/>
          </w:cols>
          <w:pgMar w:left="240" w:top="118" w:right="279" w:bottom="1440" w:gutter="0" w:footer="0" w:header="0"/>
        </w:sectPr>
      </w:pPr>
    </w:p>
    <w:bookmarkStart w:id="145" w:name="page146"/>
    <w:bookmarkEnd w:id="145"/>
    <w:p>
      <w:pPr>
        <w:jc w:val="right"/>
        <w:spacing w:after="0"/>
        <w:rPr>
          <w:sz w:val="20"/>
          <w:szCs w:val="20"/>
          <w:color w:val="auto"/>
        </w:rPr>
      </w:pPr>
      <w:r>
        <w:rPr>
          <w:rFonts w:ascii="Arial" w:cs="Arial" w:eastAsia="Arial" w:hAnsi="Arial"/>
          <w:sz w:val="22"/>
          <w:szCs w:val="22"/>
          <w:u w:val="single" w:color="auto"/>
          <w:color w:val="auto"/>
        </w:rPr>
        <w:t>EXHIBIT A</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RELEASE</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GENERAL RELEASE (the “</w:t>
      </w:r>
      <w:r>
        <w:rPr>
          <w:rFonts w:ascii="Arial" w:cs="Arial" w:eastAsia="Arial" w:hAnsi="Arial"/>
          <w:sz w:val="22"/>
          <w:szCs w:val="22"/>
          <w:u w:val="single" w:color="auto"/>
          <w:color w:val="auto"/>
        </w:rPr>
        <w:t>Agreement</w:t>
      </w:r>
      <w:r>
        <w:rPr>
          <w:rFonts w:ascii="Arial" w:cs="Arial" w:eastAsia="Arial" w:hAnsi="Arial"/>
          <w:sz w:val="22"/>
          <w:szCs w:val="22"/>
          <w:color w:val="auto"/>
        </w:rPr>
        <w:t>”), dated ___________, is made by and between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 a California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___________________________ (“</w:t>
      </w:r>
      <w:r>
        <w:rPr>
          <w:rFonts w:ascii="Arial" w:cs="Arial" w:eastAsia="Arial" w:hAnsi="Arial"/>
          <w:sz w:val="19"/>
          <w:szCs w:val="19"/>
          <w:u w:val="single" w:color="auto"/>
          <w:color w:val="auto"/>
        </w:rPr>
        <w:t>you</w:t>
      </w:r>
      <w:r>
        <w:rPr>
          <w:rFonts w:ascii="Arial" w:cs="Arial" w:eastAsia="Arial" w:hAnsi="Arial"/>
          <w:sz w:val="19"/>
          <w:szCs w:val="19"/>
          <w:color w:val="auto"/>
        </w:rPr>
        <w:t>” or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your</w:t>
      </w:r>
      <w:r>
        <w:rPr>
          <w:rFonts w:ascii="Arial" w:cs="Arial" w:eastAsia="Arial" w:hAnsi="Arial"/>
          <w:sz w:val="22"/>
          <w:szCs w:val="22"/>
          <w:color w:val="auto"/>
        </w:rPr>
        <w: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you and the Company have previously entered into that certain Severance Pay Agreement dated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____________, 20__ (the “</w:t>
      </w:r>
      <w:r>
        <w:rPr>
          <w:rFonts w:ascii="Arial" w:cs="Arial" w:eastAsia="Arial" w:hAnsi="Arial"/>
          <w:sz w:val="22"/>
          <w:szCs w:val="22"/>
          <w:u w:val="single" w:color="auto"/>
          <w:color w:val="auto"/>
        </w:rPr>
        <w:t>Severance Pay Agreement</w:t>
      </w:r>
      <w:r>
        <w:rPr>
          <w:rFonts w:ascii="Arial" w:cs="Arial" w:eastAsia="Arial" w:hAnsi="Arial"/>
          <w:sz w:val="22"/>
          <w:szCs w:val="22"/>
          <w:color w:val="auto"/>
        </w:rPr>
        <w:t>”); and</w:t>
      </w:r>
    </w:p>
    <w:p>
      <w:pPr>
        <w:spacing w:after="0" w:line="188" w:lineRule="exact"/>
        <w:rPr>
          <w:sz w:val="20"/>
          <w:szCs w:val="20"/>
          <w:color w:val="auto"/>
        </w:rPr>
      </w:pPr>
    </w:p>
    <w:p>
      <w:pPr>
        <w:jc w:val="both"/>
        <w:ind w:right="20" w:firstLine="1297"/>
        <w:spacing w:after="0"/>
        <w:rPr>
          <w:sz w:val="20"/>
          <w:szCs w:val="20"/>
          <w:color w:val="auto"/>
        </w:rPr>
      </w:pPr>
      <w:r>
        <w:rPr>
          <w:rFonts w:ascii="Arial" w:cs="Arial" w:eastAsia="Arial" w:hAnsi="Arial"/>
          <w:sz w:val="22"/>
          <w:szCs w:val="22"/>
          <w:color w:val="auto"/>
        </w:rPr>
        <w:t>WHEREAS, your right to receive certain severance pay and benefits pursuant to the terms of Section 4 or Section 5 of the Severance Pay Agreement, as applicable, are subject to and conditioned upon your execution and non-revocation of a general release of claims by you against the Company and its subsidiaries and affiliates.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NOW, THEREFORE, in consideration of the premises and the mutual covenants herein contained, you and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Company hereby agree as follows:</w:t>
      </w:r>
    </w:p>
    <w:p>
      <w:pPr>
        <w:spacing w:after="0" w:line="188" w:lineRule="exact"/>
        <w:rPr>
          <w:sz w:val="20"/>
          <w:szCs w:val="20"/>
          <w:color w:val="auto"/>
        </w:rPr>
      </w:pPr>
    </w:p>
    <w:p>
      <w:pPr>
        <w:ind w:right="480" w:firstLine="1297"/>
        <w:spacing w:after="0" w:line="251" w:lineRule="auto"/>
        <w:rPr>
          <w:sz w:val="20"/>
          <w:szCs w:val="20"/>
          <w:color w:val="auto"/>
        </w:rPr>
      </w:pPr>
      <w:r>
        <w:rPr>
          <w:rFonts w:ascii="Arial" w:cs="Arial" w:eastAsia="Arial" w:hAnsi="Arial"/>
          <w:sz w:val="22"/>
          <w:szCs w:val="22"/>
          <w:color w:val="auto"/>
        </w:rPr>
        <w:t>ONE: Your signing of this Agreement confirms that your employment with the Company shall terminate at the close of business on ____________, or earlier upon our mutual agreement.</w:t>
      </w:r>
    </w:p>
    <w:p>
      <w:pPr>
        <w:spacing w:after="0" w:line="173" w:lineRule="exact"/>
        <w:rPr>
          <w:sz w:val="20"/>
          <w:szCs w:val="20"/>
          <w:color w:val="auto"/>
        </w:rPr>
      </w:pPr>
    </w:p>
    <w:p>
      <w:pPr>
        <w:ind w:right="20" w:firstLine="1297"/>
        <w:spacing w:after="0" w:line="287" w:lineRule="auto"/>
        <w:rPr>
          <w:sz w:val="20"/>
          <w:szCs w:val="20"/>
          <w:color w:val="auto"/>
        </w:rPr>
      </w:pPr>
      <w:r>
        <w:rPr>
          <w:rFonts w:ascii="Arial" w:cs="Arial" w:eastAsia="Arial" w:hAnsi="Arial"/>
          <w:sz w:val="19"/>
          <w:szCs w:val="19"/>
          <w:color w:val="auto"/>
        </w:rPr>
        <w:t>TWO: As a material inducement for the payment of the severance and benefits under the Severance Pay Agreement, and except as otherwise provided in this Agreement, you and the Company hereby irrevocably and unconditionally release, acquit and forever discharge the other from any and all Claims either may have against the other. For purposes of this Agreement and the preceding sentence, the words “Releasee” or “Releasees” and “Claim” or “Claims” shall have the meanings set forth below:</w:t>
      </w:r>
    </w:p>
    <w:p>
      <w:pPr>
        <w:spacing w:after="0" w:line="130" w:lineRule="exact"/>
        <w:rPr>
          <w:sz w:val="20"/>
          <w:szCs w:val="20"/>
          <w:color w:val="auto"/>
        </w:rPr>
      </w:pPr>
    </w:p>
    <w:p>
      <w:pPr>
        <w:ind w:right="20" w:firstLine="1305"/>
        <w:spacing w:after="0" w:line="236" w:lineRule="auto"/>
        <w:tabs>
          <w:tab w:leader="none" w:pos="1945" w:val="left"/>
        </w:tabs>
        <w:numPr>
          <w:ilvl w:val="0"/>
          <w:numId w:val="204"/>
        </w:numPr>
        <w:rPr>
          <w:rFonts w:ascii="Arial" w:cs="Arial" w:eastAsia="Arial" w:hAnsi="Arial"/>
          <w:sz w:val="22"/>
          <w:szCs w:val="22"/>
          <w:color w:val="auto"/>
        </w:rPr>
      </w:pPr>
      <w:r>
        <w:rPr>
          <w:rFonts w:ascii="Arial" w:cs="Arial" w:eastAsia="Arial" w:hAnsi="Arial"/>
          <w:sz w:val="22"/>
          <w:szCs w:val="22"/>
          <w:color w:val="auto"/>
        </w:rPr>
        <w:t>The words “</w:t>
      </w:r>
      <w:r>
        <w:rPr>
          <w:rFonts w:ascii="Arial" w:cs="Arial" w:eastAsia="Arial" w:hAnsi="Arial"/>
          <w:sz w:val="22"/>
          <w:szCs w:val="22"/>
          <w:u w:val="single" w:color="auto"/>
          <w:color w:val="auto"/>
        </w:rPr>
        <w:t>Releasee</w:t>
      </w:r>
      <w:r>
        <w:rPr>
          <w:rFonts w:ascii="Arial" w:cs="Arial" w:eastAsia="Arial" w:hAnsi="Arial"/>
          <w:sz w:val="22"/>
          <w:szCs w:val="22"/>
          <w:color w:val="auto"/>
        </w:rPr>
        <w:t>” or “</w:t>
      </w:r>
      <w:r>
        <w:rPr>
          <w:rFonts w:ascii="Arial" w:cs="Arial" w:eastAsia="Arial" w:hAnsi="Arial"/>
          <w:sz w:val="22"/>
          <w:szCs w:val="22"/>
          <w:u w:val="single" w:color="auto"/>
          <w:color w:val="auto"/>
        </w:rPr>
        <w:t>Releasees</w:t>
      </w:r>
      <w:r>
        <w:rPr>
          <w:rFonts w:ascii="Arial" w:cs="Arial" w:eastAsia="Arial" w:hAnsi="Arial"/>
          <w:sz w:val="22"/>
          <w:szCs w:val="22"/>
          <w:color w:val="auto"/>
        </w:rPr>
        <w:t>” shall refer to you and to the Company and each of the Company’s owners, stockholders, predecessors, successors, assigns, agents, directors, officers, employees, representatives, attorneys, advisors, parent companies, divisions, subsidiaries, affiliates (and agents, directors, officers, employees, representatives, attorneys and advisors of such parent companies, divisions, subsidiaries and affiliates) and all persons acting by, through, under or in concert with any of them.</w:t>
      </w:r>
    </w:p>
    <w:p>
      <w:pPr>
        <w:spacing w:after="0" w:line="187" w:lineRule="exact"/>
        <w:rPr>
          <w:rFonts w:ascii="Arial" w:cs="Arial" w:eastAsia="Arial" w:hAnsi="Arial"/>
          <w:sz w:val="22"/>
          <w:szCs w:val="22"/>
          <w:color w:val="auto"/>
        </w:rPr>
      </w:pPr>
    </w:p>
    <w:p>
      <w:pPr>
        <w:ind w:right="20" w:firstLine="1305"/>
        <w:spacing w:after="0" w:line="271" w:lineRule="auto"/>
        <w:tabs>
          <w:tab w:leader="none" w:pos="1945" w:val="left"/>
        </w:tabs>
        <w:numPr>
          <w:ilvl w:val="0"/>
          <w:numId w:val="204"/>
        </w:numPr>
        <w:rPr>
          <w:rFonts w:ascii="Arial" w:cs="Arial" w:eastAsia="Arial" w:hAnsi="Arial"/>
          <w:sz w:val="19"/>
          <w:szCs w:val="19"/>
          <w:color w:val="auto"/>
        </w:rPr>
      </w:pPr>
      <w:r>
        <w:rPr>
          <w:rFonts w:ascii="Arial" w:cs="Arial" w:eastAsia="Arial" w:hAnsi="Arial"/>
          <w:sz w:val="19"/>
          <w:szCs w:val="19"/>
          <w:color w:val="auto"/>
        </w:rPr>
        <w:t>The words “</w:t>
      </w:r>
      <w:r>
        <w:rPr>
          <w:rFonts w:ascii="Arial" w:cs="Arial" w:eastAsia="Arial" w:hAnsi="Arial"/>
          <w:sz w:val="19"/>
          <w:szCs w:val="19"/>
          <w:u w:val="single" w:color="auto"/>
          <w:color w:val="auto"/>
        </w:rPr>
        <w:t>Claim</w:t>
      </w:r>
      <w:r>
        <w:rPr>
          <w:rFonts w:ascii="Arial" w:cs="Arial" w:eastAsia="Arial" w:hAnsi="Arial"/>
          <w:sz w:val="19"/>
          <w:szCs w:val="19"/>
          <w:color w:val="auto"/>
        </w:rPr>
        <w:t>” or “</w:t>
      </w:r>
      <w:r>
        <w:rPr>
          <w:rFonts w:ascii="Arial" w:cs="Arial" w:eastAsia="Arial" w:hAnsi="Arial"/>
          <w:sz w:val="19"/>
          <w:szCs w:val="19"/>
          <w:u w:val="single" w:color="auto"/>
          <w:color w:val="auto"/>
        </w:rPr>
        <w:t>Claims</w:t>
      </w:r>
      <w:r>
        <w:rPr>
          <w:rFonts w:ascii="Arial" w:cs="Arial" w:eastAsia="Arial" w:hAnsi="Arial"/>
          <w:sz w:val="19"/>
          <w:szCs w:val="19"/>
          <w:color w:val="auto"/>
        </w:rPr>
        <w:t xml:space="preserve">” shall refer to any charges, complaints, claims, liabilities, obligations, promises, agreements, controversies, damages, actions, causes of action, suits, rights, demands, costs, losses, debts and expenses (including attorneys’ fees and costs actually incurred) of any nature whatsoever, known or unknown, suspected or unsuspected, which you or the Company now, in the past or, in the future may have, own or hold against any of the Releasees;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word “Claim” or “Claims” shall not refer to any charges, complaints, claims, liabilities, obligations, promises,</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agreements, controversies, damages, actions, causes of action, suits, rights, demands, costs, losses, debts and expenses (including attorneys’ fees and costs actually incurred) arising under [</w:t>
      </w:r>
      <w:r>
        <w:rPr>
          <w:rFonts w:ascii="Arial" w:cs="Arial" w:eastAsia="Arial" w:hAnsi="Arial"/>
          <w:sz w:val="19"/>
          <w:szCs w:val="19"/>
          <w:i w:val="1"/>
          <w:iCs w:val="1"/>
          <w:color w:val="auto"/>
        </w:rPr>
        <w:t>identify severance, employee benefits, stock option, indemnification and</w:t>
      </w:r>
      <w:r>
        <w:rPr>
          <w:rFonts w:ascii="Arial" w:cs="Arial" w:eastAsia="Arial" w:hAnsi="Arial"/>
          <w:sz w:val="19"/>
          <w:szCs w:val="19"/>
          <w:color w:val="auto"/>
        </w:rPr>
        <w:t xml:space="preserve"> </w:t>
      </w:r>
      <w:r>
        <w:rPr>
          <w:rFonts w:ascii="Arial" w:cs="Arial" w:eastAsia="Arial" w:hAnsi="Arial"/>
          <w:sz w:val="19"/>
          <w:szCs w:val="19"/>
          <w:i w:val="1"/>
          <w:iCs w:val="1"/>
          <w:color w:val="auto"/>
        </w:rPr>
        <w:t>D&amp;O and other agreements containing duties, rights obligations etc. of either party that are to remain operative</w:t>
      </w:r>
      <w:r>
        <w:rPr>
          <w:rFonts w:ascii="Arial" w:cs="Arial" w:eastAsia="Arial" w:hAnsi="Arial"/>
          <w:sz w:val="19"/>
          <w:szCs w:val="19"/>
          <w:color w:val="auto"/>
        </w:rPr>
        <w:t>]. Claims released</w:t>
      </w:r>
      <w:r>
        <w:rPr>
          <w:rFonts w:ascii="Arial" w:cs="Arial" w:eastAsia="Arial" w:hAnsi="Arial"/>
          <w:sz w:val="19"/>
          <w:szCs w:val="19"/>
          <w:i w:val="1"/>
          <w:iCs w:val="1"/>
          <w:color w:val="auto"/>
        </w:rPr>
        <w:t xml:space="preserve"> </w:t>
      </w:r>
      <w:r>
        <w:rPr>
          <w:rFonts w:ascii="Arial" w:cs="Arial" w:eastAsia="Arial" w:hAnsi="Arial"/>
          <w:sz w:val="19"/>
          <w:szCs w:val="19"/>
          <w:color w:val="auto"/>
        </w:rPr>
        <w:t>pursuant to this Agreement by you and the Company include, but are not limited to, rights arising out of alleged violations of any contracts, express or implied, any tort, claim, any claim that you failed to perform or negligently performed or breached your duties during employment at the Company; any legal restrictions on the Company’s right to terminate employment relationships or any federal, state or other governmental statute, regulation, or ordinance, governing the employment relationship including, without limitation: all state and federal laws and regulations prohibiting discrimination based on protected categories, and all state and federal laws and regulations prohibiting retaliation against employees for engaging in protected activity or legal off-duty conduct. This release does not extend to claims for workers’ compensation or other claims which by law may not be waived or released by this Agreement.</w:t>
      </w:r>
    </w:p>
    <w:p>
      <w:pPr>
        <w:spacing w:after="0" w:line="200" w:lineRule="exact"/>
        <w:rPr>
          <w:sz w:val="20"/>
          <w:szCs w:val="20"/>
          <w:color w:val="auto"/>
        </w:rPr>
      </w:pPr>
    </w:p>
    <w:p>
      <w:pPr>
        <w:spacing w:after="0" w:line="205" w:lineRule="exact"/>
        <w:rPr>
          <w:sz w:val="20"/>
          <w:szCs w:val="20"/>
          <w:color w:val="auto"/>
        </w:rPr>
      </w:pPr>
    </w:p>
    <w:p>
      <w:pPr>
        <w:ind w:right="20" w:firstLine="1297"/>
        <w:spacing w:after="0" w:line="235" w:lineRule="auto"/>
        <w:rPr>
          <w:sz w:val="20"/>
          <w:szCs w:val="20"/>
          <w:color w:val="auto"/>
        </w:rPr>
      </w:pPr>
      <w:r>
        <w:rPr>
          <w:rFonts w:ascii="Arial" w:cs="Arial" w:eastAsia="Arial" w:hAnsi="Arial"/>
          <w:sz w:val="22"/>
          <w:szCs w:val="22"/>
          <w:color w:val="auto"/>
        </w:rPr>
        <w:t>THREE: You and the Company expressly waive and relinquish all rights and benefits afforded by any statute (including but not limited to Section 1542 of the Civil Code of the State of California and analogous laws of other states) which limits the effect of a release with respect to unknown claims. You and the Company do so understanding and acknowledging the significance of the release of unknown claims and the waiver of statutory protection against a release of unknown claims (including but not limited to Section 1542 and analogous laws of other states). Section 1542 of the Civil Code of the State of California states as follows:</w:t>
      </w:r>
    </w:p>
    <w:p>
      <w:pPr>
        <w:spacing w:after="0" w:line="188" w:lineRule="exact"/>
        <w:rPr>
          <w:sz w:val="20"/>
          <w:szCs w:val="20"/>
          <w:color w:val="auto"/>
        </w:rPr>
      </w:pPr>
    </w:p>
    <w:p>
      <w:pPr>
        <w:ind w:left="1300" w:right="1340"/>
        <w:spacing w:after="0" w:line="238" w:lineRule="auto"/>
        <w:rPr>
          <w:sz w:val="20"/>
          <w:szCs w:val="20"/>
          <w:color w:val="auto"/>
        </w:rPr>
      </w:pPr>
      <w:r>
        <w:rPr>
          <w:rFonts w:ascii="Arial" w:cs="Arial" w:eastAsia="Arial" w:hAnsi="Arial"/>
          <w:sz w:val="22"/>
          <w:szCs w:val="22"/>
          <w:color w:val="auto"/>
        </w:rPr>
        <w:t>“A GENERAL RELEASE DOES NOT EXTEND TO CLAIMS WHICH THE CREDITOR DOES NOT KNOW OR SUSPECT TO EXIST IN HIS OR HER FAVOR AT THE TIME OF EXECUTING THE RELEASE, WHICH IF KNOWN BY HIM OR HER MUST HAVE MATERIALLY AFFECTED HIS SETTLEMENT WITH THE DEBTOR.”</w:t>
      </w:r>
    </w:p>
    <w:p>
      <w:pPr>
        <w:spacing w:after="0" w:line="185" w:lineRule="exact"/>
        <w:rPr>
          <w:sz w:val="20"/>
          <w:szCs w:val="20"/>
          <w:color w:val="auto"/>
        </w:rPr>
      </w:pPr>
    </w:p>
    <w:p>
      <w:pPr>
        <w:ind w:right="220"/>
        <w:spacing w:after="0" w:line="236" w:lineRule="auto"/>
        <w:rPr>
          <w:sz w:val="20"/>
          <w:szCs w:val="20"/>
          <w:color w:val="auto"/>
        </w:rPr>
      </w:pPr>
      <w:r>
        <w:rPr>
          <w:rFonts w:ascii="Arial" w:cs="Arial" w:eastAsia="Arial" w:hAnsi="Arial"/>
          <w:sz w:val="22"/>
          <w:szCs w:val="22"/>
          <w:color w:val="auto"/>
        </w:rPr>
        <w:t>Thus, notwithstanding the provisions of Section 1542 or of any similar statute, and for the purpose of implementing a full and complete release and discharge of the Releasees, you and the Company expressly acknowledge that this Agreement is intended to include in its effect, without limitation, all Claims which are known and all Claims which you or the Company do not know or suspect to exist in your or the Company’s favor at the time of execution of this Agreement and that this Agreement contemplates the extinguishment of all such Claims.</w:t>
      </w:r>
    </w:p>
    <w:p>
      <w:pPr>
        <w:sectPr>
          <w:pgSz w:w="11900" w:h="16838" w:orient="portrait"/>
          <w:cols w:equalWidth="0" w:num="1">
            <w:col w:w="11420"/>
          </w:cols>
          <w:pgMar w:left="240" w:top="604" w:right="239" w:bottom="0" w:gutter="0" w:footer="0" w:header="0"/>
        </w:sectPr>
      </w:pPr>
    </w:p>
    <w:bookmarkStart w:id="146" w:name="page147"/>
    <w:bookmarkEnd w:id="146"/>
    <w:p>
      <w:pPr>
        <w:spacing w:after="0" w:line="13" w:lineRule="exact"/>
        <w:rPr>
          <w:sz w:val="20"/>
          <w:szCs w:val="20"/>
          <w:color w:val="auto"/>
        </w:rPr>
      </w:pPr>
    </w:p>
    <w:p>
      <w:pPr>
        <w:ind w:right="20" w:firstLine="1297"/>
        <w:spacing w:after="0" w:line="238" w:lineRule="auto"/>
        <w:rPr>
          <w:sz w:val="20"/>
          <w:szCs w:val="20"/>
          <w:color w:val="auto"/>
        </w:rPr>
      </w:pPr>
      <w:r>
        <w:rPr>
          <w:rFonts w:ascii="Arial" w:cs="Arial" w:eastAsia="Arial" w:hAnsi="Arial"/>
          <w:sz w:val="22"/>
          <w:szCs w:val="22"/>
          <w:color w:val="auto"/>
        </w:rPr>
        <w:t>FOUR: The parties acknowledge that they might hereafter discover facts different from, or in addition to, those they now know or believe to be true with respect to a Claim or Claims released herein, and they expressly agree to assume the risk of possible discovery of additional or different facts, and agree that this Agreement shall be and remain effective, in all respects, regardless of such additional or different discovered facts.</w:t>
      </w:r>
    </w:p>
    <w:p>
      <w:pPr>
        <w:spacing w:after="0" w:line="185" w:lineRule="exact"/>
        <w:rPr>
          <w:sz w:val="20"/>
          <w:szCs w:val="20"/>
          <w:color w:val="auto"/>
        </w:rPr>
      </w:pPr>
    </w:p>
    <w:p>
      <w:pPr>
        <w:ind w:right="20" w:firstLine="1297"/>
        <w:spacing w:after="0" w:line="249" w:lineRule="auto"/>
        <w:rPr>
          <w:sz w:val="20"/>
          <w:szCs w:val="20"/>
          <w:color w:val="auto"/>
        </w:rPr>
      </w:pPr>
      <w:r>
        <w:rPr>
          <w:rFonts w:ascii="Arial" w:cs="Arial" w:eastAsia="Arial" w:hAnsi="Arial"/>
          <w:sz w:val="21"/>
          <w:szCs w:val="21"/>
          <w:color w:val="auto"/>
        </w:rPr>
        <w:t>FIVE: You hereby represent and acknowledge that you have not filed any Claim of any kind against the Company or others released in this Agreement. You further hereby expressly agree never to initiate against the Company or others released in this Agreement any administrative proceeding, lawsuit or any other legal or equitable proceeding of any kind asserting any Claims that are released in this Agreement. You agree that you will not be entitled to any monetary recovery that may result from any agency action against the Company related to the Claims released by this Agreement.</w:t>
      </w:r>
    </w:p>
    <w:p>
      <w:pPr>
        <w:spacing w:after="0" w:line="179" w:lineRule="exact"/>
        <w:rPr>
          <w:sz w:val="20"/>
          <w:szCs w:val="20"/>
          <w:color w:val="auto"/>
        </w:rPr>
      </w:pPr>
    </w:p>
    <w:p>
      <w:pPr>
        <w:ind w:right="120" w:firstLine="1297"/>
        <w:spacing w:after="0" w:line="238" w:lineRule="auto"/>
        <w:rPr>
          <w:sz w:val="20"/>
          <w:szCs w:val="20"/>
          <w:color w:val="auto"/>
        </w:rPr>
      </w:pPr>
      <w:r>
        <w:rPr>
          <w:rFonts w:ascii="Arial" w:cs="Arial" w:eastAsia="Arial" w:hAnsi="Arial"/>
          <w:sz w:val="22"/>
          <w:szCs w:val="22"/>
          <w:color w:val="auto"/>
        </w:rPr>
        <w:t>The Company hereby represents and acknowledges that it has not filed any Claim of any kind against you or others released in this Agreement. The Company further hereby expressly agrees never to initiate against you or others released in this Agreement any administrative proceeding, lawsuit or any other legal or equitable proceeding of any kind asserting any Claims that are released in this Agreement.</w:t>
      </w:r>
    </w:p>
    <w:p>
      <w:pPr>
        <w:spacing w:after="0" w:line="185" w:lineRule="exact"/>
        <w:rPr>
          <w:sz w:val="20"/>
          <w:szCs w:val="20"/>
          <w:color w:val="auto"/>
        </w:rPr>
      </w:pPr>
    </w:p>
    <w:p>
      <w:pPr>
        <w:ind w:right="400" w:firstLine="1297"/>
        <w:spacing w:after="0" w:line="251" w:lineRule="auto"/>
        <w:rPr>
          <w:sz w:val="20"/>
          <w:szCs w:val="20"/>
          <w:color w:val="auto"/>
        </w:rPr>
      </w:pPr>
      <w:r>
        <w:rPr>
          <w:rFonts w:ascii="Arial" w:cs="Arial" w:eastAsia="Arial" w:hAnsi="Arial"/>
          <w:sz w:val="22"/>
          <w:szCs w:val="22"/>
          <w:color w:val="auto"/>
        </w:rPr>
        <w:t>SIX: You hereby represent and agree that you have not assigned or transferred, or attempted to have assigned or transfer, to any person or entity, any of the Claims that you are releasing in this Agreement.</w:t>
      </w:r>
    </w:p>
    <w:p>
      <w:pPr>
        <w:spacing w:after="0" w:line="173" w:lineRule="exact"/>
        <w:rPr>
          <w:sz w:val="20"/>
          <w:szCs w:val="20"/>
          <w:color w:val="auto"/>
        </w:rPr>
      </w:pPr>
    </w:p>
    <w:p>
      <w:pPr>
        <w:ind w:right="180" w:firstLine="1297"/>
        <w:spacing w:after="0" w:line="251" w:lineRule="auto"/>
        <w:rPr>
          <w:sz w:val="20"/>
          <w:szCs w:val="20"/>
          <w:color w:val="auto"/>
        </w:rPr>
      </w:pPr>
      <w:r>
        <w:rPr>
          <w:rFonts w:ascii="Arial" w:cs="Arial" w:eastAsia="Arial" w:hAnsi="Arial"/>
          <w:sz w:val="22"/>
          <w:szCs w:val="22"/>
          <w:color w:val="auto"/>
        </w:rPr>
        <w:t>The Company hereby represents and agrees that it has not assigned or transferred, or attempted to have assigned or transfer, to any person or entity, any of the Claims that it is releasing in this Agreement.</w:t>
      </w:r>
    </w:p>
    <w:p>
      <w:pPr>
        <w:spacing w:after="0" w:line="173" w:lineRule="exact"/>
        <w:rPr>
          <w:sz w:val="20"/>
          <w:szCs w:val="20"/>
          <w:color w:val="auto"/>
        </w:rPr>
      </w:pPr>
    </w:p>
    <w:p>
      <w:pPr>
        <w:ind w:right="400" w:firstLine="1297"/>
        <w:spacing w:after="0" w:line="238" w:lineRule="auto"/>
        <w:rPr>
          <w:sz w:val="20"/>
          <w:szCs w:val="20"/>
          <w:color w:val="auto"/>
        </w:rPr>
      </w:pPr>
      <w:r>
        <w:rPr>
          <w:rFonts w:ascii="Arial" w:cs="Arial" w:eastAsia="Arial" w:hAnsi="Arial"/>
          <w:sz w:val="22"/>
          <w:szCs w:val="22"/>
          <w:color w:val="auto"/>
        </w:rPr>
        <w:t>SEVEN: As a further material inducement to the Company to enter into this Agreement, you hereby agree to indemnify and hold each of the Releasees harmless from all loss, costs, damages, or expenses, including without limitation, attorneys’ fees incurred by the Releasees, arising out of any breach of this Agreement by you or the fact that any representation made in this Agreement by you was false when made.</w:t>
      </w:r>
    </w:p>
    <w:p>
      <w:pPr>
        <w:spacing w:after="0" w:line="185" w:lineRule="exact"/>
        <w:rPr>
          <w:sz w:val="20"/>
          <w:szCs w:val="20"/>
          <w:color w:val="auto"/>
        </w:rPr>
      </w:pPr>
    </w:p>
    <w:p>
      <w:pPr>
        <w:ind w:right="140" w:firstLine="1297"/>
        <w:spacing w:after="0" w:line="238" w:lineRule="auto"/>
        <w:rPr>
          <w:sz w:val="20"/>
          <w:szCs w:val="20"/>
          <w:color w:val="auto"/>
        </w:rPr>
      </w:pPr>
      <w:r>
        <w:rPr>
          <w:rFonts w:ascii="Arial" w:cs="Arial" w:eastAsia="Arial" w:hAnsi="Arial"/>
          <w:sz w:val="22"/>
          <w:szCs w:val="22"/>
          <w:color w:val="auto"/>
        </w:rPr>
        <w:t>As a further material inducement to you to enter into this Agreement, the Company hereby agrees to indemnify and hold each of the Releasees harmless from all loss, costs, damages, or expenses, including without limitation, attorneys’ fees incurred by the Releasees, arising out of any breach of this Agreement by it or the fact that any representation made in this Agreement by it was knowingly false when made.</w:t>
      </w:r>
    </w:p>
    <w:p>
      <w:pPr>
        <w:spacing w:after="0" w:line="185" w:lineRule="exact"/>
        <w:rPr>
          <w:sz w:val="20"/>
          <w:szCs w:val="20"/>
          <w:color w:val="auto"/>
        </w:rPr>
      </w:pPr>
    </w:p>
    <w:p>
      <w:pPr>
        <w:ind w:right="40" w:firstLine="1297"/>
        <w:spacing w:after="0" w:line="251" w:lineRule="auto"/>
        <w:rPr>
          <w:sz w:val="20"/>
          <w:szCs w:val="20"/>
          <w:color w:val="auto"/>
        </w:rPr>
      </w:pPr>
      <w:r>
        <w:rPr>
          <w:rFonts w:ascii="Arial" w:cs="Arial" w:eastAsia="Arial" w:hAnsi="Arial"/>
          <w:sz w:val="22"/>
          <w:szCs w:val="22"/>
          <w:color w:val="auto"/>
        </w:rPr>
        <w:t>EIGHT: You and the Company represent and acknowledge that in executing this Agreement, neither is relying upon any representation or statement not set forth in this Agreement or the Severance Agreement.</w:t>
      </w:r>
    </w:p>
    <w:p>
      <w:pPr>
        <w:spacing w:after="0" w:line="160" w:lineRule="exact"/>
        <w:rPr>
          <w:sz w:val="20"/>
          <w:szCs w:val="20"/>
          <w:color w:val="auto"/>
        </w:rPr>
      </w:pPr>
    </w:p>
    <w:p>
      <w:pPr>
        <w:ind w:right="60" w:firstLine="1297"/>
        <w:spacing w:after="0" w:line="235" w:lineRule="auto"/>
        <w:rPr>
          <w:sz w:val="20"/>
          <w:szCs w:val="20"/>
          <w:color w:val="auto"/>
        </w:rPr>
      </w:pPr>
      <w:r>
        <w:rPr>
          <w:rFonts w:ascii="Arial" w:cs="Arial" w:eastAsia="Arial" w:hAnsi="Arial"/>
          <w:sz w:val="22"/>
          <w:szCs w:val="22"/>
          <w:color w:val="auto"/>
        </w:rPr>
        <w:t>NINE: (a) This Agreement shall not in any way be construed as an admission by the Company that it has acted wrongfully with respect to you or any other person, or that you have any rights whatsoever against the Company, and the Company specifically disclaims any liability to or wrongful acts against you or any other person, on the part of itself, its employees or its agents. This Agreement shall not in any way be construed as an admission by you that you have acted wrongfully with respect to the Company, or that you failed to perform your duties or negligently performed or breached your duties, or that the Company had good cause to terminate your employment.</w:t>
      </w:r>
    </w:p>
    <w:p>
      <w:pPr>
        <w:spacing w:after="0" w:line="188" w:lineRule="exact"/>
        <w:rPr>
          <w:sz w:val="20"/>
          <w:szCs w:val="20"/>
          <w:color w:val="auto"/>
        </w:rPr>
      </w:pPr>
    </w:p>
    <w:p>
      <w:pPr>
        <w:ind w:right="60" w:firstLine="1953"/>
        <w:spacing w:after="0" w:line="279" w:lineRule="auto"/>
        <w:tabs>
          <w:tab w:leader="none" w:pos="2593" w:val="left"/>
        </w:tabs>
        <w:numPr>
          <w:ilvl w:val="0"/>
          <w:numId w:val="205"/>
        </w:numPr>
        <w:rPr>
          <w:rFonts w:ascii="Arial" w:cs="Arial" w:eastAsia="Arial" w:hAnsi="Arial"/>
          <w:sz w:val="19"/>
          <w:szCs w:val="19"/>
          <w:color w:val="auto"/>
        </w:rPr>
      </w:pPr>
      <w:r>
        <w:rPr>
          <w:rFonts w:ascii="Arial" w:cs="Arial" w:eastAsia="Arial" w:hAnsi="Arial"/>
          <w:sz w:val="19"/>
          <w:szCs w:val="19"/>
          <w:color w:val="auto"/>
        </w:rPr>
        <w:t xml:space="preserve">If you are a party or are threatened to be made a party to any proceeding by reason of the fact that you were an officer or director of the Company, the Company shall indemnify you against any expenses (including reasonable attorneys’ fees;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counsel has been approved by the Company prior to retention, which approval shall not be unreasonably withheld), judgments, fines, settlements and other amounts actually or reasonably incurred by you in connection with that proceeding; </w:t>
      </w:r>
      <w:r>
        <w:rPr>
          <w:rFonts w:ascii="Arial" w:cs="Arial" w:eastAsia="Arial" w:hAnsi="Arial"/>
          <w:sz w:val="19"/>
          <w:szCs w:val="19"/>
          <w:i w:val="1"/>
          <w:iCs w:val="1"/>
          <w:color w:val="auto"/>
        </w:rPr>
        <w:t>provided</w:t>
      </w:r>
      <w:r>
        <w:rPr>
          <w:rFonts w:ascii="Arial" w:cs="Arial" w:eastAsia="Arial" w:hAnsi="Arial"/>
          <w:sz w:val="19"/>
          <w:szCs w:val="19"/>
          <w:color w:val="auto"/>
        </w:rPr>
        <w:t>, that you acted in good faith and in a manner you reasonably believed to be in the best interest of the Company. The limitations of California Corporations Code Section 317 shall apply to this assurance of indemnification.</w:t>
      </w:r>
    </w:p>
    <w:p>
      <w:pPr>
        <w:spacing w:after="0" w:line="137" w:lineRule="exact"/>
        <w:rPr>
          <w:rFonts w:ascii="Arial" w:cs="Arial" w:eastAsia="Arial" w:hAnsi="Arial"/>
          <w:sz w:val="19"/>
          <w:szCs w:val="19"/>
          <w:color w:val="auto"/>
        </w:rPr>
      </w:pPr>
    </w:p>
    <w:p>
      <w:pPr>
        <w:ind w:right="100" w:firstLine="1953"/>
        <w:spacing w:after="0" w:line="282" w:lineRule="auto"/>
        <w:tabs>
          <w:tab w:leader="none" w:pos="2593" w:val="left"/>
        </w:tabs>
        <w:numPr>
          <w:ilvl w:val="0"/>
          <w:numId w:val="205"/>
        </w:numPr>
        <w:rPr>
          <w:rFonts w:ascii="Arial" w:cs="Arial" w:eastAsia="Arial" w:hAnsi="Arial"/>
          <w:sz w:val="19"/>
          <w:szCs w:val="19"/>
          <w:color w:val="auto"/>
        </w:rPr>
      </w:pPr>
      <w:r>
        <w:rPr>
          <w:rFonts w:ascii="Arial" w:cs="Arial" w:eastAsia="Arial" w:hAnsi="Arial"/>
          <w:sz w:val="19"/>
          <w:szCs w:val="19"/>
          <w:color w:val="auto"/>
        </w:rPr>
        <w:t>You agree to cooperate with the Company and its designated attorneys, representatives and agents in connection with any actual or threatened judicial, administrative or other legal or equitable proceeding in which the Company is or may become involved. Upon reasonable notice, you agree to meet with and provide to the Company or its designated attorneys, representatives or agents all information and knowledge you have relating to the subject matter of any such proceeding. The Company agrees to reimburse you for any reasonable costs you incur in providing such cooperation.</w:t>
      </w:r>
    </w:p>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TEN: This Agreement is entered into in California and shall be governed by substantive California law, except as provided in this section. If any dispute arises between you and the Company, including but not limited to, disputes relating to this Agreement, or if you prosecute a claim you purported to release by means of this Agreement (“Arbitrable Dispute”), you and the Company agree to resolve that Arbitrable Dispute through final and binding arbitration under this section. You also agree to arbitrate any Arbitrable Dispute which also involves any other released party who offers or agrees to arbitrate the dispute under this section. Your agreement to arbitrate applies, for example, to disputes about the validity, interpretation, or effect of this Agreement or alleged violations of it, claims of discrimination under federal or state law, or other statutory violation claims.</w:t>
      </w:r>
    </w:p>
    <w:p>
      <w:pPr>
        <w:spacing w:after="0" w:line="45" w:lineRule="exact"/>
        <w:rPr>
          <w:sz w:val="20"/>
          <w:szCs w:val="20"/>
          <w:color w:val="auto"/>
        </w:rPr>
      </w:pPr>
    </w:p>
    <w:p>
      <w:pPr>
        <w:ind w:right="300" w:firstLine="648"/>
        <w:spacing w:after="0" w:line="238" w:lineRule="auto"/>
        <w:rPr>
          <w:sz w:val="20"/>
          <w:szCs w:val="20"/>
          <w:color w:val="auto"/>
        </w:rPr>
      </w:pPr>
      <w:r>
        <w:rPr>
          <w:rFonts w:ascii="Arial" w:cs="Arial" w:eastAsia="Arial" w:hAnsi="Arial"/>
          <w:sz w:val="22"/>
          <w:szCs w:val="22"/>
          <w:color w:val="auto"/>
        </w:rPr>
        <w:t>As to any Arbitrable Dispute, you and the Company waive any right to a jury trial or a court bench trial. You and the Company also waive the right to bring, maintain, or participate in any class, collective, or representative proceeding, whether in arbitration or otherwise. Further, Arbitrable Disputes must be brought in the individual capacity of the party asserting the claim, and cannot be maintained on a class, collective, or representative basis.</w:t>
      </w:r>
    </w:p>
    <w:p>
      <w:pPr>
        <w:spacing w:after="0" w:line="77"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Arbitration shall take place in San Diego, California under the employment dispute resolution rules of the Judicial Arbitration and Mediation Service (“JAMS”), (or, if you are employed outside of California at the time of the termination of your</w:t>
      </w:r>
    </w:p>
    <w:p>
      <w:pPr>
        <w:sectPr>
          <w:pgSz w:w="11900" w:h="16852" w:orient="portrait"/>
          <w:cols w:equalWidth="0" w:num="1">
            <w:col w:w="11420"/>
          </w:cols>
          <w:pgMar w:left="240" w:top="118" w:right="239" w:bottom="0" w:gutter="0" w:footer="0" w:header="0"/>
        </w:sectPr>
      </w:pPr>
    </w:p>
    <w:bookmarkStart w:id="147" w:name="page148"/>
    <w:bookmarkEnd w:id="147"/>
    <w:p>
      <w:pPr>
        <w:jc w:val="both"/>
        <w:spacing w:after="0" w:line="272" w:lineRule="auto"/>
        <w:rPr>
          <w:sz w:val="20"/>
          <w:szCs w:val="20"/>
          <w:color w:val="auto"/>
        </w:rPr>
      </w:pPr>
      <w:r>
        <w:rPr>
          <w:rFonts w:ascii="Arial" w:cs="Arial" w:eastAsia="Arial" w:hAnsi="Arial"/>
          <w:sz w:val="19"/>
          <w:szCs w:val="19"/>
          <w:color w:val="auto"/>
        </w:rPr>
        <w:t>employment, at the nearest location of the American Arbitration Association and in accordance with the AAA rules), before an experienced employment arbitrator selected in accordance with those rules. The arbitrator may not modify or change this Agreement in any way. The Company will be responsible for paying any filing fee and the fees and costs of the Arbitrator; provided, however, that if you are the party initiating the claim, you will contribute an amount equal to the filing fee to initiate a claim in the court of general jurisdiction in the state in which you are employed by the Company. Each party shall pay for its own costs and attorneys’ fees, if any. However if any party prevails on a statutory claim which affords the prevailing party attorneys’ fees and costs, or if there is a written agreement providing for attorneys’ fees and/or costs, the Arbitrator may award reasonable attorney’s fees and/or costs to the prevailing party, applying the same standards a court would apply under the law applicable to the claim. The Arbitrator shall apply the Federal Rules of Evidence and shall have the authority to entertain a motion to dismiss or a motion for summary judgment by any party and shall apply the standards governing such motions under the Federal Rules of Civil Procedure. The Federal Arbitration Act shall govern the arbitration and shall govern the interpretation or enforcement of this section or any arbitration award. The arbitrator will not have the authority to consider, certify, or hear an arbitration as a class action, collective action, or any other type of representative action.</w:t>
      </w:r>
    </w:p>
    <w:p>
      <w:pPr>
        <w:spacing w:after="0" w:line="297" w:lineRule="exact"/>
        <w:rPr>
          <w:sz w:val="20"/>
          <w:szCs w:val="20"/>
          <w:color w:val="auto"/>
        </w:rPr>
      </w:pPr>
    </w:p>
    <w:p>
      <w:pPr>
        <w:ind w:right="40" w:firstLine="1297"/>
        <w:spacing w:after="0" w:line="247" w:lineRule="auto"/>
        <w:rPr>
          <w:sz w:val="20"/>
          <w:szCs w:val="20"/>
          <w:color w:val="auto"/>
        </w:rPr>
      </w:pPr>
      <w:r>
        <w:rPr>
          <w:rFonts w:ascii="Arial" w:cs="Arial" w:eastAsia="Arial" w:hAnsi="Arial"/>
          <w:sz w:val="21"/>
          <w:szCs w:val="21"/>
          <w:color w:val="auto"/>
        </w:rPr>
        <w:t>To the extent that the Federal Arbitration Act is inapplicable, California law pertaining to arbitration agreements shall apply. Arbitration in this manner shall be the exclusive remedy for any Arbitrable Dispute. Except as prohibited by the ADEA, should you or the Company attempt to resolve an Arbitrable Dispute by any method other than arbitration pursuant to this section, the responding party will be entitled to recover from the initiating party all damages, expenses, and attorneys’ fees incurred as a result of this breach. This section TEN supersedes any existing arbitration agreement between the Company and me as to any Arbitrable Dispute. Notwithstanding anything in this section TEN to the contrary, a claim for benefits under an ERISA-covered plan shall not be an Arbitrable Dispute.</w:t>
      </w:r>
    </w:p>
    <w:p>
      <w:pPr>
        <w:spacing w:after="0" w:line="178" w:lineRule="exact"/>
        <w:rPr>
          <w:sz w:val="20"/>
          <w:szCs w:val="20"/>
          <w:color w:val="auto"/>
        </w:rPr>
      </w:pPr>
    </w:p>
    <w:p>
      <w:pPr>
        <w:ind w:right="20" w:firstLine="1297"/>
        <w:spacing w:after="0" w:line="272" w:lineRule="auto"/>
        <w:rPr>
          <w:sz w:val="20"/>
          <w:szCs w:val="20"/>
          <w:color w:val="auto"/>
        </w:rPr>
      </w:pPr>
      <w:r>
        <w:rPr>
          <w:rFonts w:ascii="Arial" w:cs="Arial" w:eastAsia="Arial" w:hAnsi="Arial"/>
          <w:sz w:val="19"/>
          <w:szCs w:val="19"/>
          <w:color w:val="auto"/>
        </w:rPr>
        <w:t>ELEVEN: Both you and the Company understand that this Agreement is final and binding eight (8) days after its execution and return. Should you nevertheless attempt to challenge the enforceability of this Agreement as provided in Paragraph TEN or, in violation of that Paragraph, through litigation, as a further limitation on any right to make such a challenge, you shall initially tender to the Company, by certified check delivered to the Company, all monies received pursuant to Sections 4 or 5 of the Severance Pay Agreement, as applicable, plus interest, and invite the Company to retain such monies and agree with you to cancel this Agreement and void the Company’s obligations under of the Severance Pay Agreement. In the event the Company accepts this offer, the Company shall retain such monies and this Agreement shall be canceled and the Company shall have no obligation under of the Severance Pay Agreement. In the event the Company does not accept such offer, the Company shall so notify you and shall place such monies in an interest-bearing escrow account pending resolution of the dispute between you and the Company as to whether or not this Agreement and the Company’s obligations under of the Severance Pay Agreement shall be set aside and/or otherwise rendered voidable or unenforceable. Additionally, any consulting agreement then in effect between you and the Company shall be immediately rescinded with no requirement of notice.</w:t>
      </w:r>
    </w:p>
    <w:p>
      <w:pPr>
        <w:spacing w:after="0" w:line="162" w:lineRule="exact"/>
        <w:rPr>
          <w:sz w:val="20"/>
          <w:szCs w:val="20"/>
          <w:color w:val="auto"/>
        </w:rPr>
      </w:pPr>
    </w:p>
    <w:p>
      <w:pPr>
        <w:ind w:right="360" w:firstLine="1297"/>
        <w:spacing w:after="0" w:line="251" w:lineRule="auto"/>
        <w:rPr>
          <w:sz w:val="20"/>
          <w:szCs w:val="20"/>
          <w:color w:val="auto"/>
        </w:rPr>
      </w:pPr>
      <w:r>
        <w:rPr>
          <w:rFonts w:ascii="Arial" w:cs="Arial" w:eastAsia="Arial" w:hAnsi="Arial"/>
          <w:sz w:val="22"/>
          <w:szCs w:val="22"/>
          <w:color w:val="auto"/>
        </w:rPr>
        <w:t>TWELVE: Any notices required to be given under this Agreement shall be delivered either personally or by first class United States mail, postage prepaid, addressed to the respective parties as follows:</w:t>
      </w:r>
    </w:p>
    <w:p>
      <w:pPr>
        <w:spacing w:after="0" w:line="160"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22"/>
          <w:szCs w:val="22"/>
          <w:color w:val="auto"/>
        </w:rPr>
        <w:t>To Company:</w:t>
      </w:r>
      <w:r>
        <w:rPr>
          <w:sz w:val="20"/>
          <w:szCs w:val="20"/>
          <w:color w:val="auto"/>
        </w:rPr>
        <w:tab/>
      </w:r>
      <w:r>
        <w:rPr>
          <w:rFonts w:ascii="Arial" w:cs="Arial" w:eastAsia="Arial" w:hAnsi="Arial"/>
          <w:sz w:val="21"/>
          <w:szCs w:val="21"/>
          <w:color w:val="auto"/>
        </w:rPr>
        <w:t>[TO COME]</w:t>
      </w:r>
    </w:p>
    <w:p>
      <w:pPr>
        <w:spacing w:after="0" w:line="206"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Attn: [TO COME]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You:</w:t>
      </w:r>
    </w:p>
    <w:p>
      <w:pPr>
        <w:spacing w:after="0" w:line="206"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______________________</w:t>
      </w:r>
    </w:p>
    <w:p>
      <w:pPr>
        <w:spacing w:after="0" w:line="206"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______________________</w:t>
      </w:r>
    </w:p>
    <w:p>
      <w:pPr>
        <w:spacing w:after="0" w:line="206"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______________________</w:t>
      </w:r>
    </w:p>
    <w:p>
      <w:pPr>
        <w:spacing w:after="0" w:line="206" w:lineRule="exact"/>
        <w:rPr>
          <w:sz w:val="20"/>
          <w:szCs w:val="20"/>
          <w:color w:val="auto"/>
        </w:rPr>
      </w:pPr>
    </w:p>
    <w:p>
      <w:pPr>
        <w:ind w:right="60" w:firstLine="1297"/>
        <w:spacing w:after="0" w:line="275" w:lineRule="auto"/>
        <w:rPr>
          <w:sz w:val="20"/>
          <w:szCs w:val="20"/>
          <w:color w:val="auto"/>
        </w:rPr>
      </w:pPr>
      <w:r>
        <w:rPr>
          <w:rFonts w:ascii="Arial" w:cs="Arial" w:eastAsia="Arial" w:hAnsi="Arial"/>
          <w:sz w:val="19"/>
          <w:szCs w:val="19"/>
          <w:color w:val="auto"/>
        </w:rPr>
        <w:t>THIRTEEN: You understand and acknowledge that you have been given a period of forty-five (45) days to review and consider this Agreement (as well as statistical data on the persons eligible for similar benefits) before signing it and may use as much of this forty-five (45) day period as you wish prior to signing. You are encouraged, at your personal expense, to consult with an attorney before signing this Agreement. You understand and acknowledge that whether or not you do so is your decision. You may revoke this Agreement within seven (7) days of signing it. If you wish to revoke, the Company’s Vice President, Human Resources must receive written notice from you no later than the close of business on the seventh (7th) day after you have signed the Agreement. If revoked, this Agreement shall not be effective and enforceable, and you will not receive payments or benefits under Sections 4 or 5 of the Severance Pay Agreement, as applicable.</w:t>
      </w:r>
    </w:p>
    <w:p>
      <w:pPr>
        <w:spacing w:after="0" w:line="158" w:lineRule="exact"/>
        <w:rPr>
          <w:sz w:val="20"/>
          <w:szCs w:val="20"/>
          <w:color w:val="auto"/>
        </w:rPr>
      </w:pPr>
    </w:p>
    <w:p>
      <w:pPr>
        <w:ind w:firstLine="1297"/>
        <w:spacing w:after="0" w:line="297" w:lineRule="auto"/>
        <w:rPr>
          <w:sz w:val="20"/>
          <w:szCs w:val="20"/>
          <w:color w:val="auto"/>
        </w:rPr>
      </w:pPr>
      <w:r>
        <w:rPr>
          <w:rFonts w:ascii="Arial" w:cs="Arial" w:eastAsia="Arial" w:hAnsi="Arial"/>
          <w:sz w:val="19"/>
          <w:szCs w:val="19"/>
          <w:color w:val="auto"/>
        </w:rPr>
        <w:t>FOURTEEN: This Agreement constitutes the entire agreement of the parties hereto and supersedes any and all other agreements (except the Severance Pay Agreement) with respect to the subject matter of this Agreement, whether written or oral, between you and the Company. All modifications and amendments to this Agreement must be in writing and signed by the parties.</w:t>
      </w:r>
    </w:p>
    <w:p>
      <w:pPr>
        <w:spacing w:after="0" w:line="134" w:lineRule="exact"/>
        <w:rPr>
          <w:sz w:val="20"/>
          <w:szCs w:val="20"/>
          <w:color w:val="auto"/>
        </w:rPr>
      </w:pPr>
    </w:p>
    <w:p>
      <w:pPr>
        <w:ind w:right="20" w:firstLine="1297"/>
        <w:spacing w:after="0" w:line="328" w:lineRule="auto"/>
        <w:rPr>
          <w:sz w:val="20"/>
          <w:szCs w:val="20"/>
          <w:color w:val="auto"/>
        </w:rPr>
      </w:pPr>
      <w:r>
        <w:rPr>
          <w:rFonts w:ascii="Arial" w:cs="Arial" w:eastAsia="Arial" w:hAnsi="Arial"/>
          <w:sz w:val="19"/>
          <w:szCs w:val="19"/>
          <w:color w:val="auto"/>
        </w:rPr>
        <w:t>FIFTEEN: Each party agrees, without further consideration, to sign or cause to be signed, and to deliver to the other party, any other documents and to take any other action as may be necessary to fulfill the obligations under this Agreement.</w:t>
      </w:r>
    </w:p>
    <w:p>
      <w:pPr>
        <w:spacing w:after="0" w:line="105" w:lineRule="exact"/>
        <w:rPr>
          <w:sz w:val="20"/>
          <w:szCs w:val="20"/>
          <w:color w:val="auto"/>
        </w:rPr>
      </w:pPr>
    </w:p>
    <w:p>
      <w:pPr>
        <w:ind w:right="360" w:firstLine="1297"/>
        <w:spacing w:after="0"/>
        <w:rPr>
          <w:sz w:val="20"/>
          <w:szCs w:val="20"/>
          <w:color w:val="auto"/>
        </w:rPr>
      </w:pPr>
      <w:r>
        <w:rPr>
          <w:rFonts w:ascii="Arial" w:cs="Arial" w:eastAsia="Arial" w:hAnsi="Arial"/>
          <w:sz w:val="22"/>
          <w:szCs w:val="22"/>
          <w:color w:val="auto"/>
        </w:rPr>
        <w:t>SIXTEEN: If any provision of this Agreement or the application thereof is held invalid, the invalidity shall not affect other provisions or applications of the Agreement which can be given effect without the invalid provisions or application; and to this end the provisions of this Agreement are declared to be severable.</w:t>
      </w:r>
    </w:p>
    <w:p>
      <w:pPr>
        <w:sectPr>
          <w:pgSz w:w="11900" w:h="16838" w:orient="portrait"/>
          <w:cols w:equalWidth="0" w:num="1">
            <w:col w:w="11420"/>
          </w:cols>
          <w:pgMar w:left="240" w:top="118" w:right="239" w:bottom="0" w:gutter="0" w:footer="0" w:header="0"/>
        </w:sectPr>
      </w:pPr>
    </w:p>
    <w:bookmarkStart w:id="148" w:name="page149"/>
    <w:bookmarkEnd w:id="148"/>
    <w:p>
      <w:pPr>
        <w:ind w:left="1300"/>
        <w:spacing w:after="0"/>
        <w:rPr>
          <w:sz w:val="20"/>
          <w:szCs w:val="20"/>
          <w:color w:val="auto"/>
        </w:rPr>
      </w:pPr>
      <w:r>
        <w:rPr>
          <w:rFonts w:ascii="Arial" w:cs="Arial" w:eastAsia="Arial" w:hAnsi="Arial"/>
          <w:sz w:val="22"/>
          <w:szCs w:val="22"/>
          <w:color w:val="auto"/>
        </w:rPr>
        <w:t>SEVENTEEN: This Agreement may be executed in counterparts.</w:t>
      </w:r>
    </w:p>
    <w:p>
      <w:pPr>
        <w:spacing w:after="0" w:line="207" w:lineRule="exact"/>
        <w:rPr>
          <w:sz w:val="20"/>
          <w:szCs w:val="20"/>
          <w:color w:val="auto"/>
        </w:rPr>
      </w:pPr>
    </w:p>
    <w:p>
      <w:pPr>
        <w:ind w:firstLine="1297"/>
        <w:spacing w:after="0" w:line="328" w:lineRule="auto"/>
        <w:rPr>
          <w:sz w:val="20"/>
          <w:szCs w:val="20"/>
          <w:color w:val="auto"/>
        </w:rPr>
      </w:pPr>
      <w:r>
        <w:rPr>
          <w:rFonts w:ascii="Arial" w:cs="Arial" w:eastAsia="Arial" w:hAnsi="Arial"/>
          <w:sz w:val="19"/>
          <w:szCs w:val="19"/>
          <w:color w:val="auto"/>
        </w:rPr>
        <w:t>I have read the foregoing General Release, and I accept and agree to the provisions it contains and hereby execute it voluntarily and with full understanding of its consequences. I am aware it includes a release of all known or unknown claims.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w:t>
      </w: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__________________________________________</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w:t>
      </w: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__________________________________________</w:t>
      </w:r>
    </w:p>
    <w:p>
      <w:pPr>
        <w:spacing w:after="0" w:line="20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You acknowledge that you first received this Agreement on [date].</w:t>
      </w:r>
    </w:p>
    <w:p>
      <w:pPr>
        <w:spacing w:after="0" w:line="20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320"/>
          </w:cols>
          <w:pgMar w:left="240" w:top="118"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25"/>
          <w:szCs w:val="25"/>
          <w:b w:val="1"/>
          <w:bCs w:val="1"/>
          <w:color w:val="auto"/>
        </w:rPr>
        <w:t>Exhibit 10.5</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SEMPRA ENERGY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PAY AGREEMENT</w:t>
      </w:r>
    </w:p>
    <w:p>
      <w:pPr>
        <w:spacing w:after="0" w:line="182" w:lineRule="exact"/>
        <w:rPr>
          <w:sz w:val="20"/>
          <w:szCs w:val="20"/>
          <w:color w:val="auto"/>
        </w:rPr>
      </w:pPr>
    </w:p>
    <w:p>
      <w:pPr>
        <w:ind w:right="360" w:firstLine="1297"/>
        <w:spacing w:after="0" w:line="280" w:lineRule="auto"/>
        <w:rPr>
          <w:sz w:val="20"/>
          <w:szCs w:val="20"/>
          <w:color w:val="auto"/>
        </w:rPr>
      </w:pPr>
      <w:r>
        <w:rPr>
          <w:rFonts w:ascii="Arial" w:cs="Arial" w:eastAsia="Arial" w:hAnsi="Arial"/>
          <w:sz w:val="21"/>
          <w:szCs w:val="21"/>
          <w:b w:val="1"/>
          <w:bCs w:val="1"/>
          <w:color w:val="auto"/>
        </w:rPr>
        <w:t xml:space="preserve">THIS AGREEMENT </w:t>
      </w:r>
      <w:r>
        <w:rPr>
          <w:rFonts w:ascii="Arial" w:cs="Arial" w:eastAsia="Arial" w:hAnsi="Arial"/>
          <w:sz w:val="21"/>
          <w:szCs w:val="21"/>
          <w:color w:val="auto"/>
        </w:rPr>
        <w:t>(this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 February 18, 2013, (the “</w:t>
      </w:r>
      <w:r>
        <w:rPr>
          <w:rFonts w:ascii="Arial" w:cs="Arial" w:eastAsia="Arial" w:hAnsi="Arial"/>
          <w:sz w:val="21"/>
          <w:szCs w:val="21"/>
          <w:u w:val="single" w:color="auto"/>
          <w:color w:val="auto"/>
        </w:rPr>
        <w:t>Effective Date</w:t>
      </w:r>
      <w:r>
        <w:rPr>
          <w:rFonts w:ascii="Arial" w:cs="Arial" w:eastAsia="Arial" w:hAnsi="Arial"/>
          <w:sz w:val="21"/>
          <w:szCs w:val="21"/>
          <w:color w:val="auto"/>
        </w:rPr>
        <w:t>”) is made by and</w:t>
      </w:r>
      <w:r>
        <w:rPr>
          <w:rFonts w:ascii="Arial" w:cs="Arial" w:eastAsia="Arial" w:hAnsi="Arial"/>
          <w:sz w:val="21"/>
          <w:szCs w:val="21"/>
          <w:b w:val="1"/>
          <w:bCs w:val="1"/>
          <w:color w:val="auto"/>
        </w:rPr>
        <w:t xml:space="preserve"> </w:t>
      </w:r>
      <w:r>
        <w:rPr>
          <w:rFonts w:ascii="Arial" w:cs="Arial" w:eastAsia="Arial" w:hAnsi="Arial"/>
          <w:sz w:val="21"/>
          <w:szCs w:val="21"/>
          <w:color w:val="auto"/>
        </w:rPr>
        <w:t>between SEMPRA ENERGY, a California corporation (“</w:t>
      </w:r>
      <w:r>
        <w:rPr>
          <w:rFonts w:ascii="Arial" w:cs="Arial" w:eastAsia="Arial" w:hAnsi="Arial"/>
          <w:sz w:val="21"/>
          <w:szCs w:val="21"/>
          <w:u w:val="single" w:color="auto"/>
          <w:color w:val="auto"/>
        </w:rPr>
        <w:t>Sempra Energy</w:t>
      </w:r>
      <w:r>
        <w:rPr>
          <w:rFonts w:ascii="Arial" w:cs="Arial" w:eastAsia="Arial" w:hAnsi="Arial"/>
          <w:sz w:val="21"/>
          <w:szCs w:val="21"/>
          <w:color w:val="auto"/>
        </w:rPr>
        <w:t>”), and Erbin Keith (the “</w:t>
      </w:r>
      <w:r>
        <w:rPr>
          <w:rFonts w:ascii="Arial" w:cs="Arial" w:eastAsia="Arial" w:hAnsi="Arial"/>
          <w:sz w:val="21"/>
          <w:szCs w:val="21"/>
          <w:u w:val="single" w:color="auto"/>
          <w:color w:val="auto"/>
        </w:rPr>
        <w:t>Executive</w:t>
      </w:r>
      <w:r>
        <w:rPr>
          <w:rFonts w:ascii="Arial" w:cs="Arial" w:eastAsia="Arial" w:hAnsi="Arial"/>
          <w:sz w:val="21"/>
          <w:szCs w:val="21"/>
          <w:color w:val="auto"/>
        </w:rPr>
        <w:t>”).</w:t>
      </w:r>
    </w:p>
    <w:p>
      <w:pPr>
        <w:spacing w:after="0" w:line="139" w:lineRule="exact"/>
        <w:rPr>
          <w:sz w:val="20"/>
          <w:szCs w:val="20"/>
          <w:color w:val="auto"/>
        </w:rPr>
      </w:pPr>
    </w:p>
    <w:p>
      <w:pPr>
        <w:ind w:right="360" w:firstLine="1297"/>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Executive is currently employed by Sempra Energy or a direct or indirect subsidiary of Sempra</w:t>
      </w:r>
      <w:r>
        <w:rPr>
          <w:rFonts w:ascii="Arial" w:cs="Arial" w:eastAsia="Arial" w:hAnsi="Arial"/>
          <w:sz w:val="22"/>
          <w:szCs w:val="22"/>
          <w:b w:val="1"/>
          <w:bCs w:val="1"/>
          <w:color w:val="auto"/>
        </w:rPr>
        <w:t xml:space="preserve"> </w:t>
      </w:r>
      <w:r>
        <w:rPr>
          <w:rFonts w:ascii="Arial" w:cs="Arial" w:eastAsia="Arial" w:hAnsi="Arial"/>
          <w:sz w:val="22"/>
          <w:szCs w:val="22"/>
          <w:color w:val="auto"/>
        </w:rPr>
        <w:t>Energy (Sempra Energy and its subsidiaries are hereinafter collectively referred to as the “</w:t>
      </w:r>
      <w:r>
        <w:rPr>
          <w:rFonts w:ascii="Arial" w:cs="Arial" w:eastAsia="Arial" w:hAnsi="Arial"/>
          <w:sz w:val="22"/>
          <w:szCs w:val="22"/>
          <w:u w:val="single" w:color="auto"/>
          <w:color w:val="auto"/>
        </w:rPr>
        <w:t>Company</w:t>
      </w:r>
      <w:r>
        <w:rPr>
          <w:rFonts w:ascii="Arial" w:cs="Arial" w:eastAsia="Arial" w:hAnsi="Arial"/>
          <w:sz w:val="22"/>
          <w:szCs w:val="22"/>
          <w:color w:val="auto"/>
        </w:rPr>
        <w:t>”) as Vice President and General Counsel; and</w:t>
      </w:r>
    </w:p>
    <w:p>
      <w:pPr>
        <w:spacing w:after="0" w:line="177" w:lineRule="exact"/>
        <w:rPr>
          <w:sz w:val="20"/>
          <w:szCs w:val="20"/>
          <w:color w:val="auto"/>
        </w:rPr>
      </w:pPr>
    </w:p>
    <w:p>
      <w:pPr>
        <w:ind w:left="1300" w:right="1360"/>
        <w:spacing w:after="0" w:line="50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Sempra Energy and the Executive desire to enter into this Agreement; and</w:t>
      </w:r>
      <w:r>
        <w:rPr>
          <w:rFonts w:ascii="Arial" w:cs="Arial" w:eastAsia="Arial" w:hAnsi="Arial"/>
          <w:sz w:val="19"/>
          <w:szCs w:val="19"/>
          <w:b w:val="1"/>
          <w:bCs w:val="1"/>
          <w:color w:val="auto"/>
        </w:rPr>
        <w:t xml:space="preserve"> WHEREAS</w:t>
      </w:r>
      <w:r>
        <w:rPr>
          <w:rFonts w:ascii="Arial" w:cs="Arial" w:eastAsia="Arial" w:hAnsi="Arial"/>
          <w:sz w:val="19"/>
          <w:szCs w:val="19"/>
          <w:color w:val="auto"/>
        </w:rPr>
        <w:t>, the Board of Directors of Sempra Energy (the “</w:t>
      </w:r>
      <w:r>
        <w:rPr>
          <w:rFonts w:ascii="Arial" w:cs="Arial" w:eastAsia="Arial" w:hAnsi="Arial"/>
          <w:sz w:val="19"/>
          <w:szCs w:val="19"/>
          <w:u w:val="single" w:color="auto"/>
          <w:color w:val="auto"/>
        </w:rPr>
        <w:t>Board</w:t>
      </w:r>
      <w:r>
        <w:rPr>
          <w:rFonts w:ascii="Arial" w:cs="Arial" w:eastAsia="Arial" w:hAnsi="Arial"/>
          <w:sz w:val="19"/>
          <w:szCs w:val="19"/>
          <w:color w:val="auto"/>
        </w:rPr>
        <w:t>”) has authorized this Agreement.</w:t>
      </w:r>
    </w:p>
    <w:p>
      <w:pPr>
        <w:spacing w:after="0" w:line="1" w:lineRule="exact"/>
        <w:rPr>
          <w:sz w:val="20"/>
          <w:szCs w:val="20"/>
          <w:color w:val="auto"/>
        </w:rPr>
      </w:pPr>
    </w:p>
    <w:p>
      <w:pPr>
        <w:ind w:right="200" w:firstLine="1297"/>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mutual covenants herein contained, the Company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Executive hereby agree as follows:</w:t>
      </w:r>
    </w:p>
    <w:p>
      <w:pPr>
        <w:spacing w:after="0" w:line="15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this Agreement, the following capitalized terms have the meanings set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forth below:</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Accounting Firm</w:t>
      </w:r>
      <w:r>
        <w:rPr>
          <w:rFonts w:ascii="Arial" w:cs="Arial" w:eastAsia="Arial" w:hAnsi="Arial"/>
          <w:sz w:val="22"/>
          <w:szCs w:val="22"/>
          <w:color w:val="auto"/>
        </w:rPr>
        <w:t>” has the meaning assigned thereto in Section 8(d) hereof.</w:t>
      </w:r>
    </w:p>
    <w:p>
      <w:pPr>
        <w:spacing w:after="0" w:line="206" w:lineRule="exact"/>
        <w:rPr>
          <w:sz w:val="20"/>
          <w:szCs w:val="20"/>
          <w:color w:val="auto"/>
        </w:rPr>
      </w:pPr>
    </w:p>
    <w:p>
      <w:pPr>
        <w:ind w:right="140" w:firstLine="12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Accrued Obligations</w:t>
      </w:r>
      <w:r>
        <w:rPr>
          <w:rFonts w:ascii="Arial" w:cs="Arial" w:eastAsia="Arial" w:hAnsi="Arial"/>
          <w:sz w:val="22"/>
          <w:szCs w:val="22"/>
          <w:color w:val="auto"/>
        </w:rPr>
        <w:t>" means the sum of (A) the Executive’s Annual Base Salary through the Date of Termination to the extent not theretofore paid, (B) an amount equal to any annual Incentive Compensation Awards earned with respect to fiscal years ended prior to the year that includes the Date of Termination to the extent not theretofore paid, (C) any accrued and unpaid vacation, if any, and (D) reimbursement for unreimbursed business expenses, if any, properly incurred by the Executive in the performance of his duties in accordance with policies established from time to time by the Board, in each case to the extent not theretofore paid.</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has the meaning set forth in Rule 12b-2 promulgated under the Exchange Act.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Base Salary</w:t>
      </w:r>
      <w:r>
        <w:rPr>
          <w:rFonts w:ascii="Arial" w:cs="Arial" w:eastAsia="Arial" w:hAnsi="Arial"/>
          <w:sz w:val="22"/>
          <w:szCs w:val="22"/>
          <w:color w:val="auto"/>
        </w:rPr>
        <w:t>” means the Executive’s annual base salary from the Company.</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Purchaser</w:t>
      </w:r>
      <w:r>
        <w:rPr>
          <w:rFonts w:ascii="Arial" w:cs="Arial" w:eastAsia="Arial" w:hAnsi="Arial"/>
          <w:sz w:val="22"/>
          <w:szCs w:val="22"/>
          <w:color w:val="auto"/>
        </w:rPr>
        <w:t>” has the meaning assigned thereto in Section 16(e).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Sale</w:t>
      </w:r>
      <w:r>
        <w:rPr>
          <w:rFonts w:ascii="Arial" w:cs="Arial" w:eastAsia="Arial" w:hAnsi="Arial"/>
          <w:sz w:val="22"/>
          <w:szCs w:val="22"/>
          <w:color w:val="auto"/>
        </w:rPr>
        <w:t>” has the meaning assigned thereto in Section 16(e).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Average Annual Bonus</w:t>
      </w:r>
      <w:r>
        <w:rPr>
          <w:rFonts w:ascii="Arial" w:cs="Arial" w:eastAsia="Arial" w:hAnsi="Arial"/>
          <w:sz w:val="19"/>
          <w:szCs w:val="19"/>
          <w:color w:val="auto"/>
        </w:rPr>
        <w:t>” means the average of the annual bonuses from the Company earned by the Executive with</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respect to the three (3) fiscal years of the Company immediately preceding the Date of Termination (the “</w:t>
      </w:r>
      <w:r>
        <w:rPr>
          <w:rFonts w:ascii="Arial" w:cs="Arial" w:eastAsia="Arial" w:hAnsi="Arial"/>
          <w:sz w:val="19"/>
          <w:szCs w:val="19"/>
          <w:u w:val="single" w:color="auto"/>
          <w:color w:val="auto"/>
        </w:rPr>
        <w:t>Bonus Fiscal Years</w:t>
      </w:r>
      <w:r>
        <w:rPr>
          <w:rFonts w:ascii="Arial" w:cs="Arial" w:eastAsia="Arial" w:hAnsi="Arial"/>
          <w:sz w:val="19"/>
          <w:szCs w:val="19"/>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if the Executive was employed by the Company for less than three (3) years of the Bonus Fiscal Years,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Average Annual Bonus</w:t>
      </w:r>
      <w:r>
        <w:rPr>
          <w:rFonts w:ascii="Arial" w:cs="Arial" w:eastAsia="Arial" w:hAnsi="Arial"/>
          <w:sz w:val="19"/>
          <w:szCs w:val="19"/>
          <w:color w:val="auto"/>
        </w:rPr>
        <w:t>” means the average of the annual bonuses (if any) from the Company earned by the Executive with respect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to the Bonus Fiscal Years during which the Executive was employed by the Company;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if the Executive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was not employed by the Company during any portion of any of the Bonus Fiscal Years, “</w:t>
      </w:r>
      <w:r>
        <w:rPr>
          <w:rFonts w:ascii="Arial" w:cs="Arial" w:eastAsia="Arial" w:hAnsi="Arial"/>
          <w:sz w:val="19"/>
          <w:szCs w:val="19"/>
          <w:u w:val="single" w:color="auto"/>
          <w:color w:val="auto"/>
        </w:rPr>
        <w:t>Average Annual Bonus</w:t>
      </w:r>
      <w:r>
        <w:rPr>
          <w:rFonts w:ascii="Arial" w:cs="Arial" w:eastAsia="Arial" w:hAnsi="Arial"/>
          <w:sz w:val="19"/>
          <w:szCs w:val="19"/>
          <w:color w:val="auto"/>
        </w:rPr>
        <w:t>” means zero.</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means:</w:t>
      </w:r>
    </w:p>
    <w:p>
      <w:pPr>
        <w:spacing w:after="0" w:line="206" w:lineRule="exact"/>
        <w:rPr>
          <w:sz w:val="20"/>
          <w:szCs w:val="20"/>
          <w:color w:val="auto"/>
        </w:rPr>
      </w:pPr>
    </w:p>
    <w:p>
      <w:pPr>
        <w:ind w:right="120" w:firstLine="1305"/>
        <w:spacing w:after="0" w:line="276" w:lineRule="auto"/>
        <w:tabs>
          <w:tab w:leader="none" w:pos="1945" w:val="left"/>
        </w:tabs>
        <w:numPr>
          <w:ilvl w:val="1"/>
          <w:numId w:val="206"/>
        </w:numPr>
        <w:rPr>
          <w:rFonts w:ascii="Arial" w:cs="Arial" w:eastAsia="Arial" w:hAnsi="Arial"/>
          <w:sz w:val="19"/>
          <w:szCs w:val="19"/>
          <w:color w:val="auto"/>
        </w:rPr>
      </w:pPr>
      <w:r>
        <w:rPr>
          <w:rFonts w:ascii="Arial" w:cs="Arial" w:eastAsia="Arial" w:hAnsi="Arial"/>
          <w:sz w:val="19"/>
          <w:szCs w:val="19"/>
          <w:color w:val="auto"/>
        </w:rPr>
        <w:t>Prior to a Change in Control, (i) the willful failure by the Executive to substantially perform the Executive’s duties with the Company (other than any such failure resulting from the Executive’s incapacity due to physical or mental illness,</w:t>
      </w:r>
    </w:p>
    <w:p>
      <w:pPr>
        <w:spacing w:after="0" w:line="1" w:lineRule="exact"/>
        <w:rPr>
          <w:rFonts w:ascii="Arial" w:cs="Arial" w:eastAsia="Arial" w:hAnsi="Arial"/>
          <w:sz w:val="19"/>
          <w:szCs w:val="19"/>
          <w:color w:val="auto"/>
        </w:rPr>
      </w:pPr>
    </w:p>
    <w:p>
      <w:pPr>
        <w:ind w:right="20" w:firstLine="8"/>
        <w:spacing w:after="0" w:line="275" w:lineRule="auto"/>
        <w:tabs>
          <w:tab w:leader="none" w:pos="318" w:val="left"/>
        </w:tabs>
        <w:numPr>
          <w:ilvl w:val="0"/>
          <w:numId w:val="207"/>
        </w:numPr>
        <w:rPr>
          <w:rFonts w:ascii="Arial" w:cs="Arial" w:eastAsia="Arial" w:hAnsi="Arial"/>
          <w:sz w:val="19"/>
          <w:szCs w:val="19"/>
          <w:color w:val="auto"/>
        </w:rPr>
      </w:pPr>
      <w:r>
        <w:rPr>
          <w:rFonts w:ascii="Arial" w:cs="Arial" w:eastAsia="Arial" w:hAnsi="Arial"/>
          <w:sz w:val="19"/>
          <w:szCs w:val="19"/>
          <w:color w:val="auto"/>
        </w:rPr>
        <w:t>the grossly negligent performance of such obligations referenced in clause (i) of this definition, (iii) the Executive’s gross insubordination; and/or (iv) the Executive’s commission of one or more acts of moral turpitude that constitute a violation of applicable law (including but not limited to a felony) which have or result in an adverse effect on the Company, monetarily or otherwise, or one or more significant acts of dishonesty. For purposes of clause (i) of this subsection (a), no act, or failure to act, on the Executive’s part shall be deemed “</w:t>
      </w:r>
      <w:r>
        <w:rPr>
          <w:rFonts w:ascii="Arial" w:cs="Arial" w:eastAsia="Arial" w:hAnsi="Arial"/>
          <w:sz w:val="19"/>
          <w:szCs w:val="19"/>
          <w:u w:val="single" w:color="auto"/>
          <w:color w:val="auto"/>
        </w:rPr>
        <w:t>willful</w:t>
      </w:r>
      <w:r>
        <w:rPr>
          <w:rFonts w:ascii="Arial" w:cs="Arial" w:eastAsia="Arial" w:hAnsi="Arial"/>
          <w:sz w:val="19"/>
          <w:szCs w:val="19"/>
          <w:color w:val="auto"/>
        </w:rPr>
        <w:t>” unless done, or omitted to be done, by the Executive not in good faith and without reasonable belief that the Executive’s act, or failure to act, was in the best interests of the Company.</w:t>
      </w:r>
    </w:p>
    <w:p>
      <w:pPr>
        <w:spacing w:after="0" w:line="141" w:lineRule="exact"/>
        <w:rPr>
          <w:rFonts w:ascii="Arial" w:cs="Arial" w:eastAsia="Arial" w:hAnsi="Arial"/>
          <w:sz w:val="19"/>
          <w:szCs w:val="19"/>
          <w:color w:val="auto"/>
        </w:rPr>
      </w:pPr>
    </w:p>
    <w:p>
      <w:pPr>
        <w:ind w:right="20" w:firstLine="1305"/>
        <w:spacing w:after="0" w:line="273" w:lineRule="auto"/>
        <w:tabs>
          <w:tab w:leader="none" w:pos="1945" w:val="left"/>
        </w:tabs>
        <w:numPr>
          <w:ilvl w:val="1"/>
          <w:numId w:val="207"/>
        </w:numPr>
        <w:rPr>
          <w:rFonts w:ascii="Arial" w:cs="Arial" w:eastAsia="Arial" w:hAnsi="Arial"/>
          <w:sz w:val="19"/>
          <w:szCs w:val="19"/>
          <w:color w:val="auto"/>
        </w:rPr>
      </w:pPr>
      <w:r>
        <w:rPr>
          <w:rFonts w:ascii="Arial" w:cs="Arial" w:eastAsia="Arial" w:hAnsi="Arial"/>
          <w:sz w:val="19"/>
          <w:szCs w:val="19"/>
          <w:color w:val="auto"/>
        </w:rPr>
        <w:t>From and after a Change in Control, (i) the willful and continued failure by the Executive to substantially perform the Executive’s duties with the Company (other than any such failure resulting from the Executive’s incapacity due to physical or mental illness or any such actual or anticipated failure after the issuance of a Notice of Termination for Good Reason by the Executive pursuant to Section 2 hereof) and/or (ii) the Executive’s commission of one or more acts of moral turpitude that constitute a violation of applicable law (including but not limited to a felony) which have or result in an adverse effect on the Company, monetarily or otherwise, or one or more significant acts of dishonesty. For purposes of clause (i) of this subsection (b), no act, or failure to act, on the Executive’s part shall be deemed “</w:t>
      </w:r>
      <w:r>
        <w:rPr>
          <w:rFonts w:ascii="Arial" w:cs="Arial" w:eastAsia="Arial" w:hAnsi="Arial"/>
          <w:sz w:val="19"/>
          <w:szCs w:val="19"/>
          <w:u w:val="single" w:color="auto"/>
          <w:color w:val="auto"/>
        </w:rPr>
        <w:t>willful</w:t>
      </w:r>
      <w:r>
        <w:rPr>
          <w:rFonts w:ascii="Arial" w:cs="Arial" w:eastAsia="Arial" w:hAnsi="Arial"/>
          <w:sz w:val="19"/>
          <w:szCs w:val="19"/>
          <w:color w:val="auto"/>
        </w:rPr>
        <w:t>” unless done, or omitted to be done, by the Executive not in good faith and without reasonable belief that the Executive’s act, or failure to act, was in the best interests of the Company. Notwithstanding the foregoing, the Executive shall not be deemed terminated for Cause pursuant to clause (i) of this subsection (b) unless and until the Executive shall have been provided with reasonable notice of and, if possible, a reasonable opportunity to cure the facts and circumstances claimed to provide a basis for termination of the Executive’s employment for Cause.</w:t>
      </w:r>
    </w:p>
    <w:p>
      <w:pPr>
        <w:sectPr>
          <w:pgSz w:w="11900" w:h="16838" w:orient="portrait"/>
          <w:cols w:equalWidth="0" w:num="1">
            <w:col w:w="11420"/>
          </w:cols>
          <w:pgMar w:left="240" w:top="117" w:right="239" w:bottom="0" w:gutter="0" w:footer="0" w:header="0"/>
        </w:sectPr>
      </w:pPr>
    </w:p>
    <w:bookmarkStart w:id="150" w:name="page151"/>
    <w:bookmarkEnd w:id="150"/>
    <w:p>
      <w:pPr>
        <w:ind w:right="20" w:firstLine="1297"/>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shall be deemed to have occurred on the date that a change in the ownership of Sempra Energy, a change in the effective control of Sempra Energy, or a change in the ownership of a substantial portion of assets of Sempra Energy occurs (each, as defined in subsection (a) below), except as otherwise provided in subsections (b), (c) and (d) below:</w:t>
      </w:r>
    </w:p>
    <w:p>
      <w:pPr>
        <w:spacing w:after="0" w:line="118" w:lineRule="exact"/>
        <w:rPr>
          <w:sz w:val="20"/>
          <w:szCs w:val="20"/>
          <w:color w:val="auto"/>
        </w:rPr>
      </w:pPr>
    </w:p>
    <w:p>
      <w:pPr>
        <w:ind w:right="20" w:firstLine="1305"/>
        <w:spacing w:after="0" w:line="297" w:lineRule="auto"/>
        <w:tabs>
          <w:tab w:leader="none" w:pos="1945" w:val="left"/>
        </w:tabs>
        <w:numPr>
          <w:ilvl w:val="0"/>
          <w:numId w:val="208"/>
        </w:numPr>
        <w:rPr>
          <w:rFonts w:ascii="Arial" w:cs="Arial" w:eastAsia="Arial" w:hAnsi="Arial"/>
          <w:sz w:val="19"/>
          <w:szCs w:val="19"/>
          <w:color w:val="auto"/>
        </w:rPr>
      </w:pPr>
      <w:r>
        <w:rPr>
          <w:rFonts w:ascii="Arial" w:cs="Arial" w:eastAsia="Arial" w:hAnsi="Arial"/>
          <w:sz w:val="19"/>
          <w:szCs w:val="19"/>
          <w:color w:val="auto"/>
        </w:rPr>
        <w:t>(i) a “</w:t>
      </w:r>
      <w:r>
        <w:rPr>
          <w:rFonts w:ascii="Arial" w:cs="Arial" w:eastAsia="Arial" w:hAnsi="Arial"/>
          <w:sz w:val="19"/>
          <w:szCs w:val="19"/>
          <w:u w:val="single" w:color="auto"/>
          <w:color w:val="auto"/>
        </w:rPr>
        <w:t>change in the ownership of Sempra Energy</w:t>
      </w:r>
      <w:r>
        <w:rPr>
          <w:rFonts w:ascii="Arial" w:cs="Arial" w:eastAsia="Arial" w:hAnsi="Arial"/>
          <w:sz w:val="19"/>
          <w:szCs w:val="19"/>
          <w:color w:val="auto"/>
        </w:rPr>
        <w:t>” occurs on the date that any one person, or more than one person acting as a group, acquires ownership of stock of Sempra Energy that, together with stock held by such person or group, constitutes more than fifty percent (50%) of the total fair market value or total voting power of the stock of Sempra Energy,</w:t>
      </w:r>
    </w:p>
    <w:p>
      <w:pPr>
        <w:spacing w:after="0" w:line="120" w:lineRule="exact"/>
        <w:rPr>
          <w:rFonts w:ascii="Arial" w:cs="Arial" w:eastAsia="Arial" w:hAnsi="Arial"/>
          <w:sz w:val="19"/>
          <w:szCs w:val="19"/>
          <w:color w:val="auto"/>
        </w:rPr>
      </w:pPr>
    </w:p>
    <w:p>
      <w:pPr>
        <w:ind w:left="2600" w:hanging="647"/>
        <w:spacing w:after="0"/>
        <w:tabs>
          <w:tab w:leader="none" w:pos="2600" w:val="left"/>
        </w:tabs>
        <w:numPr>
          <w:ilvl w:val="1"/>
          <w:numId w:val="208"/>
        </w:numPr>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u w:val="single" w:color="auto"/>
          <w:color w:val="auto"/>
        </w:rPr>
        <w:t>change in the effective control of Sempra Energy</w:t>
      </w:r>
      <w:r>
        <w:rPr>
          <w:rFonts w:ascii="Arial" w:cs="Arial" w:eastAsia="Arial" w:hAnsi="Arial"/>
          <w:sz w:val="19"/>
          <w:szCs w:val="19"/>
          <w:color w:val="auto"/>
        </w:rPr>
        <w:t>” occurs only on either of the following dates:</w:t>
      </w:r>
    </w:p>
    <w:p>
      <w:pPr>
        <w:spacing w:after="0" w:line="227" w:lineRule="exact"/>
        <w:rPr>
          <w:rFonts w:ascii="Arial" w:cs="Arial" w:eastAsia="Arial" w:hAnsi="Arial"/>
          <w:sz w:val="19"/>
          <w:szCs w:val="19"/>
          <w:color w:val="auto"/>
        </w:rPr>
      </w:pPr>
    </w:p>
    <w:p>
      <w:pPr>
        <w:ind w:right="100" w:firstLine="2601"/>
        <w:spacing w:after="0" w:line="297" w:lineRule="auto"/>
        <w:tabs>
          <w:tab w:leader="none" w:pos="3241" w:val="left"/>
        </w:tabs>
        <w:numPr>
          <w:ilvl w:val="2"/>
          <w:numId w:val="208"/>
        </w:numPr>
        <w:rPr>
          <w:rFonts w:ascii="Arial" w:cs="Arial" w:eastAsia="Arial" w:hAnsi="Arial"/>
          <w:sz w:val="19"/>
          <w:szCs w:val="19"/>
          <w:color w:val="auto"/>
        </w:rPr>
      </w:pPr>
      <w:r>
        <w:rPr>
          <w:rFonts w:ascii="Arial" w:cs="Arial" w:eastAsia="Arial" w:hAnsi="Arial"/>
          <w:sz w:val="19"/>
          <w:szCs w:val="19"/>
          <w:color w:val="auto"/>
        </w:rPr>
        <w:t>the date any one person, or more than one person acting as a group, acquires (or has acquired during the twelve (12) month period ending on the date of the most recent acquisition by such person or persons) ownership of stock of Sempra Energy possessing thirty percent (30%) or more of the total voting power of the stock of Sempra Energy, or</w:t>
      </w:r>
    </w:p>
    <w:p>
      <w:pPr>
        <w:spacing w:after="0" w:line="134" w:lineRule="exact"/>
        <w:rPr>
          <w:rFonts w:ascii="Arial" w:cs="Arial" w:eastAsia="Arial" w:hAnsi="Arial"/>
          <w:sz w:val="19"/>
          <w:szCs w:val="19"/>
          <w:color w:val="auto"/>
        </w:rPr>
      </w:pPr>
    </w:p>
    <w:p>
      <w:pPr>
        <w:jc w:val="both"/>
        <w:ind w:right="380" w:firstLine="2601"/>
        <w:spacing w:after="0"/>
        <w:tabs>
          <w:tab w:leader="none" w:pos="3241" w:val="left"/>
        </w:tabs>
        <w:numPr>
          <w:ilvl w:val="2"/>
          <w:numId w:val="208"/>
        </w:numPr>
        <w:rPr>
          <w:rFonts w:ascii="Arial" w:cs="Arial" w:eastAsia="Arial" w:hAnsi="Arial"/>
          <w:sz w:val="22"/>
          <w:szCs w:val="22"/>
          <w:color w:val="auto"/>
        </w:rPr>
      </w:pPr>
      <w:r>
        <w:rPr>
          <w:rFonts w:ascii="Arial" w:cs="Arial" w:eastAsia="Arial" w:hAnsi="Arial"/>
          <w:sz w:val="22"/>
          <w:szCs w:val="22"/>
          <w:color w:val="auto"/>
        </w:rPr>
        <w:t>the date a majority of the members of the Board is replaced during any twelve (12) month period by directors whose appointment or election is not endorsed by a majority of the members of the Board before the date of appointment or election, and</w:t>
      </w:r>
    </w:p>
    <w:p>
      <w:pPr>
        <w:spacing w:after="0" w:line="172" w:lineRule="exact"/>
        <w:rPr>
          <w:rFonts w:ascii="Arial" w:cs="Arial" w:eastAsia="Arial" w:hAnsi="Arial"/>
          <w:sz w:val="22"/>
          <w:szCs w:val="22"/>
          <w:color w:val="auto"/>
        </w:rPr>
      </w:pPr>
    </w:p>
    <w:p>
      <w:pPr>
        <w:ind w:right="100" w:firstLine="1953"/>
        <w:spacing w:after="0" w:line="236" w:lineRule="auto"/>
        <w:tabs>
          <w:tab w:leader="none" w:pos="2593" w:val="left"/>
        </w:tabs>
        <w:numPr>
          <w:ilvl w:val="1"/>
          <w:numId w:val="208"/>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change in the ownership of a substantial portion of assets of Sempra Energy</w:t>
      </w:r>
      <w:r>
        <w:rPr>
          <w:rFonts w:ascii="Arial" w:cs="Arial" w:eastAsia="Arial" w:hAnsi="Arial"/>
          <w:sz w:val="22"/>
          <w:szCs w:val="22"/>
          <w:color w:val="auto"/>
        </w:rPr>
        <w:t>” occurs on the date any one person, or more than one person acting as a group, acquires (or has acquired during the twelve (12) month period ending on the date of the most recent acquisition by such person or persons) assets from Sempra Energy that have a total gross fair market value equal to or more than eighty-five percent (85%) of the total gross fair market value of all of the assets of Sempra Energy immediately before such acquisition or acquisitions.</w:t>
      </w:r>
    </w:p>
    <w:p>
      <w:pPr>
        <w:spacing w:after="0" w:line="174" w:lineRule="exact"/>
        <w:rPr>
          <w:rFonts w:ascii="Arial" w:cs="Arial" w:eastAsia="Arial" w:hAnsi="Arial"/>
          <w:sz w:val="22"/>
          <w:szCs w:val="22"/>
          <w:color w:val="auto"/>
        </w:rPr>
      </w:pPr>
    </w:p>
    <w:p>
      <w:pPr>
        <w:ind w:right="440" w:firstLine="1305"/>
        <w:spacing w:after="0" w:line="251" w:lineRule="auto"/>
        <w:tabs>
          <w:tab w:leader="none" w:pos="1945" w:val="left"/>
        </w:tabs>
        <w:numPr>
          <w:ilvl w:val="0"/>
          <w:numId w:val="208"/>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change in the ownership of Sempra Energy</w:t>
      </w:r>
      <w:r>
        <w:rPr>
          <w:rFonts w:ascii="Arial" w:cs="Arial" w:eastAsia="Arial" w:hAnsi="Arial"/>
          <w:sz w:val="22"/>
          <w:szCs w:val="22"/>
          <w:color w:val="auto"/>
        </w:rPr>
        <w:t>” or “</w:t>
      </w:r>
      <w:r>
        <w:rPr>
          <w:rFonts w:ascii="Arial" w:cs="Arial" w:eastAsia="Arial" w:hAnsi="Arial"/>
          <w:sz w:val="22"/>
          <w:szCs w:val="22"/>
          <w:u w:val="single" w:color="auto"/>
          <w:color w:val="auto"/>
        </w:rPr>
        <w:t>a change in the effective control of Sempra Energy</w:t>
      </w:r>
      <w:r>
        <w:rPr>
          <w:rFonts w:ascii="Arial" w:cs="Arial" w:eastAsia="Arial" w:hAnsi="Arial"/>
          <w:sz w:val="22"/>
          <w:szCs w:val="22"/>
          <w:color w:val="auto"/>
        </w:rPr>
        <w:t>” shall not occur under clause (a)(i) or (a)(ii) by reason of any of the following:</w:t>
      </w:r>
    </w:p>
    <w:p>
      <w:pPr>
        <w:spacing w:after="0" w:line="173" w:lineRule="exact"/>
        <w:rPr>
          <w:rFonts w:ascii="Arial" w:cs="Arial" w:eastAsia="Arial" w:hAnsi="Arial"/>
          <w:sz w:val="22"/>
          <w:szCs w:val="22"/>
          <w:color w:val="auto"/>
        </w:rPr>
      </w:pPr>
    </w:p>
    <w:p>
      <w:pPr>
        <w:ind w:right="100" w:firstLine="1953"/>
        <w:spacing w:after="0" w:line="251" w:lineRule="auto"/>
        <w:tabs>
          <w:tab w:leader="none" w:pos="2593" w:val="left"/>
        </w:tabs>
        <w:numPr>
          <w:ilvl w:val="1"/>
          <w:numId w:val="209"/>
        </w:numPr>
        <w:rPr>
          <w:rFonts w:ascii="Arial" w:cs="Arial" w:eastAsia="Arial" w:hAnsi="Arial"/>
          <w:sz w:val="22"/>
          <w:szCs w:val="22"/>
          <w:color w:val="auto"/>
        </w:rPr>
      </w:pPr>
      <w:r>
        <w:rPr>
          <w:rFonts w:ascii="Arial" w:cs="Arial" w:eastAsia="Arial" w:hAnsi="Arial"/>
          <w:sz w:val="22"/>
          <w:szCs w:val="22"/>
          <w:color w:val="auto"/>
        </w:rPr>
        <w:t>an acquisition of ownership of stock of Sempra Energy directly from Sempra Energy or its Affiliates other than in connection with the acquisition by Sempra Energy or its Affiliates of a business,</w:t>
      </w:r>
    </w:p>
    <w:p>
      <w:pPr>
        <w:spacing w:after="0" w:line="159" w:lineRule="exact"/>
        <w:rPr>
          <w:rFonts w:ascii="Arial" w:cs="Arial" w:eastAsia="Arial" w:hAnsi="Arial"/>
          <w:sz w:val="22"/>
          <w:szCs w:val="22"/>
          <w:color w:val="auto"/>
        </w:rPr>
      </w:pPr>
    </w:p>
    <w:p>
      <w:pPr>
        <w:ind w:right="80" w:firstLine="1953"/>
        <w:spacing w:after="0" w:line="235" w:lineRule="auto"/>
        <w:tabs>
          <w:tab w:leader="none" w:pos="2593" w:val="left"/>
        </w:tabs>
        <w:numPr>
          <w:ilvl w:val="1"/>
          <w:numId w:val="209"/>
        </w:numPr>
        <w:rPr>
          <w:rFonts w:ascii="Arial" w:cs="Arial" w:eastAsia="Arial" w:hAnsi="Arial"/>
          <w:sz w:val="22"/>
          <w:szCs w:val="22"/>
          <w:color w:val="auto"/>
        </w:rPr>
      </w:pPr>
      <w:r>
        <w:rPr>
          <w:rFonts w:ascii="Arial" w:cs="Arial" w:eastAsia="Arial" w:hAnsi="Arial"/>
          <w:sz w:val="22"/>
          <w:szCs w:val="22"/>
          <w:color w:val="auto"/>
        </w:rPr>
        <w:t>a merger or consolidation which would result in the voting securities of Sempra Energy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at least sixty percent (60%) of the combined voting power of the securities of Sempra Energy or such surviving entity or any parent thereof outstanding immediately after such merger or consolidation, or</w:t>
      </w:r>
    </w:p>
    <w:p>
      <w:pPr>
        <w:spacing w:after="0" w:line="174" w:lineRule="exact"/>
        <w:rPr>
          <w:rFonts w:ascii="Arial" w:cs="Arial" w:eastAsia="Arial" w:hAnsi="Arial"/>
          <w:sz w:val="22"/>
          <w:szCs w:val="22"/>
          <w:color w:val="auto"/>
        </w:rPr>
      </w:pPr>
    </w:p>
    <w:p>
      <w:pPr>
        <w:ind w:firstLine="1953"/>
        <w:spacing w:after="0" w:line="235" w:lineRule="auto"/>
        <w:tabs>
          <w:tab w:leader="none" w:pos="2593" w:val="left"/>
        </w:tabs>
        <w:numPr>
          <w:ilvl w:val="1"/>
          <w:numId w:val="209"/>
        </w:numPr>
        <w:rPr>
          <w:rFonts w:ascii="Arial" w:cs="Arial" w:eastAsia="Arial" w:hAnsi="Arial"/>
          <w:sz w:val="22"/>
          <w:szCs w:val="22"/>
          <w:color w:val="auto"/>
        </w:rPr>
      </w:pPr>
      <w:r>
        <w:rPr>
          <w:rFonts w:ascii="Arial" w:cs="Arial" w:eastAsia="Arial" w:hAnsi="Arial"/>
          <w:sz w:val="22"/>
          <w:szCs w:val="22"/>
          <w:color w:val="auto"/>
        </w:rPr>
        <w:t>a merger or consolidation effected to implement a recapitalization of Sempra Energy (or similar transaction) in which no Person is or becomes the Beneficial Owner (within the meaning of Rule 13d-3 promulgated under the Exchange Act, directly or indirectly, of securities of Sempra Energy (not including the securities beneficially owned by such Person any securities acquired directly from Sempra Energy or its Affiliates other than in connection with the acquisition by Sempra Energy or its Affiliates of a business) representing twenty percent (20%) or more of the combined voting power of Sempra Energy’s then outstanding securities.</w:t>
      </w:r>
    </w:p>
    <w:p>
      <w:pPr>
        <w:spacing w:after="0" w:line="188" w:lineRule="exact"/>
        <w:rPr>
          <w:rFonts w:ascii="Arial" w:cs="Arial" w:eastAsia="Arial" w:hAnsi="Arial"/>
          <w:sz w:val="22"/>
          <w:szCs w:val="22"/>
          <w:color w:val="auto"/>
        </w:rPr>
      </w:pPr>
    </w:p>
    <w:p>
      <w:pPr>
        <w:jc w:val="both"/>
        <w:ind w:right="20" w:firstLine="1305"/>
        <w:spacing w:after="0" w:line="252" w:lineRule="auto"/>
        <w:tabs>
          <w:tab w:leader="none" w:pos="1945" w:val="left"/>
        </w:tabs>
        <w:numPr>
          <w:ilvl w:val="0"/>
          <w:numId w:val="210"/>
        </w:numPr>
        <w:rPr>
          <w:rFonts w:ascii="Arial" w:cs="Arial" w:eastAsia="Arial" w:hAnsi="Arial"/>
          <w:sz w:val="21"/>
          <w:szCs w:val="21"/>
          <w:color w:val="auto"/>
        </w:rPr>
      </w:pPr>
      <w:r>
        <w:rPr>
          <w:rFonts w:ascii="Arial" w:cs="Arial" w:eastAsia="Arial" w:hAnsi="Arial"/>
          <w:sz w:val="21"/>
          <w:szCs w:val="21"/>
          <w:color w:val="auto"/>
        </w:rPr>
        <w:t>A “</w:t>
      </w:r>
      <w:r>
        <w:rPr>
          <w:rFonts w:ascii="Arial" w:cs="Arial" w:eastAsia="Arial" w:hAnsi="Arial"/>
          <w:sz w:val="21"/>
          <w:szCs w:val="21"/>
          <w:u w:val="single" w:color="auto"/>
          <w:color w:val="auto"/>
        </w:rPr>
        <w:t>change in the ownership of a substantial portion of assets of Sempra Energy</w:t>
      </w:r>
      <w:r>
        <w:rPr>
          <w:rFonts w:ascii="Arial" w:cs="Arial" w:eastAsia="Arial" w:hAnsi="Arial"/>
          <w:sz w:val="21"/>
          <w:szCs w:val="21"/>
          <w:color w:val="auto"/>
        </w:rPr>
        <w:t>” shall not occur under clause (a)(iii) by reason of a sale or disposition by Sempra Energy of the assets of Sempra Energy to an entity, at least sixty percent (60%) of the combined voting power of the voting securities of which are owned by shareholders of Sempra Energy in substantially the same proportions as their ownership of Sempra Energy immediately prior to such sale.</w:t>
      </w:r>
    </w:p>
    <w:p>
      <w:pPr>
        <w:spacing w:after="0" w:line="160" w:lineRule="exact"/>
        <w:rPr>
          <w:rFonts w:ascii="Arial" w:cs="Arial" w:eastAsia="Arial" w:hAnsi="Arial"/>
          <w:sz w:val="21"/>
          <w:szCs w:val="21"/>
          <w:color w:val="auto"/>
        </w:rPr>
      </w:pPr>
    </w:p>
    <w:p>
      <w:pPr>
        <w:ind w:right="120" w:firstLine="1305"/>
        <w:spacing w:after="0" w:line="238" w:lineRule="auto"/>
        <w:tabs>
          <w:tab w:leader="none" w:pos="1945" w:val="left"/>
        </w:tabs>
        <w:numPr>
          <w:ilvl w:val="0"/>
          <w:numId w:val="210"/>
        </w:numPr>
        <w:rPr>
          <w:rFonts w:ascii="Arial" w:cs="Arial" w:eastAsia="Arial" w:hAnsi="Arial"/>
          <w:sz w:val="22"/>
          <w:szCs w:val="22"/>
          <w:color w:val="auto"/>
        </w:rPr>
      </w:pPr>
      <w:r>
        <w:rPr>
          <w:rFonts w:ascii="Arial" w:cs="Arial" w:eastAsia="Arial" w:hAnsi="Arial"/>
          <w:sz w:val="22"/>
          <w:szCs w:val="22"/>
          <w:color w:val="auto"/>
        </w:rPr>
        <w:t>This definition of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be limited to the definition of a “change in control event” relating to Sempra Energy under Treasury Regulation Section 1.409A-3(i)(5). A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only occur if there is a “change in control event” relating to Sempra Energy under Treasury Regulation Section 1.409A-3(i)(5) with respect to the Executive.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 Date</w:t>
      </w:r>
      <w:r>
        <w:rPr>
          <w:rFonts w:ascii="Arial" w:cs="Arial" w:eastAsia="Arial" w:hAnsi="Arial"/>
          <w:sz w:val="22"/>
          <w:szCs w:val="22"/>
          <w:color w:val="auto"/>
        </w:rPr>
        <w:t>” means the date on which a Change in Control occurs.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Compensation Committee</w:t>
      </w:r>
      <w:r>
        <w:rPr>
          <w:rFonts w:ascii="Arial" w:cs="Arial" w:eastAsia="Arial" w:hAnsi="Arial"/>
          <w:sz w:val="22"/>
          <w:szCs w:val="22"/>
          <w:color w:val="auto"/>
        </w:rPr>
        <w:t>” means the compensation committee of the Board.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Consulting Payment</w:t>
      </w:r>
      <w:r>
        <w:rPr>
          <w:rFonts w:ascii="Arial" w:cs="Arial" w:eastAsia="Arial" w:hAnsi="Arial"/>
          <w:sz w:val="22"/>
          <w:szCs w:val="22"/>
          <w:color w:val="auto"/>
        </w:rPr>
        <w:t>” has the meaning assigned thereto in Section 14(d)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Consulting Period</w:t>
      </w:r>
      <w:r>
        <w:rPr>
          <w:rFonts w:ascii="Arial" w:cs="Arial" w:eastAsia="Arial" w:hAnsi="Arial"/>
          <w:sz w:val="22"/>
          <w:szCs w:val="22"/>
          <w:color w:val="auto"/>
        </w:rPr>
        <w:t>” has the meaning assigned thereto in Section 14(e)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Date of Termination</w:t>
      </w:r>
      <w:r>
        <w:rPr>
          <w:rFonts w:ascii="Arial" w:cs="Arial" w:eastAsia="Arial" w:hAnsi="Arial"/>
          <w:sz w:val="22"/>
          <w:szCs w:val="22"/>
          <w:color w:val="auto"/>
        </w:rPr>
        <w:t>” has the meaning assigned thereto in Section 2(b)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Compensation Plan</w:t>
      </w:r>
      <w:r>
        <w:rPr>
          <w:rFonts w:ascii="Arial" w:cs="Arial" w:eastAsia="Arial" w:hAnsi="Arial"/>
          <w:sz w:val="22"/>
          <w:szCs w:val="22"/>
          <w:color w:val="auto"/>
        </w:rPr>
        <w:t>” has the meaning assigned thereto in Section 4(f) hereof.</w:t>
      </w:r>
    </w:p>
    <w:p>
      <w:pPr>
        <w:spacing w:after="0" w:line="206" w:lineRule="exact"/>
        <w:rPr>
          <w:sz w:val="20"/>
          <w:szCs w:val="20"/>
          <w:color w:val="auto"/>
        </w:rPr>
      </w:pPr>
    </w:p>
    <w:p>
      <w:pPr>
        <w:ind w:right="18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xml:space="preserve">” has the meaning set forth in the Company’s long-term disability plan or its successor;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Board may not terminate the Executive’s employment hereunder by reason of Disability unless (i) at the time of</w:t>
      </w:r>
    </w:p>
    <w:p>
      <w:pPr>
        <w:sectPr>
          <w:pgSz w:w="11900" w:h="16838" w:orient="portrait"/>
          <w:cols w:equalWidth="0" w:num="1">
            <w:col w:w="11400"/>
          </w:cols>
          <w:pgMar w:left="240" w:top="118" w:right="259" w:bottom="0" w:gutter="0" w:footer="0" w:header="0"/>
        </w:sectPr>
      </w:pPr>
    </w:p>
    <w:bookmarkStart w:id="151" w:name="page152"/>
    <w:bookmarkEnd w:id="151"/>
    <w:p>
      <w:pPr>
        <w:ind w:right="340"/>
        <w:spacing w:after="0" w:line="251" w:lineRule="auto"/>
        <w:rPr>
          <w:sz w:val="20"/>
          <w:szCs w:val="20"/>
          <w:color w:val="auto"/>
        </w:rPr>
      </w:pPr>
      <w:r>
        <w:rPr>
          <w:rFonts w:ascii="Arial" w:cs="Arial" w:eastAsia="Arial" w:hAnsi="Arial"/>
          <w:sz w:val="22"/>
          <w:szCs w:val="22"/>
          <w:color w:val="auto"/>
        </w:rPr>
        <w:t>such termination there is no reasonable expectation that the Executive will return to work within the next ninety (90) day period and (ii) such termination is permitted by all applicable disability laws.</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means the Securities Exchange Act of 1934, as amended, and the applicable rulings and regulations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thereunder.</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Excise Tax</w:t>
      </w:r>
      <w:r>
        <w:rPr>
          <w:rFonts w:ascii="Arial" w:cs="Arial" w:eastAsia="Arial" w:hAnsi="Arial"/>
          <w:sz w:val="22"/>
          <w:szCs w:val="22"/>
          <w:color w:val="auto"/>
        </w:rPr>
        <w:t>” has the meaning assigned thereto in Section 8(a)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 Reason</w:t>
      </w:r>
      <w:r>
        <w:rPr>
          <w:rFonts w:ascii="Arial" w:cs="Arial" w:eastAsia="Arial" w:hAnsi="Arial"/>
          <w:sz w:val="22"/>
          <w:szCs w:val="22"/>
          <w:color w:val="auto"/>
        </w:rPr>
        <w:t>” means:</w:t>
      </w:r>
    </w:p>
    <w:p>
      <w:pPr>
        <w:spacing w:after="0" w:line="193" w:lineRule="exact"/>
        <w:rPr>
          <w:sz w:val="20"/>
          <w:szCs w:val="20"/>
          <w:color w:val="auto"/>
        </w:rPr>
      </w:pPr>
    </w:p>
    <w:p>
      <w:pPr>
        <w:jc w:val="both"/>
        <w:ind w:right="140" w:firstLine="1305"/>
        <w:spacing w:after="0"/>
        <w:tabs>
          <w:tab w:leader="none" w:pos="1945" w:val="left"/>
        </w:tabs>
        <w:numPr>
          <w:ilvl w:val="0"/>
          <w:numId w:val="211"/>
        </w:numPr>
        <w:rPr>
          <w:rFonts w:ascii="Arial" w:cs="Arial" w:eastAsia="Arial" w:hAnsi="Arial"/>
          <w:sz w:val="22"/>
          <w:szCs w:val="22"/>
          <w:color w:val="auto"/>
        </w:rPr>
      </w:pPr>
      <w:r>
        <w:rPr>
          <w:rFonts w:ascii="Arial" w:cs="Arial" w:eastAsia="Arial" w:hAnsi="Arial"/>
          <w:sz w:val="22"/>
          <w:szCs w:val="22"/>
          <w:color w:val="auto"/>
        </w:rPr>
        <w:t>Prior to a Change in Control, the occurrence of any of the following without the prior written consent of the Executive, unless such act or failure to act is corrected by the Company prior to the Date of Termination specified in the Notice of Termination (as required under Section 2 hereof):</w:t>
      </w:r>
    </w:p>
    <w:p>
      <w:pPr>
        <w:spacing w:after="0" w:line="186" w:lineRule="exact"/>
        <w:rPr>
          <w:rFonts w:ascii="Arial" w:cs="Arial" w:eastAsia="Arial" w:hAnsi="Arial"/>
          <w:sz w:val="22"/>
          <w:szCs w:val="22"/>
          <w:color w:val="auto"/>
        </w:rPr>
      </w:pPr>
    </w:p>
    <w:p>
      <w:pPr>
        <w:jc w:val="both"/>
        <w:ind w:right="400" w:firstLine="1953"/>
        <w:spacing w:after="0"/>
        <w:tabs>
          <w:tab w:leader="none" w:pos="2593" w:val="left"/>
        </w:tabs>
        <w:numPr>
          <w:ilvl w:val="1"/>
          <w:numId w:val="211"/>
        </w:numPr>
        <w:rPr>
          <w:rFonts w:ascii="Arial" w:cs="Arial" w:eastAsia="Arial" w:hAnsi="Arial"/>
          <w:sz w:val="22"/>
          <w:szCs w:val="22"/>
          <w:color w:val="auto"/>
        </w:rPr>
      </w:pPr>
      <w:r>
        <w:rPr>
          <w:rFonts w:ascii="Arial" w:cs="Arial" w:eastAsia="Arial" w:hAnsi="Arial"/>
          <w:sz w:val="22"/>
          <w:szCs w:val="22"/>
          <w:color w:val="auto"/>
        </w:rPr>
        <w:t>the assignment to the Executive of any duties materially inconsistent with the range of duties and responsibilities appropriate to a senior Executive within the Company (such range determined by reference to past, current and reasonable practices within the Company);</w:t>
      </w:r>
    </w:p>
    <w:p>
      <w:pPr>
        <w:spacing w:after="0" w:line="172" w:lineRule="exact"/>
        <w:rPr>
          <w:rFonts w:ascii="Arial" w:cs="Arial" w:eastAsia="Arial" w:hAnsi="Arial"/>
          <w:sz w:val="22"/>
          <w:szCs w:val="22"/>
          <w:color w:val="auto"/>
        </w:rPr>
      </w:pPr>
    </w:p>
    <w:p>
      <w:pPr>
        <w:ind w:right="120" w:firstLine="1953"/>
        <w:spacing w:after="0"/>
        <w:tabs>
          <w:tab w:leader="none" w:pos="2593" w:val="left"/>
        </w:tabs>
        <w:numPr>
          <w:ilvl w:val="1"/>
          <w:numId w:val="211"/>
        </w:numPr>
        <w:rPr>
          <w:rFonts w:ascii="Arial" w:cs="Arial" w:eastAsia="Arial" w:hAnsi="Arial"/>
          <w:sz w:val="22"/>
          <w:szCs w:val="22"/>
          <w:color w:val="auto"/>
        </w:rPr>
      </w:pPr>
      <w:r>
        <w:rPr>
          <w:rFonts w:ascii="Arial" w:cs="Arial" w:eastAsia="Arial" w:hAnsi="Arial"/>
          <w:sz w:val="22"/>
          <w:szCs w:val="22"/>
          <w:color w:val="auto"/>
        </w:rPr>
        <w:t>a material reduction in the Executive’s overall standing and responsibilities within the Company, but not including (A) a mere change in title or (B) a transfer within the Company, which, in the case of both (A) and (B), does not adversely affect the Executive’s overall status within the Company;</w:t>
      </w:r>
    </w:p>
    <w:p>
      <w:pPr>
        <w:spacing w:after="0" w:line="172" w:lineRule="exact"/>
        <w:rPr>
          <w:rFonts w:ascii="Arial" w:cs="Arial" w:eastAsia="Arial" w:hAnsi="Arial"/>
          <w:sz w:val="22"/>
          <w:szCs w:val="22"/>
          <w:color w:val="auto"/>
        </w:rPr>
      </w:pPr>
    </w:p>
    <w:p>
      <w:pPr>
        <w:ind w:right="340" w:firstLine="1953"/>
        <w:spacing w:after="0" w:line="238" w:lineRule="auto"/>
        <w:tabs>
          <w:tab w:leader="none" w:pos="2593" w:val="left"/>
        </w:tabs>
        <w:numPr>
          <w:ilvl w:val="1"/>
          <w:numId w:val="211"/>
        </w:numPr>
        <w:rPr>
          <w:rFonts w:ascii="Arial" w:cs="Arial" w:eastAsia="Arial" w:hAnsi="Arial"/>
          <w:sz w:val="22"/>
          <w:szCs w:val="22"/>
          <w:color w:val="auto"/>
        </w:rPr>
      </w:pPr>
      <w:r>
        <w:rPr>
          <w:rFonts w:ascii="Arial" w:cs="Arial" w:eastAsia="Arial" w:hAnsi="Arial"/>
          <w:sz w:val="22"/>
          <w:szCs w:val="22"/>
          <w:color w:val="auto"/>
        </w:rPr>
        <w:t>a material reduction by the Company in the Executive’s aggregate annualized compensation and benefits opportunities, except for across-the-board reductions (or modifications of benefit plans) similarly affecting all similarly situated executives (both of the Company and of any Person then in control of the Company) of comparable rank with the Executive;</w:t>
      </w:r>
    </w:p>
    <w:p>
      <w:pPr>
        <w:spacing w:after="0" w:line="185" w:lineRule="exact"/>
        <w:rPr>
          <w:rFonts w:ascii="Arial" w:cs="Arial" w:eastAsia="Arial" w:hAnsi="Arial"/>
          <w:sz w:val="22"/>
          <w:szCs w:val="22"/>
          <w:color w:val="auto"/>
        </w:rPr>
      </w:pPr>
    </w:p>
    <w:p>
      <w:pPr>
        <w:ind w:right="80" w:firstLine="1953"/>
        <w:spacing w:after="0"/>
        <w:tabs>
          <w:tab w:leader="none" w:pos="2593" w:val="left"/>
        </w:tabs>
        <w:numPr>
          <w:ilvl w:val="1"/>
          <w:numId w:val="211"/>
        </w:numPr>
        <w:rPr>
          <w:rFonts w:ascii="Arial" w:cs="Arial" w:eastAsia="Arial" w:hAnsi="Arial"/>
          <w:sz w:val="22"/>
          <w:szCs w:val="22"/>
          <w:color w:val="auto"/>
        </w:rPr>
      </w:pPr>
      <w:r>
        <w:rPr>
          <w:rFonts w:ascii="Arial" w:cs="Arial" w:eastAsia="Arial" w:hAnsi="Arial"/>
          <w:sz w:val="22"/>
          <w:szCs w:val="22"/>
          <w:color w:val="auto"/>
        </w:rPr>
        <w:t>the failure by the Company to pay to the Executive any portion of the Executive’s current compensation and benefits or any portion of an installment of deferred compensation under any deferred compensation program of the Company within thirty (30) days of the date such compensation is due;</w:t>
      </w:r>
    </w:p>
    <w:p>
      <w:pPr>
        <w:spacing w:after="0" w:line="172" w:lineRule="exact"/>
        <w:rPr>
          <w:rFonts w:ascii="Arial" w:cs="Arial" w:eastAsia="Arial" w:hAnsi="Arial"/>
          <w:sz w:val="22"/>
          <w:szCs w:val="22"/>
          <w:color w:val="auto"/>
        </w:rPr>
      </w:pPr>
    </w:p>
    <w:p>
      <w:pPr>
        <w:ind w:firstLine="1953"/>
        <w:spacing w:after="0"/>
        <w:tabs>
          <w:tab w:leader="none" w:pos="2593" w:val="left"/>
        </w:tabs>
        <w:numPr>
          <w:ilvl w:val="1"/>
          <w:numId w:val="211"/>
        </w:numPr>
        <w:rPr>
          <w:rFonts w:ascii="Arial" w:cs="Arial" w:eastAsia="Arial" w:hAnsi="Arial"/>
          <w:sz w:val="22"/>
          <w:szCs w:val="22"/>
          <w:color w:val="auto"/>
        </w:rPr>
      </w:pPr>
      <w:r>
        <w:rPr>
          <w:rFonts w:ascii="Arial" w:cs="Arial" w:eastAsia="Arial" w:hAnsi="Arial"/>
          <w:sz w:val="22"/>
          <w:szCs w:val="22"/>
          <w:color w:val="auto"/>
        </w:rPr>
        <w:t>any purported termination of the Executive’s employment that is not effected pursuant to a Notice of Termination satisfying the requirements of Section 3 hereof; for purposes of this Agreement, no such purported termination shall be effective;</w:t>
      </w:r>
    </w:p>
    <w:p>
      <w:pPr>
        <w:spacing w:after="0" w:line="172" w:lineRule="exact"/>
        <w:rPr>
          <w:rFonts w:ascii="Arial" w:cs="Arial" w:eastAsia="Arial" w:hAnsi="Arial"/>
          <w:sz w:val="22"/>
          <w:szCs w:val="22"/>
          <w:color w:val="auto"/>
        </w:rPr>
      </w:pPr>
    </w:p>
    <w:p>
      <w:pPr>
        <w:ind w:left="2600" w:hanging="647"/>
        <w:spacing w:after="0"/>
        <w:tabs>
          <w:tab w:leader="none" w:pos="2600" w:val="left"/>
        </w:tabs>
        <w:numPr>
          <w:ilvl w:val="1"/>
          <w:numId w:val="211"/>
        </w:numPr>
        <w:rPr>
          <w:rFonts w:ascii="Arial" w:cs="Arial" w:eastAsia="Arial" w:hAnsi="Arial"/>
          <w:sz w:val="21"/>
          <w:szCs w:val="21"/>
          <w:color w:val="auto"/>
        </w:rPr>
      </w:pPr>
      <w:r>
        <w:rPr>
          <w:rFonts w:ascii="Arial" w:cs="Arial" w:eastAsia="Arial" w:hAnsi="Arial"/>
          <w:sz w:val="21"/>
          <w:szCs w:val="21"/>
          <w:color w:val="auto"/>
        </w:rPr>
        <w:t>the failure by Sempra Energy to perform its obligations under Section 16(c), (d) or (e) hereof;</w:t>
      </w:r>
    </w:p>
    <w:p>
      <w:pPr>
        <w:spacing w:after="0" w:line="217" w:lineRule="exact"/>
        <w:rPr>
          <w:rFonts w:ascii="Arial" w:cs="Arial" w:eastAsia="Arial" w:hAnsi="Arial"/>
          <w:sz w:val="21"/>
          <w:szCs w:val="21"/>
          <w:color w:val="auto"/>
        </w:rPr>
      </w:pPr>
    </w:p>
    <w:p>
      <w:pPr>
        <w:ind w:right="80" w:firstLine="1953"/>
        <w:spacing w:after="0" w:line="251" w:lineRule="auto"/>
        <w:tabs>
          <w:tab w:leader="none" w:pos="2593" w:val="left"/>
        </w:tabs>
        <w:numPr>
          <w:ilvl w:val="1"/>
          <w:numId w:val="211"/>
        </w:numPr>
        <w:rPr>
          <w:rFonts w:ascii="Arial" w:cs="Arial" w:eastAsia="Arial" w:hAnsi="Arial"/>
          <w:sz w:val="22"/>
          <w:szCs w:val="22"/>
          <w:color w:val="auto"/>
        </w:rPr>
      </w:pPr>
      <w:r>
        <w:rPr>
          <w:rFonts w:ascii="Arial" w:cs="Arial" w:eastAsia="Arial" w:hAnsi="Arial"/>
          <w:sz w:val="22"/>
          <w:szCs w:val="22"/>
          <w:color w:val="auto"/>
        </w:rPr>
        <w:t>the failure by the Company to provide the indemnification and D&amp;O insurance protection Section 10 of this Agreement requires it to provide; or</w:t>
      </w:r>
    </w:p>
    <w:p>
      <w:pPr>
        <w:spacing w:after="0" w:line="159" w:lineRule="exact"/>
        <w:rPr>
          <w:rFonts w:ascii="Arial" w:cs="Arial" w:eastAsia="Arial" w:hAnsi="Arial"/>
          <w:sz w:val="22"/>
          <w:szCs w:val="22"/>
          <w:color w:val="auto"/>
        </w:rPr>
      </w:pPr>
    </w:p>
    <w:p>
      <w:pPr>
        <w:ind w:left="2600" w:hanging="647"/>
        <w:spacing w:after="0"/>
        <w:tabs>
          <w:tab w:leader="none" w:pos="2600" w:val="left"/>
        </w:tabs>
        <w:numPr>
          <w:ilvl w:val="1"/>
          <w:numId w:val="211"/>
        </w:numPr>
        <w:rPr>
          <w:rFonts w:ascii="Arial" w:cs="Arial" w:eastAsia="Arial" w:hAnsi="Arial"/>
          <w:sz w:val="22"/>
          <w:szCs w:val="22"/>
          <w:color w:val="auto"/>
        </w:rPr>
      </w:pPr>
      <w:r>
        <w:rPr>
          <w:rFonts w:ascii="Arial" w:cs="Arial" w:eastAsia="Arial" w:hAnsi="Arial"/>
          <w:sz w:val="22"/>
          <w:szCs w:val="22"/>
          <w:color w:val="auto"/>
        </w:rPr>
        <w:t>the failure by Sempra Energy to comply with any material provision of this Agreement.</w:t>
      </w:r>
    </w:p>
    <w:p>
      <w:pPr>
        <w:spacing w:after="0" w:line="192" w:lineRule="exact"/>
        <w:rPr>
          <w:rFonts w:ascii="Arial" w:cs="Arial" w:eastAsia="Arial" w:hAnsi="Arial"/>
          <w:sz w:val="22"/>
          <w:szCs w:val="22"/>
          <w:color w:val="auto"/>
        </w:rPr>
      </w:pPr>
    </w:p>
    <w:p>
      <w:pPr>
        <w:ind w:right="60" w:firstLine="1305"/>
        <w:spacing w:after="0"/>
        <w:tabs>
          <w:tab w:leader="none" w:pos="1945" w:val="left"/>
        </w:tabs>
        <w:numPr>
          <w:ilvl w:val="0"/>
          <w:numId w:val="211"/>
        </w:numPr>
        <w:rPr>
          <w:rFonts w:ascii="Arial" w:cs="Arial" w:eastAsia="Arial" w:hAnsi="Arial"/>
          <w:sz w:val="22"/>
          <w:szCs w:val="22"/>
          <w:color w:val="auto"/>
        </w:rPr>
      </w:pPr>
      <w:r>
        <w:rPr>
          <w:rFonts w:ascii="Arial" w:cs="Arial" w:eastAsia="Arial" w:hAnsi="Arial"/>
          <w:sz w:val="22"/>
          <w:szCs w:val="22"/>
          <w:color w:val="auto"/>
        </w:rPr>
        <w:t>From and after a Change in Control, the occurrence of any of the following without the prior written consent of the Executive, unless such act or failure to act is corrected by the Company prior to the Date of Termination specified in the Notice of Termination (as required under Section 2 hereof):</w:t>
      </w:r>
    </w:p>
    <w:p>
      <w:pPr>
        <w:spacing w:after="0" w:line="186" w:lineRule="exact"/>
        <w:rPr>
          <w:rFonts w:ascii="Arial" w:cs="Arial" w:eastAsia="Arial" w:hAnsi="Arial"/>
          <w:sz w:val="22"/>
          <w:szCs w:val="22"/>
          <w:color w:val="auto"/>
        </w:rPr>
      </w:pPr>
    </w:p>
    <w:p>
      <w:pPr>
        <w:ind w:right="300" w:firstLine="1953"/>
        <w:spacing w:after="0" w:line="251" w:lineRule="auto"/>
        <w:tabs>
          <w:tab w:leader="none" w:pos="2593" w:val="left"/>
        </w:tabs>
        <w:numPr>
          <w:ilvl w:val="1"/>
          <w:numId w:val="211"/>
        </w:numPr>
        <w:rPr>
          <w:rFonts w:ascii="Arial" w:cs="Arial" w:eastAsia="Arial" w:hAnsi="Arial"/>
          <w:sz w:val="22"/>
          <w:szCs w:val="22"/>
          <w:color w:val="auto"/>
        </w:rPr>
      </w:pPr>
      <w:r>
        <w:rPr>
          <w:rFonts w:ascii="Arial" w:cs="Arial" w:eastAsia="Arial" w:hAnsi="Arial"/>
          <w:sz w:val="22"/>
          <w:szCs w:val="22"/>
          <w:color w:val="auto"/>
        </w:rPr>
        <w:t>an adverse change in the Executive’s title, authority, duties, responsibilities or reporting lines as in effect immediately prior to the Change in Control;</w:t>
      </w:r>
    </w:p>
    <w:p>
      <w:pPr>
        <w:spacing w:after="0" w:line="159" w:lineRule="exact"/>
        <w:rPr>
          <w:rFonts w:ascii="Arial" w:cs="Arial" w:eastAsia="Arial" w:hAnsi="Arial"/>
          <w:sz w:val="22"/>
          <w:szCs w:val="22"/>
          <w:color w:val="auto"/>
        </w:rPr>
      </w:pPr>
    </w:p>
    <w:p>
      <w:pPr>
        <w:ind w:right="60" w:firstLine="1953"/>
        <w:spacing w:after="0" w:line="245" w:lineRule="auto"/>
        <w:tabs>
          <w:tab w:leader="none" w:pos="2593" w:val="left"/>
        </w:tabs>
        <w:numPr>
          <w:ilvl w:val="1"/>
          <w:numId w:val="211"/>
        </w:numPr>
        <w:rPr>
          <w:rFonts w:ascii="Arial" w:cs="Arial" w:eastAsia="Arial" w:hAnsi="Arial"/>
          <w:sz w:val="21"/>
          <w:szCs w:val="21"/>
          <w:color w:val="auto"/>
        </w:rPr>
      </w:pPr>
      <w:r>
        <w:rPr>
          <w:rFonts w:ascii="Arial" w:cs="Arial" w:eastAsia="Arial" w:hAnsi="Arial"/>
          <w:sz w:val="21"/>
          <w:szCs w:val="21"/>
          <w:color w:val="auto"/>
        </w:rPr>
        <w:t>a reduction by the Company in the Executive’s aggregate annualized compensation opportunities, except for across-the-board reductions in base salaries, annual bonus opportunities or long-term incentive compensation opportunities of less than ten percent (10%) similarly affecting all similarly situated executives (both of the Company and of any Person then in control of the Company) of comparable rank with the Executive; or the failure by the Company to continue in effect any material benefit plan in which the Executive participates immediately prior to the Change in Control, unless an equitable arrangement (embodied in an ongoing substitute or alternative plan) has been made with respect to such plan, or the failure by the Company to continue the Executive's participation therein (or in such substitute or alternative plan) on a basis not materially less favorable, both in terms of the amount of benefits provided and the level of the Executive's participation relative to other participants, as existed at the time of the Change in Control;</w:t>
      </w:r>
    </w:p>
    <w:p>
      <w:pPr>
        <w:spacing w:after="0" w:line="171" w:lineRule="exact"/>
        <w:rPr>
          <w:rFonts w:ascii="Arial" w:cs="Arial" w:eastAsia="Arial" w:hAnsi="Arial"/>
          <w:sz w:val="21"/>
          <w:szCs w:val="21"/>
          <w:color w:val="auto"/>
        </w:rPr>
      </w:pPr>
    </w:p>
    <w:p>
      <w:pPr>
        <w:ind w:right="80" w:firstLine="1953"/>
        <w:spacing w:after="0" w:line="234" w:lineRule="auto"/>
        <w:tabs>
          <w:tab w:leader="none" w:pos="2593" w:val="left"/>
        </w:tabs>
        <w:numPr>
          <w:ilvl w:val="1"/>
          <w:numId w:val="211"/>
        </w:numPr>
        <w:rPr>
          <w:rFonts w:ascii="Arial" w:cs="Arial" w:eastAsia="Arial" w:hAnsi="Arial"/>
          <w:sz w:val="22"/>
          <w:szCs w:val="22"/>
          <w:color w:val="auto"/>
        </w:rPr>
      </w:pPr>
      <w:r>
        <w:rPr>
          <w:rFonts w:ascii="Arial" w:cs="Arial" w:eastAsia="Arial" w:hAnsi="Arial"/>
          <w:sz w:val="22"/>
          <w:szCs w:val="22"/>
          <w:color w:val="auto"/>
        </w:rPr>
        <w:t>the relocation of the Executive’s principal place of employment immediately prior to the Change in Control Date (the “</w:t>
      </w:r>
      <w:r>
        <w:rPr>
          <w:rFonts w:ascii="Arial" w:cs="Arial" w:eastAsia="Arial" w:hAnsi="Arial"/>
          <w:sz w:val="22"/>
          <w:szCs w:val="22"/>
          <w:u w:val="single" w:color="auto"/>
          <w:color w:val="auto"/>
        </w:rPr>
        <w:t>Principal Location</w:t>
      </w:r>
      <w:r>
        <w:rPr>
          <w:rFonts w:ascii="Arial" w:cs="Arial" w:eastAsia="Arial" w:hAnsi="Arial"/>
          <w:sz w:val="22"/>
          <w:szCs w:val="22"/>
          <w:color w:val="auto"/>
        </w:rPr>
        <w:t>”) to a location which is both further away from the Executive’s residence and more than thirty (30) miles from such Principal Location, or the Company’s requiring the Executive to be based anywhere other than such Principal Location (or permitted relocation thereof), or a substantial increase in the Executive’s business travel obligations outside of the Southern California area as of the Effective Date other than any such increase that (A) arises in connection with extraordinary business activities of the Company of limited duration and (B) is understood not to be part of the Executive’s regular duties with the Company;</w:t>
      </w:r>
    </w:p>
    <w:p>
      <w:pPr>
        <w:spacing w:after="0" w:line="191" w:lineRule="exact"/>
        <w:rPr>
          <w:rFonts w:ascii="Arial" w:cs="Arial" w:eastAsia="Arial" w:hAnsi="Arial"/>
          <w:sz w:val="22"/>
          <w:szCs w:val="22"/>
          <w:color w:val="auto"/>
        </w:rPr>
      </w:pPr>
    </w:p>
    <w:p>
      <w:pPr>
        <w:ind w:right="80" w:firstLine="1953"/>
        <w:spacing w:after="0"/>
        <w:tabs>
          <w:tab w:leader="none" w:pos="2593" w:val="left"/>
        </w:tabs>
        <w:numPr>
          <w:ilvl w:val="1"/>
          <w:numId w:val="211"/>
        </w:numPr>
        <w:rPr>
          <w:rFonts w:ascii="Arial" w:cs="Arial" w:eastAsia="Arial" w:hAnsi="Arial"/>
          <w:sz w:val="22"/>
          <w:szCs w:val="22"/>
          <w:color w:val="auto"/>
        </w:rPr>
      </w:pPr>
      <w:r>
        <w:rPr>
          <w:rFonts w:ascii="Arial" w:cs="Arial" w:eastAsia="Arial" w:hAnsi="Arial"/>
          <w:sz w:val="22"/>
          <w:szCs w:val="22"/>
          <w:color w:val="auto"/>
        </w:rPr>
        <w:t>the failure by the Company to pay to the Executive any portion of the Executive’s current compensation and benefits or any portion of an installment of deferred compensation under any deferred compensation program of the Company within thirty (30) days of the date such compensation is due;</w:t>
      </w:r>
    </w:p>
    <w:p>
      <w:pPr>
        <w:sectPr>
          <w:pgSz w:w="11900" w:h="16838" w:orient="portrait"/>
          <w:cols w:equalWidth="0" w:num="1">
            <w:col w:w="11400"/>
          </w:cols>
          <w:pgMar w:left="240" w:top="118" w:right="259" w:bottom="0" w:gutter="0" w:footer="0" w:header="0"/>
        </w:sectPr>
      </w:pPr>
    </w:p>
    <w:bookmarkStart w:id="152" w:name="page153"/>
    <w:bookmarkEnd w:id="152"/>
    <w:p>
      <w:pPr>
        <w:ind w:right="20" w:firstLine="1953"/>
        <w:spacing w:after="0" w:line="241" w:lineRule="auto"/>
        <w:tabs>
          <w:tab w:leader="none" w:pos="2593" w:val="left"/>
        </w:tabs>
        <w:numPr>
          <w:ilvl w:val="0"/>
          <w:numId w:val="212"/>
        </w:numPr>
        <w:rPr>
          <w:rFonts w:ascii="Arial" w:cs="Arial" w:eastAsia="Arial" w:hAnsi="Arial"/>
          <w:sz w:val="22"/>
          <w:szCs w:val="22"/>
          <w:color w:val="auto"/>
        </w:rPr>
      </w:pPr>
      <w:r>
        <w:rPr>
          <w:rFonts w:ascii="Arial" w:cs="Arial" w:eastAsia="Arial" w:hAnsi="Arial"/>
          <w:sz w:val="22"/>
          <w:szCs w:val="22"/>
          <w:color w:val="auto"/>
        </w:rPr>
        <w:t>any purported termination of the Executive’s employment that is not effected pursuant to a Notice of Termination satisfying the requirements of Section 3 hereof; for purposes of this Agreement, no such purported termination shall be effective;</w:t>
      </w:r>
    </w:p>
    <w:p>
      <w:pPr>
        <w:spacing w:after="0" w:line="170" w:lineRule="exact"/>
        <w:rPr>
          <w:rFonts w:ascii="Arial" w:cs="Arial" w:eastAsia="Arial" w:hAnsi="Arial"/>
          <w:sz w:val="22"/>
          <w:szCs w:val="22"/>
          <w:color w:val="auto"/>
        </w:rPr>
      </w:pPr>
    </w:p>
    <w:p>
      <w:pPr>
        <w:ind w:left="2600" w:hanging="647"/>
        <w:spacing w:after="0"/>
        <w:tabs>
          <w:tab w:leader="none" w:pos="2600" w:val="left"/>
        </w:tabs>
        <w:numPr>
          <w:ilvl w:val="0"/>
          <w:numId w:val="212"/>
        </w:numPr>
        <w:rPr>
          <w:rFonts w:ascii="Arial" w:cs="Arial" w:eastAsia="Arial" w:hAnsi="Arial"/>
          <w:sz w:val="21"/>
          <w:szCs w:val="21"/>
          <w:color w:val="auto"/>
        </w:rPr>
      </w:pPr>
      <w:r>
        <w:rPr>
          <w:rFonts w:ascii="Arial" w:cs="Arial" w:eastAsia="Arial" w:hAnsi="Arial"/>
          <w:sz w:val="21"/>
          <w:szCs w:val="21"/>
          <w:color w:val="auto"/>
        </w:rPr>
        <w:t>the failure by Sempra Energy to perform its obligations under Section 16(c), (d) or (e) hereof;</w:t>
      </w:r>
    </w:p>
    <w:p>
      <w:pPr>
        <w:spacing w:after="0" w:line="217" w:lineRule="exact"/>
        <w:rPr>
          <w:rFonts w:ascii="Arial" w:cs="Arial" w:eastAsia="Arial" w:hAnsi="Arial"/>
          <w:sz w:val="21"/>
          <w:szCs w:val="21"/>
          <w:color w:val="auto"/>
        </w:rPr>
      </w:pPr>
    </w:p>
    <w:p>
      <w:pPr>
        <w:ind w:right="100" w:firstLine="1953"/>
        <w:spacing w:after="0" w:line="251" w:lineRule="auto"/>
        <w:tabs>
          <w:tab w:leader="none" w:pos="2593" w:val="left"/>
        </w:tabs>
        <w:numPr>
          <w:ilvl w:val="0"/>
          <w:numId w:val="212"/>
        </w:numPr>
        <w:rPr>
          <w:rFonts w:ascii="Arial" w:cs="Arial" w:eastAsia="Arial" w:hAnsi="Arial"/>
          <w:sz w:val="22"/>
          <w:szCs w:val="22"/>
          <w:color w:val="auto"/>
        </w:rPr>
      </w:pPr>
      <w:r>
        <w:rPr>
          <w:rFonts w:ascii="Arial" w:cs="Arial" w:eastAsia="Arial" w:hAnsi="Arial"/>
          <w:sz w:val="22"/>
          <w:szCs w:val="22"/>
          <w:color w:val="auto"/>
        </w:rPr>
        <w:t>the failure by the Company to provide the indemnification and D&amp;O insurance protection Section 10 of this Agreement requires it to provide; or</w:t>
      </w:r>
    </w:p>
    <w:p>
      <w:pPr>
        <w:spacing w:after="0" w:line="159" w:lineRule="exact"/>
        <w:rPr>
          <w:rFonts w:ascii="Arial" w:cs="Arial" w:eastAsia="Arial" w:hAnsi="Arial"/>
          <w:sz w:val="22"/>
          <w:szCs w:val="22"/>
          <w:color w:val="auto"/>
        </w:rPr>
      </w:pPr>
    </w:p>
    <w:p>
      <w:pPr>
        <w:ind w:left="2600" w:hanging="647"/>
        <w:spacing w:after="0"/>
        <w:tabs>
          <w:tab w:leader="none" w:pos="2600" w:val="left"/>
        </w:tabs>
        <w:numPr>
          <w:ilvl w:val="0"/>
          <w:numId w:val="212"/>
        </w:numPr>
        <w:rPr>
          <w:rFonts w:ascii="Arial" w:cs="Arial" w:eastAsia="Arial" w:hAnsi="Arial"/>
          <w:sz w:val="22"/>
          <w:szCs w:val="22"/>
          <w:color w:val="auto"/>
        </w:rPr>
      </w:pPr>
      <w:r>
        <w:rPr>
          <w:rFonts w:ascii="Arial" w:cs="Arial" w:eastAsia="Arial" w:hAnsi="Arial"/>
          <w:sz w:val="22"/>
          <w:szCs w:val="22"/>
          <w:color w:val="auto"/>
        </w:rPr>
        <w:t>the failure by Sempra Energy to comply with any material provision of this Agreement.</w:t>
      </w:r>
    </w:p>
    <w:p>
      <w:pPr>
        <w:spacing w:after="0" w:line="206" w:lineRule="exact"/>
        <w:rPr>
          <w:sz w:val="20"/>
          <w:szCs w:val="20"/>
          <w:color w:val="auto"/>
        </w:rPr>
      </w:pPr>
    </w:p>
    <w:p>
      <w:pPr>
        <w:ind w:firstLine="1297"/>
        <w:spacing w:after="0" w:line="282" w:lineRule="auto"/>
        <w:rPr>
          <w:sz w:val="20"/>
          <w:szCs w:val="20"/>
          <w:color w:val="auto"/>
        </w:rPr>
      </w:pPr>
      <w:r>
        <w:rPr>
          <w:rFonts w:ascii="Arial" w:cs="Arial" w:eastAsia="Arial" w:hAnsi="Arial"/>
          <w:sz w:val="19"/>
          <w:szCs w:val="19"/>
          <w:color w:val="auto"/>
        </w:rPr>
        <w:t>Following a Change in Control, the Executive’s determination that an act or failure to act constitutes Good Reason shall be presumed to be valid unless such determination is deemed to be unreasonable by an arbitrator pursuant to the procedure described in Section 13 hereof. The Executive’s right to terminate the Executive’s employment for Good Reason shall not be affected by the Executive’s incapacity due to physical or mental illness. The Executive’s continued employment shall not constitute consent to, or a waiver of rights with respect to, any act or failure to act constituting Good Reason hereunder.</w:t>
      </w:r>
    </w:p>
    <w:p>
      <w:pPr>
        <w:spacing w:after="0" w:line="148" w:lineRule="exact"/>
        <w:rPr>
          <w:sz w:val="20"/>
          <w:szCs w:val="20"/>
          <w:color w:val="auto"/>
        </w:rPr>
      </w:pPr>
    </w:p>
    <w:p>
      <w:pPr>
        <w:ind w:right="70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Incentive Compensation Awards</w:t>
      </w:r>
      <w:r>
        <w:rPr>
          <w:rFonts w:ascii="Arial" w:cs="Arial" w:eastAsia="Arial" w:hAnsi="Arial"/>
          <w:sz w:val="19"/>
          <w:szCs w:val="19"/>
          <w:color w:val="auto"/>
        </w:rPr>
        <w:t>” means awards granted under Incentive Compensation Plans providing the Executive with the opportunity to earn, on a year-by-year basis, annual and long-term incentive compensation.</w:t>
      </w:r>
    </w:p>
    <w:p>
      <w:pPr>
        <w:spacing w:after="0" w:line="105"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Incentive Compensation Plans</w:t>
      </w:r>
      <w:r>
        <w:rPr>
          <w:rFonts w:ascii="Arial" w:cs="Arial" w:eastAsia="Arial" w:hAnsi="Arial"/>
          <w:sz w:val="22"/>
          <w:szCs w:val="22"/>
          <w:color w:val="auto"/>
        </w:rPr>
        <w:t>” means annual incentive compensation plans and long-term incentive compensation plans of the Company, which long-term incentive compensation plans may include plans offering stock options, restricted stock and other long-term incentive compensation.</w:t>
      </w:r>
    </w:p>
    <w:p>
      <w:pPr>
        <w:spacing w:after="0" w:line="186" w:lineRule="exact"/>
        <w:rPr>
          <w:sz w:val="20"/>
          <w:szCs w:val="20"/>
          <w:color w:val="auto"/>
        </w:rPr>
      </w:pPr>
    </w:p>
    <w:p>
      <w:pPr>
        <w:ind w:right="4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Involuntary Termination</w:t>
      </w:r>
      <w:r>
        <w:rPr>
          <w:rFonts w:ascii="Arial" w:cs="Arial" w:eastAsia="Arial" w:hAnsi="Arial"/>
          <w:sz w:val="22"/>
          <w:szCs w:val="22"/>
          <w:color w:val="auto"/>
        </w:rPr>
        <w:t>” means (a) the Executive’s Separation from Service by reason other than for Cause, death, Disability or Mandatory Retirement, or (b) the Executive’s Separation from Service by reason of resignation of employment for Good Reason.</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JAMS Rules</w:t>
      </w:r>
      <w:r>
        <w:rPr>
          <w:rFonts w:ascii="Arial" w:cs="Arial" w:eastAsia="Arial" w:hAnsi="Arial"/>
          <w:sz w:val="22"/>
          <w:szCs w:val="22"/>
          <w:color w:val="auto"/>
        </w:rPr>
        <w:t>” has the meaning assigned thereto in Section 13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Mandatory Retirement</w:t>
      </w:r>
      <w:r>
        <w:rPr>
          <w:rFonts w:ascii="Arial" w:cs="Arial" w:eastAsia="Arial" w:hAnsi="Arial"/>
          <w:sz w:val="19"/>
          <w:szCs w:val="19"/>
          <w:color w:val="auto"/>
        </w:rPr>
        <w:t>” means termination of employment pursuant to the Company’s mandatory retirement policy.</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Termination</w:t>
      </w:r>
      <w:r>
        <w:rPr>
          <w:rFonts w:ascii="Arial" w:cs="Arial" w:eastAsia="Arial" w:hAnsi="Arial"/>
          <w:sz w:val="22"/>
          <w:szCs w:val="22"/>
          <w:color w:val="auto"/>
        </w:rPr>
        <w:t>” has the meaning assigned thereto in Section 2(a)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w:t>
      </w:r>
      <w:r>
        <w:rPr>
          <w:rFonts w:ascii="Arial" w:cs="Arial" w:eastAsia="Arial" w:hAnsi="Arial"/>
          <w:sz w:val="22"/>
          <w:szCs w:val="22"/>
          <w:color w:val="auto"/>
        </w:rPr>
        <w:t>” has the meaning assigned thereto in Section 8(a)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in Lieu of Notice</w:t>
      </w:r>
      <w:r>
        <w:rPr>
          <w:rFonts w:ascii="Arial" w:cs="Arial" w:eastAsia="Arial" w:hAnsi="Arial"/>
          <w:sz w:val="22"/>
          <w:szCs w:val="22"/>
          <w:color w:val="auto"/>
        </w:rPr>
        <w:t>” has the meaning assigned thereto in Section 2(b) hereof.</w:t>
      </w:r>
    </w:p>
    <w:p>
      <w:pPr>
        <w:spacing w:after="0" w:line="206" w:lineRule="exact"/>
        <w:rPr>
          <w:sz w:val="20"/>
          <w:szCs w:val="20"/>
          <w:color w:val="auto"/>
        </w:rPr>
      </w:pPr>
    </w:p>
    <w:p>
      <w:pPr>
        <w:ind w:right="160" w:firstLine="12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has the meaning set forth in section 3(a)(9) of the Exchange Act, as modified and used in sections 13(d) and 14(d) thereof, except that such term shall not include (i) the Company or any of its Affiliates, (ii) a trustee or other fiduciary holding securities under an employee benefit plan of the Company or any of its Affiliates, (iii) an underwriter temporarily holding securities pursuant to an offering of such securities, (iv) a corporation owned, directly or indirectly, by the shareholders of the Company in substantially the same proportions as their ownership of stock of the Company, or (v) a person or group as used in Rule 13d-1(b) promulgated under the Exchange Act.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Post-Change in Control Severance Payment</w:t>
      </w:r>
      <w:r>
        <w:rPr>
          <w:rFonts w:ascii="Arial" w:cs="Arial" w:eastAsia="Arial" w:hAnsi="Arial"/>
          <w:sz w:val="22"/>
          <w:szCs w:val="22"/>
          <w:color w:val="auto"/>
        </w:rPr>
        <w:t>” has the meaning assigned thereto in Section 5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Pre-Change in Control Severance Payment</w:t>
      </w:r>
      <w:r>
        <w:rPr>
          <w:rFonts w:ascii="Arial" w:cs="Arial" w:eastAsia="Arial" w:hAnsi="Arial"/>
          <w:sz w:val="22"/>
          <w:szCs w:val="22"/>
          <w:color w:val="auto"/>
        </w:rPr>
        <w:t>” has the meaning assigned thereto in Section 4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Principal Location</w:t>
      </w:r>
      <w:r>
        <w:rPr>
          <w:rFonts w:ascii="Arial" w:cs="Arial" w:eastAsia="Arial" w:hAnsi="Arial"/>
          <w:sz w:val="19"/>
          <w:szCs w:val="19"/>
          <w:color w:val="auto"/>
        </w:rPr>
        <w:t>” has the meaning assigned thereto in clause (b)(iii) of the definition of Good Reason, above.</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Proprietary Information</w:t>
      </w:r>
      <w:r>
        <w:rPr>
          <w:rFonts w:ascii="Arial" w:cs="Arial" w:eastAsia="Arial" w:hAnsi="Arial"/>
          <w:sz w:val="22"/>
          <w:szCs w:val="22"/>
          <w:color w:val="auto"/>
        </w:rPr>
        <w:t>” has the meaning assigned thereto in Section 14(a)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 Rata Bonus</w:t>
      </w:r>
      <w:r>
        <w:rPr>
          <w:rFonts w:ascii="Arial" w:cs="Arial" w:eastAsia="Arial" w:hAnsi="Arial"/>
          <w:sz w:val="22"/>
          <w:szCs w:val="22"/>
          <w:color w:val="auto"/>
        </w:rPr>
        <w:t>” has the meaning assigned thereto in Section 5(b).</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has the meaning assigned thereto in Section 4 hereof.</w:t>
      </w:r>
    </w:p>
    <w:p>
      <w:pPr>
        <w:spacing w:after="0" w:line="206" w:lineRule="exact"/>
        <w:rPr>
          <w:sz w:val="20"/>
          <w:szCs w:val="20"/>
          <w:color w:val="auto"/>
        </w:rPr>
      </w:pPr>
    </w:p>
    <w:p>
      <w:pPr>
        <w:ind w:right="200" w:firstLine="129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Section 409A Payments</w:t>
      </w:r>
      <w:r>
        <w:rPr>
          <w:rFonts w:ascii="Arial" w:cs="Arial" w:eastAsia="Arial" w:hAnsi="Arial"/>
          <w:sz w:val="21"/>
          <w:szCs w:val="21"/>
          <w:color w:val="auto"/>
        </w:rPr>
        <w:t>” means any of the following: (a) the Payment in Lieu of Notice; (b) the Pre-Change in Control Severance Payment; (c) the Post-Change in Control Severance Payment; (d) the Pro Rata Bonus; (e) the Consulting Payment; (f) the financial planning services and the related payments provided under Sections 4(e) and 5(f); (g) the legal fees and expenses reimbursed under Section 15; and (h) any other payment that the Company determines in its sole discretion is subject to Section 409A of the Code as non-qualified deferred compensation.</w:t>
      </w:r>
    </w:p>
    <w:p>
      <w:pPr>
        <w:spacing w:after="0" w:line="179" w:lineRule="exact"/>
        <w:rPr>
          <w:sz w:val="20"/>
          <w:szCs w:val="20"/>
          <w:color w:val="auto"/>
        </w:rPr>
      </w:pPr>
    </w:p>
    <w:p>
      <w:pPr>
        <w:ind w:right="66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Sempra Energy Control Group</w:t>
      </w:r>
      <w:r>
        <w:rPr>
          <w:rFonts w:ascii="Arial" w:cs="Arial" w:eastAsia="Arial" w:hAnsi="Arial"/>
          <w:sz w:val="19"/>
          <w:szCs w:val="19"/>
          <w:color w:val="auto"/>
        </w:rPr>
        <w:t>” means Sempra Energy and all persons with whom Sempra Energy would be considered a single employer under Section 414(b) or 414(c) of the Code, as determined from time to time.</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Separation from Service</w:t>
      </w:r>
      <w:r>
        <w:rPr>
          <w:rFonts w:ascii="Arial" w:cs="Arial" w:eastAsia="Arial" w:hAnsi="Arial"/>
          <w:sz w:val="22"/>
          <w:szCs w:val="22"/>
          <w:color w:val="auto"/>
        </w:rPr>
        <w:t>” has the meaning set forth in Treasury Regulation Section 1.409A-1(h).</w:t>
      </w:r>
    </w:p>
    <w:p>
      <w:pPr>
        <w:spacing w:after="0" w:line="206" w:lineRule="exact"/>
        <w:rPr>
          <w:sz w:val="20"/>
          <w:szCs w:val="20"/>
          <w:color w:val="auto"/>
        </w:rPr>
      </w:pPr>
    </w:p>
    <w:p>
      <w:pPr>
        <w:ind w:right="2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Employee</w:t>
      </w:r>
      <w:r>
        <w:rPr>
          <w:rFonts w:ascii="Arial" w:cs="Arial" w:eastAsia="Arial" w:hAnsi="Arial"/>
          <w:sz w:val="22"/>
          <w:szCs w:val="22"/>
          <w:color w:val="auto"/>
        </w:rPr>
        <w:t>” shall be determined in accordance with Section 409A(a)(2)(B)(i) of the Code and Treasury Regulation Section 1.409A-1(i).</w:t>
      </w:r>
    </w:p>
    <w:p>
      <w:pPr>
        <w:sectPr>
          <w:pgSz w:w="11900" w:h="16838" w:orient="portrait"/>
          <w:cols w:equalWidth="0" w:num="1">
            <w:col w:w="11420"/>
          </w:cols>
          <w:pgMar w:left="240" w:top="118" w:right="239" w:bottom="0" w:gutter="0" w:footer="0" w:header="0"/>
        </w:sectPr>
      </w:pPr>
    </w:p>
    <w:bookmarkStart w:id="153" w:name="page154"/>
    <w:bookmarkEnd w:id="153"/>
    <w:p>
      <w:pPr>
        <w:spacing w:after="0" w:line="12" w:lineRule="exact"/>
        <w:rPr>
          <w:sz w:val="20"/>
          <w:szCs w:val="20"/>
          <w:color w:val="auto"/>
        </w:rPr>
      </w:pPr>
    </w:p>
    <w:p>
      <w:pPr>
        <w:ind w:right="60" w:firstLine="1297"/>
        <w:spacing w:after="0" w:line="251" w:lineRule="auto"/>
        <w:rPr>
          <w:sz w:val="20"/>
          <w:szCs w:val="20"/>
          <w:color w:val="auto"/>
        </w:rPr>
      </w:pPr>
      <w:r>
        <w:rPr>
          <w:rFonts w:ascii="Arial" w:cs="Arial" w:eastAsia="Arial" w:hAnsi="Arial"/>
          <w:sz w:val="22"/>
          <w:szCs w:val="22"/>
          <w:color w:val="auto"/>
        </w:rPr>
        <w:t>For purposes of this Agreement, references to any “</w:t>
      </w:r>
      <w:r>
        <w:rPr>
          <w:rFonts w:ascii="Arial" w:cs="Arial" w:eastAsia="Arial" w:hAnsi="Arial"/>
          <w:sz w:val="22"/>
          <w:szCs w:val="22"/>
          <w:u w:val="single" w:color="auto"/>
          <w:color w:val="auto"/>
        </w:rPr>
        <w:t>Treasury Regulation</w:t>
      </w:r>
      <w:r>
        <w:rPr>
          <w:rFonts w:ascii="Arial" w:cs="Arial" w:eastAsia="Arial" w:hAnsi="Arial"/>
          <w:sz w:val="22"/>
          <w:szCs w:val="22"/>
          <w:color w:val="auto"/>
        </w:rPr>
        <w:t>” shall mean such Treasury Regulation as in effect on the date hereof.</w:t>
      </w:r>
    </w:p>
    <w:p>
      <w:pPr>
        <w:spacing w:after="0" w:line="16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19"/>
          <w:szCs w:val="19"/>
          <w:u w:val="single" w:color="auto"/>
          <w:color w:val="auto"/>
        </w:rPr>
        <w:t>Notice and Date of Termination</w:t>
      </w:r>
      <w:r>
        <w:rPr>
          <w:rFonts w:ascii="Arial" w:cs="Arial" w:eastAsia="Arial" w:hAnsi="Arial"/>
          <w:sz w:val="19"/>
          <w:szCs w:val="19"/>
          <w:color w:val="auto"/>
        </w:rPr>
        <w:t>.</w:t>
      </w:r>
    </w:p>
    <w:p>
      <w:pPr>
        <w:spacing w:after="0" w:line="206" w:lineRule="exact"/>
        <w:rPr>
          <w:sz w:val="20"/>
          <w:szCs w:val="20"/>
          <w:color w:val="auto"/>
        </w:rPr>
      </w:pPr>
    </w:p>
    <w:p>
      <w:pPr>
        <w:ind w:firstLine="1305"/>
        <w:spacing w:after="0" w:line="279" w:lineRule="auto"/>
        <w:tabs>
          <w:tab w:leader="none" w:pos="1945" w:val="left"/>
        </w:tabs>
        <w:numPr>
          <w:ilvl w:val="0"/>
          <w:numId w:val="213"/>
        </w:numPr>
        <w:rPr>
          <w:rFonts w:ascii="Arial" w:cs="Arial" w:eastAsia="Arial" w:hAnsi="Arial"/>
          <w:sz w:val="19"/>
          <w:szCs w:val="19"/>
          <w:color w:val="auto"/>
        </w:rPr>
      </w:pPr>
      <w:r>
        <w:rPr>
          <w:rFonts w:ascii="Arial" w:cs="Arial" w:eastAsia="Arial" w:hAnsi="Arial"/>
          <w:sz w:val="19"/>
          <w:szCs w:val="19"/>
          <w:color w:val="auto"/>
        </w:rPr>
        <w:t>Any termination of the Executive’s employment by the Company or by the Executive shall be communicated by a written notice of termination to the other party (the “</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Where applicable, the Notice of Termination shall indicate the specific termination provision in this Agreement relied upon and shall set forth in reasonable detail the facts and circumstances claimed to provide a basis for termination of the Executive’s employment under the provision so indicated. Unless the Board determines otherwise, a Notice of Termination by the Executive alleging a termination for Good Reason must be made within 180 days of the act or failure to act that the Executive alleges to constitute Good Reason.</w:t>
      </w:r>
    </w:p>
    <w:p>
      <w:pPr>
        <w:spacing w:after="0" w:line="137" w:lineRule="exact"/>
        <w:rPr>
          <w:rFonts w:ascii="Arial" w:cs="Arial" w:eastAsia="Arial" w:hAnsi="Arial"/>
          <w:sz w:val="19"/>
          <w:szCs w:val="19"/>
          <w:color w:val="auto"/>
        </w:rPr>
      </w:pPr>
    </w:p>
    <w:p>
      <w:pPr>
        <w:ind w:right="20" w:firstLine="1305"/>
        <w:spacing w:after="0" w:line="273" w:lineRule="auto"/>
        <w:tabs>
          <w:tab w:leader="none" w:pos="1945" w:val="left"/>
        </w:tabs>
        <w:numPr>
          <w:ilvl w:val="0"/>
          <w:numId w:val="213"/>
        </w:numPr>
        <w:rPr>
          <w:rFonts w:ascii="Arial" w:cs="Arial" w:eastAsia="Arial" w:hAnsi="Arial"/>
          <w:sz w:val="19"/>
          <w:szCs w:val="19"/>
          <w:color w:val="auto"/>
        </w:rPr>
      </w:pPr>
      <w:r>
        <w:rPr>
          <w:rFonts w:ascii="Arial" w:cs="Arial" w:eastAsia="Arial" w:hAnsi="Arial"/>
          <w:sz w:val="19"/>
          <w:szCs w:val="19"/>
          <w:color w:val="auto"/>
        </w:rPr>
        <w:t>The date of the Executive’s termination of employment with the Company (the “</w:t>
      </w:r>
      <w:r>
        <w:rPr>
          <w:rFonts w:ascii="Arial" w:cs="Arial" w:eastAsia="Arial" w:hAnsi="Arial"/>
          <w:sz w:val="19"/>
          <w:szCs w:val="19"/>
          <w:u w:val="single" w:color="auto"/>
          <w:color w:val="auto"/>
        </w:rPr>
        <w:t>Date of Termination</w:t>
      </w:r>
      <w:r>
        <w:rPr>
          <w:rFonts w:ascii="Arial" w:cs="Arial" w:eastAsia="Arial" w:hAnsi="Arial"/>
          <w:sz w:val="19"/>
          <w:szCs w:val="19"/>
          <w:color w:val="auto"/>
        </w:rPr>
        <w:t>”) shall be determined as follows: (i) if the Executive’s Separation from Service is at the volition of the Company, then the Date of Termination shall be the date specified in the Notice of Termination (which, in the case of a termination by the Company other than for Cause, shall not be less than two (2) weeks from the date such Notice of Termination is given unless the Company elects to pay the Executive, in addition to any other amounts payable hereunder, an amount (the “</w:t>
      </w:r>
      <w:r>
        <w:rPr>
          <w:rFonts w:ascii="Arial" w:cs="Arial" w:eastAsia="Arial" w:hAnsi="Arial"/>
          <w:sz w:val="19"/>
          <w:szCs w:val="19"/>
          <w:u w:val="single" w:color="auto"/>
          <w:color w:val="auto"/>
        </w:rPr>
        <w:t>Payment in Lieu of Notice</w:t>
      </w:r>
      <w:r>
        <w:rPr>
          <w:rFonts w:ascii="Arial" w:cs="Arial" w:eastAsia="Arial" w:hAnsi="Arial"/>
          <w:sz w:val="19"/>
          <w:szCs w:val="19"/>
          <w:color w:val="auto"/>
        </w:rPr>
        <w:t xml:space="preserve">”) equal to two (2) weeks of the Executive’s Annual Base Salary in effect on the Date of Termination), and (ii) if the Executive’s Separation from Service is by the Executive for Good Reason, the Date of Termination shall be determined by the Executive and specified in the Notice of Termination, but in no event less than fifteen (15) days nor more than sixty (60) days after the date such Notice of Termination is given. The Payment in Lieu of Notice shall be paid on such date as is required by law, but no later than thirty (30) days after the date of the Executive’s Separation from Service;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Executive is a Specified Employee on the date of his or her Separation from Service, such Payment in Lieu of Notice shall be paid as provided in Section 9 hereof.</w:t>
      </w:r>
    </w:p>
    <w:p>
      <w:pPr>
        <w:spacing w:after="0" w:line="143" w:lineRule="exact"/>
        <w:rPr>
          <w:sz w:val="20"/>
          <w:szCs w:val="20"/>
          <w:color w:val="auto"/>
        </w:rPr>
      </w:pPr>
    </w:p>
    <w:p>
      <w:pPr>
        <w:ind w:right="140" w:firstLine="1297"/>
        <w:spacing w:after="0" w:line="297" w:lineRule="auto"/>
        <w:rPr>
          <w:sz w:val="20"/>
          <w:szCs w:val="20"/>
          <w:color w:val="auto"/>
        </w:rPr>
      </w:pPr>
      <w:r>
        <w:rPr>
          <w:rFonts w:ascii="Arial" w:cs="Arial" w:eastAsia="Arial" w:hAnsi="Arial"/>
          <w:sz w:val="19"/>
          <w:szCs w:val="19"/>
          <w:b w:val="1"/>
          <w:bCs w:val="1"/>
          <w:color w:val="auto"/>
        </w:rPr>
        <w:t xml:space="preserve">Section 3. </w:t>
      </w:r>
      <w:r>
        <w:rPr>
          <w:rFonts w:ascii="Arial" w:cs="Arial" w:eastAsia="Arial" w:hAnsi="Arial"/>
          <w:sz w:val="19"/>
          <w:szCs w:val="19"/>
          <w:u w:val="single" w:color="auto"/>
          <w:color w:val="auto"/>
        </w:rPr>
        <w:t>Termination from the Board</w:t>
      </w:r>
      <w:r>
        <w:rPr>
          <w:rFonts w:ascii="Arial" w:cs="Arial" w:eastAsia="Arial" w:hAnsi="Arial"/>
          <w:sz w:val="19"/>
          <w:szCs w:val="19"/>
          <w:color w:val="auto"/>
        </w:rPr>
        <w:t>. Upon the termination of the Executive’s employment for any reason,</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Executive’s membership on the Board, the board of directors of any of the Company’s Affiliates, any committees of the Board and any committees of the board of directors of any of the Company’s Affiliates, if applicable, shall be automatically terminated.</w:t>
      </w:r>
    </w:p>
    <w:p>
      <w:pPr>
        <w:spacing w:after="0" w:line="128" w:lineRule="exact"/>
        <w:rPr>
          <w:sz w:val="20"/>
          <w:szCs w:val="20"/>
          <w:color w:val="auto"/>
        </w:rPr>
      </w:pPr>
    </w:p>
    <w:p>
      <w:pPr>
        <w:ind w:firstLine="1297"/>
        <w:spacing w:after="0" w:line="271" w:lineRule="auto"/>
        <w:rPr>
          <w:sz w:val="20"/>
          <w:szCs w:val="20"/>
          <w:color w:val="auto"/>
        </w:rPr>
      </w:pPr>
      <w:r>
        <w:rPr>
          <w:rFonts w:ascii="Arial" w:cs="Arial" w:eastAsia="Arial" w:hAnsi="Arial"/>
          <w:sz w:val="19"/>
          <w:szCs w:val="19"/>
          <w:b w:val="1"/>
          <w:bCs w:val="1"/>
          <w:color w:val="auto"/>
        </w:rPr>
        <w:t xml:space="preserve">Section 4. </w:t>
      </w:r>
      <w:r>
        <w:rPr>
          <w:rFonts w:ascii="Arial" w:cs="Arial" w:eastAsia="Arial" w:hAnsi="Arial"/>
          <w:sz w:val="19"/>
          <w:szCs w:val="19"/>
          <w:u w:val="single" w:color="auto"/>
          <w:color w:val="auto"/>
        </w:rPr>
        <w:t>Severance Benefits upon Involuntary Termination Prior to Change in Control</w:t>
      </w:r>
      <w:r>
        <w:rPr>
          <w:rFonts w:ascii="Arial" w:cs="Arial" w:eastAsia="Arial" w:hAnsi="Arial"/>
          <w:sz w:val="19"/>
          <w:szCs w:val="19"/>
          <w:color w:val="auto"/>
        </w:rPr>
        <w:t>. Except as provided in</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5(g) and Section 19(i) hereof, in the event of the Involuntary Termination of the Executive prior to a Change in Control, the Company shall pay the Executive, in one lump sum cash payment, an amount (the “</w:t>
      </w:r>
      <w:r>
        <w:rPr>
          <w:rFonts w:ascii="Arial" w:cs="Arial" w:eastAsia="Arial" w:hAnsi="Arial"/>
          <w:sz w:val="19"/>
          <w:szCs w:val="19"/>
          <w:u w:val="single" w:color="auto"/>
          <w:color w:val="auto"/>
        </w:rPr>
        <w:t>Pre-Change in Control Severance Payment</w:t>
      </w:r>
      <w:r>
        <w:rPr>
          <w:rFonts w:ascii="Arial" w:cs="Arial" w:eastAsia="Arial" w:hAnsi="Arial"/>
          <w:sz w:val="19"/>
          <w:szCs w:val="19"/>
          <w:color w:val="auto"/>
        </w:rPr>
        <w:t>”) equal to one-half (0.5) times the greater of: (X) 150% of the Executive’s Annual Base Salary as in effect on the Date of Termination, and (Y) the Executive’s Annual Base Salary as in effect on the Date of Termination, plus the Executive’s Average Annual Bonus. In addition to the Pre-Change in Control Severance Payment, the Executive shall be entitled to the following additional benefits specified in subsections (a) through (e). The Company's obligation to pay the Pre-Change in Control Severance Payment or provide the benefits set forth in subsections (c), (d) and (e) are subject to and conditioned upon the Executive executing a release (the “</w:t>
      </w: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of all claims substantially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within fifty (50) days after the date of Involuntary Termination and Executive not revoking such Release in accordance with the terms thereof. Except as provided in Section 4(f), the Pre-Change in Control Severance Payment shall be paid on such date as is determined by the Company within sixty (60) days after the date of the Involuntary Termination; but not before the Release becomes effective and irrevocable. If the fifty (50) day period in which the Release could become effective spans more than one taxable year, then the Pre-Change in Control Severance Payment shall not be made until the later taxable year. Notwithstanding the foregoing, if the Executive is a Specified Employee on the date of the Executive’s Involuntary Termination, the Pre-Change in Control Severance Payment and the financial planning services and the related payments provided under Section 4(e) shall be paid as provided in Section 9 hereof.</w:t>
      </w:r>
    </w:p>
    <w:p>
      <w:pPr>
        <w:spacing w:after="0" w:line="151" w:lineRule="exact"/>
        <w:rPr>
          <w:sz w:val="20"/>
          <w:szCs w:val="20"/>
          <w:color w:val="auto"/>
        </w:rPr>
      </w:pPr>
    </w:p>
    <w:p>
      <w:pPr>
        <w:ind w:right="720" w:firstLine="1305"/>
        <w:spacing w:after="0" w:line="251" w:lineRule="auto"/>
        <w:tabs>
          <w:tab w:leader="none" w:pos="1945" w:val="left"/>
        </w:tabs>
        <w:numPr>
          <w:ilvl w:val="0"/>
          <w:numId w:val="214"/>
        </w:numPr>
        <w:rPr>
          <w:rFonts w:ascii="Arial" w:cs="Arial" w:eastAsia="Arial" w:hAnsi="Arial"/>
          <w:sz w:val="22"/>
          <w:szCs w:val="22"/>
          <w:color w:val="auto"/>
        </w:rPr>
      </w:pPr>
      <w:r>
        <w:rPr>
          <w:rFonts w:ascii="Arial" w:cs="Arial" w:eastAsia="Arial" w:hAnsi="Arial"/>
          <w:sz w:val="22"/>
          <w:szCs w:val="22"/>
          <w:u w:val="single" w:color="auto"/>
          <w:color w:val="auto"/>
        </w:rPr>
        <w:t>Accrued Obligations</w:t>
      </w:r>
      <w:r>
        <w:rPr>
          <w:rFonts w:ascii="Arial" w:cs="Arial" w:eastAsia="Arial" w:hAnsi="Arial"/>
          <w:sz w:val="22"/>
          <w:szCs w:val="22"/>
          <w:color w:val="auto"/>
        </w:rPr>
        <w:t>. The Company shall pay the Executive a lump sum amount in cash equal to the Accrued Obligations within the time required by law.</w:t>
      </w:r>
    </w:p>
    <w:p>
      <w:pPr>
        <w:spacing w:after="0" w:line="159" w:lineRule="exact"/>
        <w:rPr>
          <w:rFonts w:ascii="Arial" w:cs="Arial" w:eastAsia="Arial" w:hAnsi="Arial"/>
          <w:sz w:val="22"/>
          <w:szCs w:val="22"/>
          <w:color w:val="auto"/>
        </w:rPr>
      </w:pPr>
    </w:p>
    <w:p>
      <w:pPr>
        <w:ind w:right="80" w:firstLine="1305"/>
        <w:spacing w:after="0" w:line="251" w:lineRule="auto"/>
        <w:tabs>
          <w:tab w:leader="none" w:pos="1945" w:val="left"/>
        </w:tabs>
        <w:numPr>
          <w:ilvl w:val="0"/>
          <w:numId w:val="214"/>
        </w:numPr>
        <w:rPr>
          <w:rFonts w:ascii="Arial" w:cs="Arial" w:eastAsia="Arial" w:hAnsi="Arial"/>
          <w:sz w:val="22"/>
          <w:szCs w:val="22"/>
          <w:color w:val="auto"/>
        </w:rPr>
      </w:pPr>
      <w:r>
        <w:rPr>
          <w:rFonts w:ascii="Arial" w:cs="Arial" w:eastAsia="Arial" w:hAnsi="Arial"/>
          <w:sz w:val="22"/>
          <w:szCs w:val="22"/>
          <w:u w:val="single" w:color="auto"/>
          <w:color w:val="auto"/>
        </w:rPr>
        <w:t>Equity Based Compensation</w:t>
      </w:r>
      <w:r>
        <w:rPr>
          <w:rFonts w:ascii="Arial" w:cs="Arial" w:eastAsia="Arial" w:hAnsi="Arial"/>
          <w:sz w:val="22"/>
          <w:szCs w:val="22"/>
          <w:color w:val="auto"/>
        </w:rPr>
        <w:t>. The Executive shall retain all rights to any equity-based compensation awards to the extent set forth in the applicable plan and/or award agreement.</w:t>
      </w:r>
    </w:p>
    <w:p>
      <w:pPr>
        <w:spacing w:after="0" w:line="173" w:lineRule="exact"/>
        <w:rPr>
          <w:rFonts w:ascii="Arial" w:cs="Arial" w:eastAsia="Arial" w:hAnsi="Arial"/>
          <w:sz w:val="22"/>
          <w:szCs w:val="22"/>
          <w:color w:val="auto"/>
        </w:rPr>
      </w:pPr>
    </w:p>
    <w:p>
      <w:pPr>
        <w:ind w:right="20" w:firstLine="1305"/>
        <w:spacing w:after="0" w:line="271" w:lineRule="auto"/>
        <w:tabs>
          <w:tab w:leader="none" w:pos="1945" w:val="left"/>
        </w:tabs>
        <w:numPr>
          <w:ilvl w:val="0"/>
          <w:numId w:val="214"/>
        </w:numPr>
        <w:rPr>
          <w:rFonts w:ascii="Arial" w:cs="Arial" w:eastAsia="Arial" w:hAnsi="Arial"/>
          <w:sz w:val="19"/>
          <w:szCs w:val="19"/>
          <w:color w:val="auto"/>
        </w:rPr>
      </w:pPr>
      <w:r>
        <w:rPr>
          <w:rFonts w:ascii="Arial" w:cs="Arial" w:eastAsia="Arial" w:hAnsi="Arial"/>
          <w:sz w:val="19"/>
          <w:szCs w:val="19"/>
          <w:u w:val="single" w:color="auto"/>
          <w:color w:val="auto"/>
        </w:rPr>
        <w:t>Welfare Benefits</w:t>
      </w:r>
      <w:r>
        <w:rPr>
          <w:rFonts w:ascii="Arial" w:cs="Arial" w:eastAsia="Arial" w:hAnsi="Arial"/>
          <w:sz w:val="19"/>
          <w:szCs w:val="19"/>
          <w:color w:val="auto"/>
        </w:rPr>
        <w:t xml:space="preserve">. Subject to Section 12 below, for a period of six (6) months following the date of the Involuntary Termination (and an additional six (6) months if the Executive provides consulting services under Section 14(e) hereof), the Executive and his dependents shall be provided with health insurance benefits substantially similar to those provided to the Executive and his dependents immediately prior to the date of the Involuntary Termination;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such benefits shall be provided on substantially the same terms and conditions and at the same cost to the Executive as in effect immediately prior to the date of the Involuntary Termination. Such benefits shall be provided through insurance maintained by the Company under the Company’s benefit plans. Such benefits shall be provided in a manner that complies with Treasury Regulation Section 1.409A-1(a)(5). Notwithstanding the foregoing, if the Company determines in its sole discretion that it cannot provide the foregoing benefit without potentially violating applicable law (including, without limitation, Section 2716 of the Public Health Service Act), the Company shall in lieu thereof provide to the Executive a taxable monthly payment in an amount equal to the monthly premium that the Executive would be required to pay to continue the Executive’s and his covered dependents’ group insurance coverages under COBRA as in effect on the Date of Termination (which amount shall be based on the premiums for the first month of COBRA coverage);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the Executive is a Specified Employee on the Date of Termination, then such payments shall be paid as provided in Section 9 hereof.</w:t>
      </w:r>
    </w:p>
    <w:p>
      <w:pPr>
        <w:spacing w:after="0" w:line="398" w:lineRule="exact"/>
        <w:rPr>
          <w:rFonts w:ascii="Arial" w:cs="Arial" w:eastAsia="Arial" w:hAnsi="Arial"/>
          <w:sz w:val="19"/>
          <w:szCs w:val="19"/>
          <w:color w:val="auto"/>
        </w:rPr>
      </w:pPr>
    </w:p>
    <w:p>
      <w:pPr>
        <w:ind w:right="140" w:firstLine="1305"/>
        <w:spacing w:after="0" w:line="297" w:lineRule="auto"/>
        <w:tabs>
          <w:tab w:leader="none" w:pos="1945" w:val="left"/>
        </w:tabs>
        <w:numPr>
          <w:ilvl w:val="0"/>
          <w:numId w:val="214"/>
        </w:numPr>
        <w:rPr>
          <w:rFonts w:ascii="Arial" w:cs="Arial" w:eastAsia="Arial" w:hAnsi="Arial"/>
          <w:sz w:val="19"/>
          <w:szCs w:val="19"/>
          <w:color w:val="auto"/>
        </w:rPr>
      </w:pPr>
      <w:r>
        <w:rPr>
          <w:rFonts w:ascii="Arial" w:cs="Arial" w:eastAsia="Arial" w:hAnsi="Arial"/>
          <w:sz w:val="19"/>
          <w:szCs w:val="19"/>
          <w:u w:val="single" w:color="auto"/>
          <w:color w:val="auto"/>
        </w:rPr>
        <w:t>Outplacement Services</w:t>
      </w:r>
      <w:r>
        <w:rPr>
          <w:rFonts w:ascii="Arial" w:cs="Arial" w:eastAsia="Arial" w:hAnsi="Arial"/>
          <w:sz w:val="19"/>
          <w:szCs w:val="19"/>
          <w:color w:val="auto"/>
        </w:rPr>
        <w:t>. The Executive shall receive reasonable outplacement services, on an in-kind basis, suitable to his position and directly related to the Executive’s Involuntary Termination, for a period of twelve (12) months following the date of the Involuntary Termination, in an aggregate amount of cost to the Company not to exceed $50,000.</w:t>
      </w:r>
    </w:p>
    <w:p>
      <w:pPr>
        <w:sectPr>
          <w:pgSz w:w="11900" w:h="16850" w:orient="portrait"/>
          <w:cols w:equalWidth="0" w:num="1">
            <w:col w:w="11400"/>
          </w:cols>
          <w:pgMar w:left="240" w:top="118" w:right="259" w:bottom="0" w:gutter="0" w:footer="0" w:header="0"/>
        </w:sectPr>
      </w:pPr>
    </w:p>
    <w:bookmarkStart w:id="154" w:name="page155"/>
    <w:bookmarkEnd w:id="154"/>
    <w:p>
      <w:pPr>
        <w:spacing w:after="0" w:line="61" w:lineRule="exact"/>
        <w:rPr>
          <w:sz w:val="20"/>
          <w:szCs w:val="20"/>
          <w:color w:val="auto"/>
        </w:rPr>
      </w:pPr>
    </w:p>
    <w:p>
      <w:pPr>
        <w:ind w:right="200" w:firstLine="54"/>
        <w:spacing w:after="0" w:line="241" w:lineRule="auto"/>
        <w:rPr>
          <w:sz w:val="20"/>
          <w:szCs w:val="20"/>
          <w:color w:val="auto"/>
        </w:rPr>
      </w:pPr>
      <w:r>
        <w:rPr>
          <w:rFonts w:ascii="Arial" w:cs="Arial" w:eastAsia="Arial" w:hAnsi="Arial"/>
          <w:sz w:val="22"/>
          <w:szCs w:val="22"/>
          <w:color w:val="auto"/>
        </w:rPr>
        <w:t>Notwithstanding the foregoing, the Executive shall cease to receive outplacement services on the date the Executive accepts employment with a subsequent employer. Such outplacement services shall be provided in a manner that complies with Treasury Regulation Section 1.409A-1(b)(9)(v)(A).</w:t>
      </w:r>
    </w:p>
    <w:p>
      <w:pPr>
        <w:spacing w:after="0" w:line="170" w:lineRule="exact"/>
        <w:rPr>
          <w:sz w:val="20"/>
          <w:szCs w:val="20"/>
          <w:color w:val="auto"/>
        </w:rPr>
      </w:pPr>
    </w:p>
    <w:p>
      <w:pPr>
        <w:ind w:firstLine="1305"/>
        <w:spacing w:after="0" w:line="273" w:lineRule="auto"/>
        <w:tabs>
          <w:tab w:leader="none" w:pos="1945" w:val="left"/>
        </w:tabs>
        <w:numPr>
          <w:ilvl w:val="0"/>
          <w:numId w:val="215"/>
        </w:numPr>
        <w:rPr>
          <w:rFonts w:ascii="Arial" w:cs="Arial" w:eastAsia="Arial" w:hAnsi="Arial"/>
          <w:sz w:val="19"/>
          <w:szCs w:val="19"/>
          <w:color w:val="auto"/>
        </w:rPr>
      </w:pPr>
      <w:r>
        <w:rPr>
          <w:rFonts w:ascii="Arial" w:cs="Arial" w:eastAsia="Arial" w:hAnsi="Arial"/>
          <w:sz w:val="19"/>
          <w:szCs w:val="19"/>
          <w:u w:val="single" w:color="auto"/>
          <w:color w:val="auto"/>
        </w:rPr>
        <w:t>Financial Planning Services</w:t>
      </w:r>
      <w:r>
        <w:rPr>
          <w:rFonts w:ascii="Arial" w:cs="Arial" w:eastAsia="Arial" w:hAnsi="Arial"/>
          <w:sz w:val="19"/>
          <w:szCs w:val="19"/>
          <w:color w:val="auto"/>
        </w:rPr>
        <w:t xml:space="preserve">. The Executive shall receive financial planning services, on an in-kind basis, for a period of twelve (12) months following the Date of Termination. Such financial planning services shall include expert financial and legal resources to assist the Executive with financial planning needs and shall be limited to (i) current investment portfolio management, (ii) tax planning, (iii) tax return preparation, and (iv) estate planning advice and document preparation (including wills and trusts);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Company shall provide such financial planning services during any taxable year of the Executive only to the extent the cost to the Company for such taxable year does not exceed [</w:t>
      </w:r>
      <w:r>
        <w:rPr>
          <w:rFonts w:ascii="Arial" w:cs="Arial" w:eastAsia="Arial" w:hAnsi="Arial"/>
          <w:sz w:val="19"/>
          <w:szCs w:val="19"/>
          <w:i w:val="1"/>
          <w:iCs w:val="1"/>
          <w:color w:val="auto"/>
        </w:rPr>
        <w:t>$25,000</w:t>
      </w:r>
      <w:r>
        <w:rPr>
          <w:rFonts w:ascii="Arial" w:cs="Arial" w:eastAsia="Arial" w:hAnsi="Arial"/>
          <w:sz w:val="19"/>
          <w:szCs w:val="19"/>
          <w:color w:val="auto"/>
        </w:rPr>
        <w:t>]. The Company shall provide such financial planning services through a financial planner selected by the Company, and shall pay the fees for such financial planning services. The financial planning services provided during any taxable year of the Executive shall not affect the financial planning services provided in any other taxable year of the Executive. The Executive’s right to financial planning services shall not be subject to liquidation or exchange for any other benefit. Such financial planning services shall be provided in a manner that complies with Treasury Regulation Section 1.409A-3(i)(1)(iv).</w:t>
      </w:r>
    </w:p>
    <w:p>
      <w:pPr>
        <w:spacing w:after="0" w:line="156" w:lineRule="exact"/>
        <w:rPr>
          <w:rFonts w:ascii="Arial" w:cs="Arial" w:eastAsia="Arial" w:hAnsi="Arial"/>
          <w:sz w:val="19"/>
          <w:szCs w:val="19"/>
          <w:color w:val="auto"/>
        </w:rPr>
      </w:pPr>
    </w:p>
    <w:p>
      <w:pPr>
        <w:ind w:right="20" w:firstLine="1305"/>
        <w:spacing w:after="0" w:line="238" w:lineRule="auto"/>
        <w:tabs>
          <w:tab w:leader="none" w:pos="1945" w:val="left"/>
        </w:tabs>
        <w:numPr>
          <w:ilvl w:val="0"/>
          <w:numId w:val="215"/>
        </w:numPr>
        <w:rPr>
          <w:rFonts w:ascii="Arial" w:cs="Arial" w:eastAsia="Arial" w:hAnsi="Arial"/>
          <w:sz w:val="22"/>
          <w:szCs w:val="22"/>
          <w:color w:val="auto"/>
        </w:rPr>
      </w:pPr>
      <w:r>
        <w:rPr>
          <w:rFonts w:ascii="Arial" w:cs="Arial" w:eastAsia="Arial" w:hAnsi="Arial"/>
          <w:sz w:val="22"/>
          <w:szCs w:val="22"/>
          <w:u w:val="single" w:color="auto"/>
          <w:color w:val="auto"/>
        </w:rPr>
        <w:t>Deferral of Payments</w:t>
      </w:r>
      <w:r>
        <w:rPr>
          <w:rFonts w:ascii="Arial" w:cs="Arial" w:eastAsia="Arial" w:hAnsi="Arial"/>
          <w:sz w:val="22"/>
          <w:szCs w:val="22"/>
          <w:color w:val="auto"/>
        </w:rPr>
        <w:t>. The Executive shall have the right to elect to defer the Pre-Change in Control Severance Payment to be received by the Executive pursuant to this Section 4 under the terms and conditions of the Sempra Energy 2005 Deferred Compensation Plan (the “</w:t>
      </w:r>
      <w:r>
        <w:rPr>
          <w:rFonts w:ascii="Arial" w:cs="Arial" w:eastAsia="Arial" w:hAnsi="Arial"/>
          <w:sz w:val="22"/>
          <w:szCs w:val="22"/>
          <w:u w:val="single" w:color="auto"/>
          <w:color w:val="auto"/>
        </w:rPr>
        <w:t>Deferred Compensation Plan</w:t>
      </w:r>
      <w:r>
        <w:rPr>
          <w:rFonts w:ascii="Arial" w:cs="Arial" w:eastAsia="Arial" w:hAnsi="Arial"/>
          <w:sz w:val="22"/>
          <w:szCs w:val="22"/>
          <w:color w:val="auto"/>
        </w:rPr>
        <w:t>”). Any such deferral election shall be made in accordance with Section 18(b) hereof.</w:t>
      </w:r>
    </w:p>
    <w:p>
      <w:pPr>
        <w:spacing w:after="0" w:line="172" w:lineRule="exact"/>
        <w:rPr>
          <w:sz w:val="20"/>
          <w:szCs w:val="20"/>
          <w:color w:val="auto"/>
        </w:rPr>
      </w:pPr>
    </w:p>
    <w:p>
      <w:pPr>
        <w:ind w:right="40" w:firstLine="1297"/>
        <w:spacing w:after="0" w:line="270" w:lineRule="auto"/>
        <w:rPr>
          <w:sz w:val="20"/>
          <w:szCs w:val="20"/>
          <w:color w:val="auto"/>
        </w:rPr>
      </w:pPr>
      <w:r>
        <w:rPr>
          <w:rFonts w:ascii="Arial" w:cs="Arial" w:eastAsia="Arial" w:hAnsi="Arial"/>
          <w:sz w:val="19"/>
          <w:szCs w:val="19"/>
          <w:b w:val="1"/>
          <w:bCs w:val="1"/>
          <w:color w:val="auto"/>
        </w:rPr>
        <w:t xml:space="preserve">Section 5. </w:t>
      </w:r>
      <w:r>
        <w:rPr>
          <w:rFonts w:ascii="Arial" w:cs="Arial" w:eastAsia="Arial" w:hAnsi="Arial"/>
          <w:sz w:val="19"/>
          <w:szCs w:val="19"/>
          <w:u w:val="single" w:color="auto"/>
          <w:color w:val="auto"/>
        </w:rPr>
        <w:t>Severance Benefits upon Involuntary Termination in Connection with and after Change in Control</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the provisions of Section 4 above, and except as provided in Section 19(i) hereof, in the event of the Involuntary Termination of the Executive on or within two (2) years following a Change in Control, in lieu of the payments described in Section 4 above, the Company shall pay the Executive, in one lump sum cash payment, an amount (the “</w:t>
      </w:r>
      <w:r>
        <w:rPr>
          <w:rFonts w:ascii="Arial" w:cs="Arial" w:eastAsia="Arial" w:hAnsi="Arial"/>
          <w:sz w:val="19"/>
          <w:szCs w:val="19"/>
          <w:u w:val="single" w:color="auto"/>
          <w:color w:val="auto"/>
        </w:rPr>
        <w:t>Post-Change in Control</w:t>
      </w:r>
      <w:r>
        <w:rPr>
          <w:rFonts w:ascii="Arial" w:cs="Arial" w:eastAsia="Arial" w:hAnsi="Arial"/>
          <w:sz w:val="19"/>
          <w:szCs w:val="19"/>
          <w:color w:val="auto"/>
        </w:rPr>
        <w:t xml:space="preserve"> </w:t>
      </w:r>
      <w:r>
        <w:rPr>
          <w:rFonts w:ascii="Arial" w:cs="Arial" w:eastAsia="Arial" w:hAnsi="Arial"/>
          <w:sz w:val="19"/>
          <w:szCs w:val="19"/>
          <w:u w:val="single" w:color="auto"/>
          <w:color w:val="auto"/>
        </w:rPr>
        <w:t>Severance Payment</w:t>
      </w:r>
      <w:r>
        <w:rPr>
          <w:rFonts w:ascii="Arial" w:cs="Arial" w:eastAsia="Arial" w:hAnsi="Arial"/>
          <w:sz w:val="19"/>
          <w:szCs w:val="19"/>
          <w:color w:val="auto"/>
        </w:rPr>
        <w:t>”) equal to the greater of: (X) 150% of the Executive’s Annual Base Salary as in effect immediately prior to the Change in Control or the Date of Termination, whichever is greater, and (Y) the Executive’s Annual Base Salary as in effect immediately prior to the Change in Control or on the Date of Termination, whichever is greater, plus the Executive’s Average Annual Bonus. In addition to the Post-Change in Control Severance Payment, the Executive shall be entitled to the benefits specified in subsections (a) through (f). The Company's obligation to pay the Post-Change in Control Severance Payment or provide the benefits set forth in subsections (b), (c), (d), (e) and (f) are subject to and conditioned upon the Executive executing the Release within fifty (50) days after the date of Involuntary Termination and Executive not revoking such Release in accordance with the terms thereof. Except as provided in Sections 5(g) and 5(h), the Post-Change in Control Severance Payment, and the Pro Rata Bonus shall be paid on such date as is determined by the Company within sixty (60) days after the date of the Involuntary Termination. If the fifty (50) day period in which the Release could become effective spans more than one taxable year, then the Post-Change in Control Severance Payment and Pro Rata Bonus shall not be made until the later taxable year. Notwithstanding the foregoing, if the Executive is a Specified Employee on the date of the Executive’s Involuntary Termination, the Post-Change in Control Severance Payment, the Pro Rata Bonus and the financial planning services and the related payments provided under Section 5(f) shall be paid as provided in Section 9 hereof.</w:t>
      </w:r>
    </w:p>
    <w:p>
      <w:pPr>
        <w:spacing w:after="0" w:line="400" w:lineRule="exact"/>
        <w:rPr>
          <w:sz w:val="20"/>
          <w:szCs w:val="20"/>
          <w:color w:val="auto"/>
        </w:rPr>
      </w:pPr>
    </w:p>
    <w:p>
      <w:pPr>
        <w:ind w:right="720" w:firstLine="1305"/>
        <w:spacing w:after="0" w:line="251" w:lineRule="auto"/>
        <w:tabs>
          <w:tab w:leader="none" w:pos="1945" w:val="left"/>
        </w:tabs>
        <w:numPr>
          <w:ilvl w:val="0"/>
          <w:numId w:val="216"/>
        </w:numPr>
        <w:rPr>
          <w:rFonts w:ascii="Arial" w:cs="Arial" w:eastAsia="Arial" w:hAnsi="Arial"/>
          <w:sz w:val="22"/>
          <w:szCs w:val="22"/>
          <w:color w:val="auto"/>
        </w:rPr>
      </w:pPr>
      <w:r>
        <w:rPr>
          <w:rFonts w:ascii="Arial" w:cs="Arial" w:eastAsia="Arial" w:hAnsi="Arial"/>
          <w:sz w:val="22"/>
          <w:szCs w:val="22"/>
          <w:u w:val="single" w:color="auto"/>
          <w:color w:val="auto"/>
        </w:rPr>
        <w:t>Accrued Obligations</w:t>
      </w:r>
      <w:r>
        <w:rPr>
          <w:rFonts w:ascii="Arial" w:cs="Arial" w:eastAsia="Arial" w:hAnsi="Arial"/>
          <w:sz w:val="22"/>
          <w:szCs w:val="22"/>
          <w:color w:val="auto"/>
        </w:rPr>
        <w:t>. The Company shall pay the Executive a lump sum amount in cash equal to the Executive's Accrued Obligations within the time required by law.</w:t>
      </w:r>
    </w:p>
    <w:p>
      <w:pPr>
        <w:spacing w:after="0" w:line="173" w:lineRule="exact"/>
        <w:rPr>
          <w:rFonts w:ascii="Arial" w:cs="Arial" w:eastAsia="Arial" w:hAnsi="Arial"/>
          <w:sz w:val="22"/>
          <w:szCs w:val="22"/>
          <w:color w:val="auto"/>
        </w:rPr>
      </w:pPr>
    </w:p>
    <w:p>
      <w:pPr>
        <w:ind w:left="1960" w:hanging="655"/>
        <w:spacing w:after="0"/>
        <w:tabs>
          <w:tab w:leader="none" w:pos="1960" w:val="left"/>
        </w:tabs>
        <w:numPr>
          <w:ilvl w:val="0"/>
          <w:numId w:val="216"/>
        </w:numPr>
        <w:rPr>
          <w:rFonts w:ascii="Arial" w:cs="Arial" w:eastAsia="Arial" w:hAnsi="Arial"/>
          <w:sz w:val="19"/>
          <w:szCs w:val="19"/>
          <w:color w:val="auto"/>
        </w:rPr>
      </w:pPr>
      <w:r>
        <w:rPr>
          <w:rFonts w:ascii="Arial" w:cs="Arial" w:eastAsia="Arial" w:hAnsi="Arial"/>
          <w:sz w:val="19"/>
          <w:szCs w:val="19"/>
          <w:u w:val="single" w:color="auto"/>
          <w:color w:val="auto"/>
        </w:rPr>
        <w:t>Pro Rata Bonus</w:t>
      </w:r>
      <w:r>
        <w:rPr>
          <w:rFonts w:ascii="Arial" w:cs="Arial" w:eastAsia="Arial" w:hAnsi="Arial"/>
          <w:sz w:val="19"/>
          <w:szCs w:val="19"/>
          <w:color w:val="auto"/>
        </w:rPr>
        <w:t>. The Company shall pay the Executive a lump sum amount in cash equal to: (i) the greater</w:t>
      </w:r>
    </w:p>
    <w:p>
      <w:pPr>
        <w:spacing w:after="0" w:line="42" w:lineRule="exact"/>
        <w:rPr>
          <w:rFonts w:ascii="Arial" w:cs="Arial" w:eastAsia="Arial" w:hAnsi="Arial"/>
          <w:sz w:val="19"/>
          <w:szCs w:val="19"/>
          <w:color w:val="auto"/>
        </w:rPr>
      </w:pPr>
    </w:p>
    <w:p>
      <w:pPr>
        <w:ind w:right="400"/>
        <w:spacing w:after="0" w:line="233" w:lineRule="auto"/>
        <w:rPr>
          <w:rFonts w:ascii="Arial" w:cs="Arial" w:eastAsia="Arial" w:hAnsi="Arial"/>
          <w:sz w:val="19"/>
          <w:szCs w:val="19"/>
          <w:color w:val="auto"/>
        </w:rPr>
      </w:pPr>
      <w:r>
        <w:rPr>
          <w:rFonts w:ascii="Arial" w:cs="Arial" w:eastAsia="Arial" w:hAnsi="Arial"/>
          <w:sz w:val="22"/>
          <w:szCs w:val="22"/>
          <w:color w:val="auto"/>
        </w:rPr>
        <w:t>of: (X) 50% of the Executive’s Annual Base Salary as in effect immediately prior to the Change in Control or on the Date of Termination, whichever is greater, or (Y) the Executive’s Average Annual Bonus, multiplied by (ii) a fraction, the numerator of which shall be the number of days from the beginning of such fiscal year to and including the Date of Termination and the denominator of which shall be 365 equal to the (“</w:t>
      </w:r>
      <w:r>
        <w:rPr>
          <w:rFonts w:ascii="Arial" w:cs="Arial" w:eastAsia="Arial" w:hAnsi="Arial"/>
          <w:sz w:val="22"/>
          <w:szCs w:val="22"/>
          <w:u w:val="single" w:color="auto"/>
          <w:color w:val="auto"/>
        </w:rPr>
        <w:t>Pro Rata Bonus</w:t>
      </w:r>
      <w:r>
        <w:rPr>
          <w:rFonts w:ascii="Arial" w:cs="Arial" w:eastAsia="Arial" w:hAnsi="Arial"/>
          <w:sz w:val="22"/>
          <w:szCs w:val="22"/>
          <w:color w:val="auto"/>
        </w:rPr>
        <w:t>”).</w:t>
      </w:r>
    </w:p>
    <w:p>
      <w:pPr>
        <w:spacing w:after="0" w:line="174" w:lineRule="exact"/>
        <w:rPr>
          <w:rFonts w:ascii="Arial" w:cs="Arial" w:eastAsia="Arial" w:hAnsi="Arial"/>
          <w:sz w:val="19"/>
          <w:szCs w:val="19"/>
          <w:color w:val="auto"/>
        </w:rPr>
      </w:pPr>
    </w:p>
    <w:p>
      <w:pPr>
        <w:ind w:right="20" w:firstLine="1305"/>
        <w:spacing w:after="0" w:line="272" w:lineRule="auto"/>
        <w:tabs>
          <w:tab w:leader="none" w:pos="1945" w:val="left"/>
        </w:tabs>
        <w:numPr>
          <w:ilvl w:val="0"/>
          <w:numId w:val="216"/>
        </w:numPr>
        <w:rPr>
          <w:rFonts w:ascii="Arial" w:cs="Arial" w:eastAsia="Arial" w:hAnsi="Arial"/>
          <w:sz w:val="19"/>
          <w:szCs w:val="19"/>
          <w:color w:val="auto"/>
        </w:rPr>
      </w:pPr>
      <w:r>
        <w:rPr>
          <w:rFonts w:ascii="Arial" w:cs="Arial" w:eastAsia="Arial" w:hAnsi="Arial"/>
          <w:sz w:val="19"/>
          <w:szCs w:val="19"/>
          <w:u w:val="single" w:color="auto"/>
          <w:color w:val="auto"/>
        </w:rPr>
        <w:t>Equity-Based Compensation</w:t>
      </w:r>
      <w:r>
        <w:rPr>
          <w:rFonts w:ascii="Arial" w:cs="Arial" w:eastAsia="Arial" w:hAnsi="Arial"/>
          <w:sz w:val="19"/>
          <w:szCs w:val="19"/>
          <w:color w:val="auto"/>
        </w:rPr>
        <w:t xml:space="preserve">. Notwithstanding the provisions of any applicable equity-compensation plan or award agreement to the contrary, all equity-based Incentive Compensation Awards (including, without limitation, stock options, stock appreciation rights, restricted stock awards, restricted stock units, performance share awards, awards covered under Section 162(m) of the Code, and dividend equivalents) held by the Executive shall immediately vest and become exercisable or payable, as the case may be, as of the Date of Termination, to be exercised or paid, as the case may be, in accordance with the terms of the applicable Incentive Compensation Plan and Incentive Compensation Award agreement, and any restrictions on any such Incentive Compensation Awards shall automatically lapse; </w:t>
      </w:r>
      <w:r>
        <w:rPr>
          <w:rFonts w:ascii="Arial" w:cs="Arial" w:eastAsia="Arial" w:hAnsi="Arial"/>
          <w:sz w:val="19"/>
          <w:szCs w:val="19"/>
          <w:i w:val="1"/>
          <w:iCs w:val="1"/>
          <w:color w:val="auto"/>
        </w:rPr>
        <w:t>provided, however</w:t>
      </w:r>
      <w:r>
        <w:rPr>
          <w:rFonts w:ascii="Arial" w:cs="Arial" w:eastAsia="Arial" w:hAnsi="Arial"/>
          <w:sz w:val="19"/>
          <w:szCs w:val="19"/>
          <w:color w:val="auto"/>
        </w:rPr>
        <w:t>, that any such stock option or stock appreciation rights awards granted on or after June 26, 1998 shall remain outstanding and exercisable until the earlier of (A) the later of eighteen (18) months following the Date of Termination or the period specified in the applicable Incentive Compensation Award agreements or (B) the expiration of the original term of such Incentive Compensation Award (or, if earlier, the tenth anniversary of the original date of grant) (it being understood that all Incentive Compensation Awards granted prior to or after June 26, 1998 shall remain outstanding and exercisable for a period that is no less than that provided for in the applicable agreement in effect as of the date of grant).</w:t>
      </w:r>
    </w:p>
    <w:p>
      <w:pPr>
        <w:spacing w:after="0" w:line="148" w:lineRule="exact"/>
        <w:rPr>
          <w:rFonts w:ascii="Arial" w:cs="Arial" w:eastAsia="Arial" w:hAnsi="Arial"/>
          <w:sz w:val="19"/>
          <w:szCs w:val="19"/>
          <w:color w:val="auto"/>
        </w:rPr>
      </w:pPr>
    </w:p>
    <w:p>
      <w:pPr>
        <w:ind w:right="20" w:firstLine="1305"/>
        <w:spacing w:after="0" w:line="277" w:lineRule="auto"/>
        <w:tabs>
          <w:tab w:leader="none" w:pos="1945" w:val="left"/>
        </w:tabs>
        <w:numPr>
          <w:ilvl w:val="0"/>
          <w:numId w:val="216"/>
        </w:numPr>
        <w:rPr>
          <w:rFonts w:ascii="Arial" w:cs="Arial" w:eastAsia="Arial" w:hAnsi="Arial"/>
          <w:sz w:val="19"/>
          <w:szCs w:val="19"/>
          <w:color w:val="auto"/>
        </w:rPr>
      </w:pPr>
      <w:r>
        <w:rPr>
          <w:rFonts w:ascii="Arial" w:cs="Arial" w:eastAsia="Arial" w:hAnsi="Arial"/>
          <w:sz w:val="19"/>
          <w:szCs w:val="19"/>
          <w:u w:val="single" w:color="auto"/>
          <w:color w:val="auto"/>
        </w:rPr>
        <w:t>Welfare Benefits</w:t>
      </w:r>
      <w:r>
        <w:rPr>
          <w:rFonts w:ascii="Arial" w:cs="Arial" w:eastAsia="Arial" w:hAnsi="Arial"/>
          <w:sz w:val="19"/>
          <w:szCs w:val="19"/>
          <w:color w:val="auto"/>
        </w:rPr>
        <w:t xml:space="preserve">. Subject to Section 12 below, for a period of six (6) months following the date of Involuntary Termination (and an additional twelve (12) months if the Executive provides consulting services under Section 14(e) hereof), the Executive and his dependents shall be provided with life, disability, accident and health insurance benefits substantially similar to those provided to the Executive and his dependents immediately prior to the date of Involuntary Termination or the Change in Control Date, whichever is more favorable to the Executive;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benefits shall be provided on substantially the same terms and conditions and at the same cost to the Executive as in effect immediately prior to the date of Involuntary Termination or the Change in Control Date, whichever is more favorable to the Executive. Such benefits shall be</w:t>
      </w:r>
    </w:p>
    <w:p>
      <w:pPr>
        <w:sectPr>
          <w:pgSz w:w="11900" w:h="16899" w:orient="portrait"/>
          <w:cols w:equalWidth="0" w:num="1">
            <w:col w:w="11400"/>
          </w:cols>
          <w:pgMar w:left="240" w:top="118" w:right="259" w:bottom="0" w:gutter="0" w:footer="0" w:header="0"/>
        </w:sectPr>
      </w:pPr>
    </w:p>
    <w:bookmarkStart w:id="155" w:name="page156"/>
    <w:bookmarkEnd w:id="155"/>
    <w:p>
      <w:pPr>
        <w:spacing w:after="0" w:line="35" w:lineRule="exact"/>
        <w:rPr>
          <w:sz w:val="20"/>
          <w:szCs w:val="20"/>
          <w:color w:val="auto"/>
        </w:rPr>
      </w:pPr>
    </w:p>
    <w:p>
      <w:pPr>
        <w:ind w:right="100"/>
        <w:spacing w:after="0" w:line="275" w:lineRule="auto"/>
        <w:rPr>
          <w:sz w:val="20"/>
          <w:szCs w:val="20"/>
          <w:color w:val="auto"/>
        </w:rPr>
      </w:pPr>
      <w:r>
        <w:rPr>
          <w:rFonts w:ascii="Arial" w:cs="Arial" w:eastAsia="Arial" w:hAnsi="Arial"/>
          <w:sz w:val="19"/>
          <w:szCs w:val="19"/>
          <w:color w:val="auto"/>
        </w:rPr>
        <w:t xml:space="preserve">provided through insurance maintained by the Company under the Company benefit plans. Such benefits shall be provided in a manner that complies with Treasury Regulation Section 1.409A-1(a)(5). Notwithstanding the foregoing, if the Company determines in its sole discretion that it cannot provide the foregoing benefit without potentially violating applicable law (including, without limitation, Section 2716 of the Public Health Service Act), the Company shall in lieu thereof provide to the Executive a taxable monthly payment in an amount equal to the monthly premium that the Executive would be required to pay to continue the Executive’s and his covered dependents’ group insurance coverages under COBRA as in effect on the Date of Termination (which amount shall be based on the premiums for the first month of COBRA coverage);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the Executive is a Specified Employee on the Date of Termination, then such payments shall be paid as provided in Section 9 hereof.</w:t>
      </w:r>
    </w:p>
    <w:p>
      <w:pPr>
        <w:spacing w:after="0" w:line="145" w:lineRule="exact"/>
        <w:rPr>
          <w:sz w:val="20"/>
          <w:szCs w:val="20"/>
          <w:color w:val="auto"/>
        </w:rPr>
      </w:pPr>
    </w:p>
    <w:p>
      <w:pPr>
        <w:ind w:right="20" w:firstLine="1305"/>
        <w:spacing w:after="0" w:line="247" w:lineRule="auto"/>
        <w:tabs>
          <w:tab w:leader="none" w:pos="1945" w:val="left"/>
        </w:tabs>
        <w:numPr>
          <w:ilvl w:val="0"/>
          <w:numId w:val="217"/>
        </w:numPr>
        <w:rPr>
          <w:rFonts w:ascii="Arial" w:cs="Arial" w:eastAsia="Arial" w:hAnsi="Arial"/>
          <w:sz w:val="21"/>
          <w:szCs w:val="21"/>
          <w:color w:val="auto"/>
        </w:rPr>
      </w:pPr>
      <w:r>
        <w:rPr>
          <w:rFonts w:ascii="Arial" w:cs="Arial" w:eastAsia="Arial" w:hAnsi="Arial"/>
          <w:sz w:val="21"/>
          <w:szCs w:val="21"/>
          <w:u w:val="single" w:color="auto"/>
          <w:color w:val="auto"/>
        </w:rPr>
        <w:t>Outplacement Services</w:t>
      </w:r>
      <w:r>
        <w:rPr>
          <w:rFonts w:ascii="Arial" w:cs="Arial" w:eastAsia="Arial" w:hAnsi="Arial"/>
          <w:sz w:val="21"/>
          <w:szCs w:val="21"/>
          <w:color w:val="auto"/>
        </w:rPr>
        <w:t>. The Executive shall receive reasonable outplacement services, on an in-kind basis, suitable to his position and directly related to the Executive’s Involuntary Termination, for a period of eighteen (18) months following the date of Involuntary Termination (but in no event beyond the last day of the Executive’s second taxable year following the Executive’s taxable year in which the Involuntary Termination occurs), in the aggregate amount of cost to the Company not to exceed $50,000. Notwithstanding the foregoing, the Executive shall cease to receive outplacement services on the date the Executive accepts employment with a subsequent employer. Such outplacement services shall be provided in a manner that complies with Treasury Regulation Section 1.409A-1(b)(9)(v)(A).</w:t>
      </w:r>
    </w:p>
    <w:p>
      <w:pPr>
        <w:spacing w:after="0" w:line="178" w:lineRule="exact"/>
        <w:rPr>
          <w:rFonts w:ascii="Arial" w:cs="Arial" w:eastAsia="Arial" w:hAnsi="Arial"/>
          <w:sz w:val="21"/>
          <w:szCs w:val="21"/>
          <w:color w:val="auto"/>
        </w:rPr>
      </w:pPr>
    </w:p>
    <w:p>
      <w:pPr>
        <w:ind w:firstLine="1305"/>
        <w:spacing w:after="0" w:line="244" w:lineRule="auto"/>
        <w:tabs>
          <w:tab w:leader="none" w:pos="1945" w:val="left"/>
        </w:tabs>
        <w:numPr>
          <w:ilvl w:val="0"/>
          <w:numId w:val="217"/>
        </w:numPr>
        <w:rPr>
          <w:rFonts w:ascii="Arial" w:cs="Arial" w:eastAsia="Arial" w:hAnsi="Arial"/>
          <w:sz w:val="21"/>
          <w:szCs w:val="21"/>
          <w:color w:val="auto"/>
        </w:rPr>
      </w:pPr>
      <w:r>
        <w:rPr>
          <w:rFonts w:ascii="Arial" w:cs="Arial" w:eastAsia="Arial" w:hAnsi="Arial"/>
          <w:sz w:val="21"/>
          <w:szCs w:val="21"/>
          <w:u w:val="single" w:color="auto"/>
          <w:color w:val="auto"/>
        </w:rPr>
        <w:t>Financial Planning Services</w:t>
      </w:r>
      <w:r>
        <w:rPr>
          <w:rFonts w:ascii="Arial" w:cs="Arial" w:eastAsia="Arial" w:hAnsi="Arial"/>
          <w:sz w:val="21"/>
          <w:szCs w:val="21"/>
          <w:color w:val="auto"/>
        </w:rPr>
        <w:t xml:space="preserve">. The Executive shall receive financial planning services, on an in-kind basis, for a period of eighteen (18) months following the date of Involuntary Termination. Such financial planning services shall include expert financial and legal resources to assist the Executive with financial planning needs and shall be limited to (i) current investment portfolio management, (ii) tax planning, (iii) tax return preparation, and (iv) estate planning advice and document preparation (including wills and trusts);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Company shall provide such financial services during any taxable year of the Executive only to the extent the cost to the Company for such taxable year does not exceed [</w:t>
      </w:r>
      <w:r>
        <w:rPr>
          <w:rFonts w:ascii="Arial" w:cs="Arial" w:eastAsia="Arial" w:hAnsi="Arial"/>
          <w:sz w:val="21"/>
          <w:szCs w:val="21"/>
          <w:i w:val="1"/>
          <w:iCs w:val="1"/>
          <w:color w:val="auto"/>
        </w:rPr>
        <w:t>$25,000</w:t>
      </w:r>
      <w:r>
        <w:rPr>
          <w:rFonts w:ascii="Arial" w:cs="Arial" w:eastAsia="Arial" w:hAnsi="Arial"/>
          <w:sz w:val="21"/>
          <w:szCs w:val="21"/>
          <w:color w:val="auto"/>
        </w:rPr>
        <w:t>]. The Company shall provide such financial planning services through a financial planner selected by the Company, and shall pay the fees for such financial planning services. The financial planning services provided during any taxable year of the Executive shall not affect the financial planning services provided in any other taxable year of the Executive. The Executive’s right to financial planning services shall not be subject to liquidation or exchange for any other benefit. Such financial planning services shall be provided in a manner that complies with Section 1.409A-3(i)(1)(iv).</w:t>
      </w:r>
    </w:p>
    <w:p>
      <w:pPr>
        <w:spacing w:after="0" w:line="176" w:lineRule="exact"/>
        <w:rPr>
          <w:rFonts w:ascii="Arial" w:cs="Arial" w:eastAsia="Arial" w:hAnsi="Arial"/>
          <w:sz w:val="21"/>
          <w:szCs w:val="21"/>
          <w:color w:val="auto"/>
        </w:rPr>
      </w:pPr>
    </w:p>
    <w:p>
      <w:pPr>
        <w:ind w:right="80" w:firstLine="1305"/>
        <w:spacing w:after="0" w:line="275" w:lineRule="auto"/>
        <w:tabs>
          <w:tab w:leader="none" w:pos="1945" w:val="left"/>
        </w:tabs>
        <w:numPr>
          <w:ilvl w:val="0"/>
          <w:numId w:val="217"/>
        </w:numPr>
        <w:rPr>
          <w:rFonts w:ascii="Arial" w:cs="Arial" w:eastAsia="Arial" w:hAnsi="Arial"/>
          <w:sz w:val="19"/>
          <w:szCs w:val="19"/>
          <w:color w:val="auto"/>
        </w:rPr>
      </w:pPr>
      <w:r>
        <w:rPr>
          <w:rFonts w:ascii="Arial" w:cs="Arial" w:eastAsia="Arial" w:hAnsi="Arial"/>
          <w:sz w:val="19"/>
          <w:szCs w:val="19"/>
          <w:u w:val="single" w:color="auto"/>
          <w:color w:val="auto"/>
        </w:rPr>
        <w:t>Involuntary Termination in Connection with a Change in Control</w:t>
      </w:r>
      <w:r>
        <w:rPr>
          <w:rFonts w:ascii="Arial" w:cs="Arial" w:eastAsia="Arial" w:hAnsi="Arial"/>
          <w:sz w:val="19"/>
          <w:szCs w:val="19"/>
          <w:color w:val="auto"/>
        </w:rPr>
        <w:t>. Notwithstanding anything contained herein, in the event of an Involuntary Termination prior to a Change in Control, if the Involuntary Termination (1) was at the request of a third party who has taken steps reasonably calculated to effect such Change in Control or (2) otherwise arose in connection with or in anticipation of such Change in Control, then the Executive shall, in lieu of the payments described in Section 4 hereof, be entitled to the Post-Change in Control Severance Payment and the additional benefits described in this Section 5 as if such Involuntary Termination had occurred within two (2) years following the Change in Control. The amounts specified in Section 5 that are to be paid under this Section 5(g) shall be reduced by any amount previously paid under Section 4. The amounts to be paid under this Section 5(g) shall be paid within sixty (60) days after the Change in Control Date of such Change in Control.</w:t>
      </w:r>
    </w:p>
    <w:p>
      <w:pPr>
        <w:spacing w:after="0" w:line="144" w:lineRule="exact"/>
        <w:rPr>
          <w:rFonts w:ascii="Arial" w:cs="Arial" w:eastAsia="Arial" w:hAnsi="Arial"/>
          <w:sz w:val="19"/>
          <w:szCs w:val="19"/>
          <w:color w:val="auto"/>
        </w:rPr>
      </w:pPr>
    </w:p>
    <w:p>
      <w:pPr>
        <w:ind w:right="140" w:firstLine="1305"/>
        <w:spacing w:after="0" w:line="297" w:lineRule="auto"/>
        <w:tabs>
          <w:tab w:leader="none" w:pos="1945" w:val="left"/>
        </w:tabs>
        <w:numPr>
          <w:ilvl w:val="0"/>
          <w:numId w:val="217"/>
        </w:numPr>
        <w:rPr>
          <w:rFonts w:ascii="Arial" w:cs="Arial" w:eastAsia="Arial" w:hAnsi="Arial"/>
          <w:sz w:val="19"/>
          <w:szCs w:val="19"/>
          <w:color w:val="auto"/>
        </w:rPr>
      </w:pPr>
      <w:r>
        <w:rPr>
          <w:rFonts w:ascii="Arial" w:cs="Arial" w:eastAsia="Arial" w:hAnsi="Arial"/>
          <w:sz w:val="19"/>
          <w:szCs w:val="19"/>
          <w:u w:val="single" w:color="auto"/>
          <w:color w:val="auto"/>
        </w:rPr>
        <w:t>Deferral of Payments</w:t>
      </w:r>
      <w:r>
        <w:rPr>
          <w:rFonts w:ascii="Arial" w:cs="Arial" w:eastAsia="Arial" w:hAnsi="Arial"/>
          <w:sz w:val="19"/>
          <w:szCs w:val="19"/>
          <w:color w:val="auto"/>
        </w:rPr>
        <w:t>. The Executive shall have the right to elect to defer the Post-Change in Control Severance Payment and the Pro Rata Bonus to be received by the Executive pursuant to this Section 5 under the terms and conditions of the Deferred Compensation Plan. Any such deferral election shall be made in accordance with Section 18(b) hereof.</w:t>
      </w:r>
    </w:p>
    <w:p>
      <w:pPr>
        <w:spacing w:after="0" w:line="128" w:lineRule="exact"/>
        <w:rPr>
          <w:sz w:val="20"/>
          <w:szCs w:val="20"/>
          <w:color w:val="auto"/>
        </w:rPr>
      </w:pPr>
    </w:p>
    <w:p>
      <w:pPr>
        <w:ind w:right="120" w:firstLine="1297"/>
        <w:spacing w:after="0" w:line="239" w:lineRule="auto"/>
        <w:rPr>
          <w:sz w:val="20"/>
          <w:szCs w:val="20"/>
          <w:color w:val="auto"/>
        </w:rPr>
      </w:pPr>
      <w:r>
        <w:rPr>
          <w:rFonts w:ascii="Arial" w:cs="Arial" w:eastAsia="Arial" w:hAnsi="Arial"/>
          <w:sz w:val="22"/>
          <w:szCs w:val="22"/>
          <w:b w:val="1"/>
          <w:bCs w:val="1"/>
          <w:color w:val="auto"/>
        </w:rPr>
        <w:t xml:space="preserve">Section 6. </w:t>
      </w:r>
      <w:r>
        <w:rPr>
          <w:rFonts w:ascii="Arial" w:cs="Arial" w:eastAsia="Arial" w:hAnsi="Arial"/>
          <w:sz w:val="22"/>
          <w:szCs w:val="22"/>
          <w:u w:val="single" w:color="auto"/>
          <w:color w:val="auto"/>
        </w:rPr>
        <w:t>Severance Benefits upon Termination by the Company for Cause or by the Executive Other than for</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Good Reason</w:t>
      </w:r>
      <w:r>
        <w:rPr>
          <w:rFonts w:ascii="Arial" w:cs="Arial" w:eastAsia="Arial" w:hAnsi="Arial"/>
          <w:sz w:val="22"/>
          <w:szCs w:val="22"/>
          <w:color w:val="auto"/>
        </w:rPr>
        <w:t>. If the Executive’s employment shall be terminated for Cause, or if the Executive terminates employment other than for Good Reason, the Company shall have no further obligations to the Executive under this Agreement other than the Accrued Obligations and any amounts or benefits described in Section 10 hereof.</w:t>
      </w:r>
    </w:p>
    <w:p>
      <w:pPr>
        <w:spacing w:after="0" w:line="173" w:lineRule="exact"/>
        <w:rPr>
          <w:sz w:val="20"/>
          <w:szCs w:val="20"/>
          <w:color w:val="auto"/>
        </w:rPr>
      </w:pPr>
    </w:p>
    <w:p>
      <w:pPr>
        <w:ind w:firstLine="1297"/>
        <w:spacing w:after="0" w:line="272" w:lineRule="auto"/>
        <w:rPr>
          <w:sz w:val="20"/>
          <w:szCs w:val="20"/>
          <w:color w:val="auto"/>
        </w:rPr>
      </w:pPr>
      <w:r>
        <w:rPr>
          <w:rFonts w:ascii="Arial" w:cs="Arial" w:eastAsia="Arial" w:hAnsi="Arial"/>
          <w:sz w:val="19"/>
          <w:szCs w:val="19"/>
          <w:b w:val="1"/>
          <w:bCs w:val="1"/>
          <w:color w:val="auto"/>
        </w:rPr>
        <w:t xml:space="preserve">Section 7. </w:t>
      </w:r>
      <w:r>
        <w:rPr>
          <w:rFonts w:ascii="Arial" w:cs="Arial" w:eastAsia="Arial" w:hAnsi="Arial"/>
          <w:sz w:val="19"/>
          <w:szCs w:val="19"/>
          <w:u w:val="single" w:color="auto"/>
          <w:color w:val="auto"/>
        </w:rPr>
        <w:t>Severance Benefits upon Termination due to Death or Disability</w:t>
      </w:r>
      <w:r>
        <w:rPr>
          <w:rFonts w:ascii="Arial" w:cs="Arial" w:eastAsia="Arial" w:hAnsi="Arial"/>
          <w:sz w:val="19"/>
          <w:szCs w:val="19"/>
          <w:color w:val="auto"/>
        </w:rPr>
        <w:t>. If the Executive has a Separation</w:t>
      </w:r>
      <w:r>
        <w:rPr>
          <w:rFonts w:ascii="Arial" w:cs="Arial" w:eastAsia="Arial" w:hAnsi="Arial"/>
          <w:sz w:val="19"/>
          <w:szCs w:val="19"/>
          <w:b w:val="1"/>
          <w:bCs w:val="1"/>
          <w:color w:val="auto"/>
        </w:rPr>
        <w:t xml:space="preserve"> </w:t>
      </w:r>
      <w:r>
        <w:rPr>
          <w:rFonts w:ascii="Arial" w:cs="Arial" w:eastAsia="Arial" w:hAnsi="Arial"/>
          <w:sz w:val="19"/>
          <w:szCs w:val="19"/>
          <w:color w:val="auto"/>
        </w:rPr>
        <w:t>from Service by reason of death or Disability, the Company shall pay the Executive or his estate, as the case may be, the Accrued Obligations and the Pro Rata Bonus (without regard to whether a Change in Control has occurred) and any amounts or benefits described in Section 10 hereof. Such payments shall be in addition to those rights and benefits to which the Executive or his estate may be entitled under the relevant Company plans or programs. The Company's obligation to pay the Pro Rata Bonus is conditioned upon the Executive, the Executive's representative or the Executive's estate, as the case may be executing the Release within fifty (50) days after the date of Executive's Separation from Service and not revoking such Release in accordance with the terms thereof. The Accrued Obligations shall be paid within the time required by law and the Pro Rata Bonus shall be paid on such date as determined by the Company within sixty (60) days after the date of the Separation from Service but not before the Release becomes effective and irrevocable. If the fifty (50) day period in which the Release could become effective spans more than one taxable year, then the Pro Rata Bonus shall not be made until the later taxable year. Notwithstanding the foregoing, if the Executive is a Specified Employee on the date of the Executive’s Separation from Service, the Pro Rata Bonus shall be paid as provided in Section 9 hereof.</w:t>
      </w:r>
    </w:p>
    <w:p>
      <w:pPr>
        <w:spacing w:after="0" w:line="39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19"/>
          <w:szCs w:val="19"/>
          <w:u w:val="single" w:color="auto"/>
          <w:color w:val="auto"/>
        </w:rPr>
        <w:t>Limitation on Payments by the Company</w:t>
      </w:r>
      <w:r>
        <w:rPr>
          <w:rFonts w:ascii="Arial" w:cs="Arial" w:eastAsia="Arial" w:hAnsi="Arial"/>
          <w:sz w:val="19"/>
          <w:szCs w:val="19"/>
          <w:color w:val="auto"/>
        </w:rPr>
        <w:t>.</w:t>
      </w:r>
    </w:p>
    <w:p>
      <w:pPr>
        <w:spacing w:after="0" w:line="206" w:lineRule="exact"/>
        <w:rPr>
          <w:sz w:val="20"/>
          <w:szCs w:val="20"/>
          <w:color w:val="auto"/>
        </w:rPr>
      </w:pPr>
    </w:p>
    <w:p>
      <w:pPr>
        <w:ind w:firstLine="1305"/>
        <w:spacing w:after="0" w:line="279" w:lineRule="auto"/>
        <w:tabs>
          <w:tab w:leader="none" w:pos="1945" w:val="left"/>
        </w:tabs>
        <w:numPr>
          <w:ilvl w:val="0"/>
          <w:numId w:val="218"/>
        </w:numPr>
        <w:rPr>
          <w:rFonts w:ascii="Arial" w:cs="Arial" w:eastAsia="Arial" w:hAnsi="Arial"/>
          <w:sz w:val="19"/>
          <w:szCs w:val="19"/>
          <w:color w:val="auto"/>
        </w:rPr>
      </w:pPr>
      <w:r>
        <w:rPr>
          <w:rFonts w:ascii="Arial" w:cs="Arial" w:eastAsia="Arial" w:hAnsi="Arial"/>
          <w:sz w:val="19"/>
          <w:szCs w:val="19"/>
          <w:color w:val="auto"/>
        </w:rPr>
        <w:t>Anything in this Agreement to the contrary notwithstanding and except as set forth in this Section 8 below, in the event it shall be determined that any payment or distribution in the nature of compensation (within the meaning of Section 280G(b)(2) of the Code) to or for the benefit of the Executive, whether paid or payable pursuant to this Agreement or otherwise (the “</w:t>
      </w:r>
      <w:r>
        <w:rPr>
          <w:rFonts w:ascii="Arial" w:cs="Arial" w:eastAsia="Arial" w:hAnsi="Arial"/>
          <w:sz w:val="19"/>
          <w:szCs w:val="19"/>
          <w:u w:val="single" w:color="auto"/>
          <w:color w:val="auto"/>
        </w:rPr>
        <w:t>Payment</w:t>
      </w:r>
      <w:r>
        <w:rPr>
          <w:rFonts w:ascii="Arial" w:cs="Arial" w:eastAsia="Arial" w:hAnsi="Arial"/>
          <w:sz w:val="19"/>
          <w:szCs w:val="19"/>
          <w:color w:val="auto"/>
        </w:rPr>
        <w:t>”) would be subject (in whole or in part)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subject to subsection (b), the Pre-Change in Control Severance Benefit or the Post-Change in Control Severance Payment (whichever is applicable) payable under this Agreement shall be reduced under this subsection (a) to the amount equal to the</w:t>
      </w:r>
    </w:p>
    <w:p>
      <w:pPr>
        <w:sectPr>
          <w:pgSz w:w="11900" w:h="16874" w:orient="portrait"/>
          <w:cols w:equalWidth="0" w:num="1">
            <w:col w:w="11420"/>
          </w:cols>
          <w:pgMar w:left="240" w:top="118" w:right="239" w:bottom="0" w:gutter="0" w:footer="0" w:header="0"/>
        </w:sectPr>
      </w:pPr>
    </w:p>
    <w:bookmarkStart w:id="156" w:name="page157"/>
    <w:bookmarkEnd w:id="156"/>
    <w:p>
      <w:pPr>
        <w:ind w:right="260"/>
        <w:spacing w:after="0" w:line="241" w:lineRule="auto"/>
        <w:rPr>
          <w:sz w:val="20"/>
          <w:szCs w:val="20"/>
          <w:color w:val="auto"/>
        </w:rPr>
      </w:pPr>
      <w:r>
        <w:rPr>
          <w:rFonts w:ascii="Arial" w:cs="Arial" w:eastAsia="Arial" w:hAnsi="Arial"/>
          <w:sz w:val="22"/>
          <w:szCs w:val="22"/>
          <w:color w:val="auto"/>
        </w:rPr>
        <w:t>Reduced Payment. For such Payment payable under this Agreement, the “</w:t>
      </w:r>
      <w:r>
        <w:rPr>
          <w:rFonts w:ascii="Arial" w:cs="Arial" w:eastAsia="Arial" w:hAnsi="Arial"/>
          <w:sz w:val="22"/>
          <w:szCs w:val="22"/>
          <w:u w:val="single" w:color="auto"/>
          <w:color w:val="auto"/>
        </w:rPr>
        <w:t>Reduced Payment</w:t>
      </w:r>
      <w:r>
        <w:rPr>
          <w:rFonts w:ascii="Arial" w:cs="Arial" w:eastAsia="Arial" w:hAnsi="Arial"/>
          <w:sz w:val="22"/>
          <w:szCs w:val="22"/>
          <w:color w:val="auto"/>
        </w:rPr>
        <w:t>” shall be the amount equal to the greatest portion of the Payment (which may be zero) that, if paid, would result in no portion of any Payment being subject to the Excise Tax.</w:t>
      </w:r>
    </w:p>
    <w:p>
      <w:pPr>
        <w:spacing w:after="0" w:line="170" w:lineRule="exact"/>
        <w:rPr>
          <w:sz w:val="20"/>
          <w:szCs w:val="20"/>
          <w:color w:val="auto"/>
        </w:rPr>
      </w:pPr>
    </w:p>
    <w:p>
      <w:pPr>
        <w:ind w:right="60" w:firstLine="1305"/>
        <w:spacing w:after="0" w:line="251" w:lineRule="auto"/>
        <w:tabs>
          <w:tab w:leader="none" w:pos="1945" w:val="left"/>
        </w:tabs>
        <w:numPr>
          <w:ilvl w:val="0"/>
          <w:numId w:val="219"/>
        </w:numPr>
        <w:rPr>
          <w:rFonts w:ascii="Arial" w:cs="Arial" w:eastAsia="Arial" w:hAnsi="Arial"/>
          <w:sz w:val="22"/>
          <w:szCs w:val="22"/>
          <w:color w:val="auto"/>
        </w:rPr>
      </w:pPr>
      <w:r>
        <w:rPr>
          <w:rFonts w:ascii="Arial" w:cs="Arial" w:eastAsia="Arial" w:hAnsi="Arial"/>
          <w:sz w:val="22"/>
          <w:szCs w:val="22"/>
          <w:color w:val="auto"/>
        </w:rPr>
        <w:t>The Pre-Change in Control Severance Benefit or the Post-Change in Control Severance Payment (whichever is applicable) payable under this Agreement shall not be reduced under subsection (a) if:</w:t>
      </w:r>
    </w:p>
    <w:p>
      <w:pPr>
        <w:spacing w:after="0" w:line="173" w:lineRule="exact"/>
        <w:rPr>
          <w:rFonts w:ascii="Arial" w:cs="Arial" w:eastAsia="Arial" w:hAnsi="Arial"/>
          <w:sz w:val="22"/>
          <w:szCs w:val="22"/>
          <w:color w:val="auto"/>
        </w:rPr>
      </w:pPr>
    </w:p>
    <w:p>
      <w:pPr>
        <w:ind w:left="3240" w:hanging="639"/>
        <w:spacing w:after="0"/>
        <w:tabs>
          <w:tab w:leader="none" w:pos="3240" w:val="left"/>
        </w:tabs>
        <w:numPr>
          <w:ilvl w:val="1"/>
          <w:numId w:val="219"/>
        </w:numPr>
        <w:rPr>
          <w:rFonts w:ascii="Arial" w:cs="Arial" w:eastAsia="Arial" w:hAnsi="Arial"/>
          <w:sz w:val="19"/>
          <w:szCs w:val="19"/>
          <w:color w:val="auto"/>
        </w:rPr>
      </w:pPr>
      <w:r>
        <w:rPr>
          <w:rFonts w:ascii="Arial" w:cs="Arial" w:eastAsia="Arial" w:hAnsi="Arial"/>
          <w:sz w:val="19"/>
          <w:szCs w:val="19"/>
          <w:color w:val="auto"/>
        </w:rPr>
        <w:t>such reduction in such Payment is not sufficient to cause no portion of any Payment to be</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subject to the Excise Tax, or</w:t>
      </w:r>
    </w:p>
    <w:p>
      <w:pPr>
        <w:spacing w:after="0" w:line="174" w:lineRule="exact"/>
        <w:rPr>
          <w:rFonts w:ascii="Arial" w:cs="Arial" w:eastAsia="Arial" w:hAnsi="Arial"/>
          <w:sz w:val="19"/>
          <w:szCs w:val="19"/>
          <w:color w:val="auto"/>
        </w:rPr>
      </w:pPr>
    </w:p>
    <w:p>
      <w:pPr>
        <w:ind w:left="660" w:right="720" w:firstLine="1941"/>
        <w:spacing w:after="0" w:line="274" w:lineRule="auto"/>
        <w:tabs>
          <w:tab w:leader="none" w:pos="3253" w:val="left"/>
        </w:tabs>
        <w:numPr>
          <w:ilvl w:val="1"/>
          <w:numId w:val="219"/>
        </w:numPr>
        <w:rPr>
          <w:rFonts w:ascii="Arial" w:cs="Arial" w:eastAsia="Arial" w:hAnsi="Arial"/>
          <w:sz w:val="21"/>
          <w:szCs w:val="21"/>
          <w:color w:val="auto"/>
        </w:rPr>
      </w:pPr>
      <w:r>
        <w:rPr>
          <w:rFonts w:ascii="Arial" w:cs="Arial" w:eastAsia="Arial" w:hAnsi="Arial"/>
          <w:sz w:val="21"/>
          <w:szCs w:val="21"/>
          <w:color w:val="auto"/>
        </w:rPr>
        <w:t>the Net After-Tax Unreduced Payments (as defined below) would equal or exceed one hundred and five percent (105%) of the Net After-Tax Reduced Payments (as defined below).</w:t>
      </w:r>
    </w:p>
    <w:p>
      <w:pPr>
        <w:spacing w:after="0" w:line="151" w:lineRule="exact"/>
        <w:rPr>
          <w:sz w:val="20"/>
          <w:szCs w:val="20"/>
          <w:color w:val="auto"/>
        </w:rPr>
      </w:pPr>
    </w:p>
    <w:p>
      <w:pPr>
        <w:ind w:right="200"/>
        <w:spacing w:after="0" w:line="279" w:lineRule="auto"/>
        <w:rPr>
          <w:sz w:val="20"/>
          <w:szCs w:val="20"/>
          <w:color w:val="auto"/>
        </w:rPr>
      </w:pPr>
      <w:r>
        <w:rPr>
          <w:rFonts w:ascii="Arial" w:cs="Arial" w:eastAsia="Arial" w:hAnsi="Arial"/>
          <w:sz w:val="19"/>
          <w:szCs w:val="19"/>
          <w:color w:val="auto"/>
        </w:rPr>
        <w:t>For purposes of determining the amount of any Reduced Payment under subsection (a), and the Net-After Tax Reduced Payments and the Net After-Tax Unreduced Payments, the Executive shall be considered to pay federal, state and local income and employment taxes at the Executive’s applicable marginal rates taking into consideration any reduction in federal income taxes which could be obtained from the deduction of state and local income taxes, and any reduction or disallowance of itemized deductions and personal exemptions under applicable tax law). The applicable federal, state and local income and employment taxes and the Excise Tax (to the extent applicable) are collectively referred to as the “</w:t>
      </w:r>
      <w:r>
        <w:rPr>
          <w:rFonts w:ascii="Arial" w:cs="Arial" w:eastAsia="Arial" w:hAnsi="Arial"/>
          <w:sz w:val="19"/>
          <w:szCs w:val="19"/>
          <w:u w:val="single" w:color="auto"/>
          <w:color w:val="auto"/>
        </w:rPr>
        <w:t>Taxes</w:t>
      </w:r>
      <w:r>
        <w:rPr>
          <w:rFonts w:ascii="Arial" w:cs="Arial" w:eastAsia="Arial" w:hAnsi="Arial"/>
          <w:sz w:val="19"/>
          <w:szCs w:val="19"/>
          <w:color w:val="auto"/>
        </w:rPr>
        <w:t>”.</w:t>
      </w:r>
    </w:p>
    <w:p>
      <w:pPr>
        <w:spacing w:after="0" w:line="137" w:lineRule="exact"/>
        <w:rPr>
          <w:sz w:val="20"/>
          <w:szCs w:val="20"/>
          <w:color w:val="auto"/>
        </w:rPr>
      </w:pPr>
    </w:p>
    <w:p>
      <w:pPr>
        <w:ind w:left="1960" w:hanging="655"/>
        <w:spacing w:after="0"/>
        <w:tabs>
          <w:tab w:leader="none" w:pos="1960" w:val="left"/>
        </w:tabs>
        <w:numPr>
          <w:ilvl w:val="0"/>
          <w:numId w:val="220"/>
        </w:numPr>
        <w:rPr>
          <w:rFonts w:ascii="Arial" w:cs="Arial" w:eastAsia="Arial" w:hAnsi="Arial"/>
          <w:sz w:val="22"/>
          <w:szCs w:val="22"/>
          <w:color w:val="auto"/>
        </w:rPr>
      </w:pPr>
      <w:r>
        <w:rPr>
          <w:rFonts w:ascii="Arial" w:cs="Arial" w:eastAsia="Arial" w:hAnsi="Arial"/>
          <w:sz w:val="22"/>
          <w:szCs w:val="22"/>
          <w:color w:val="auto"/>
        </w:rPr>
        <w:t>The following definitions shall apply for purposes of this Section 8:</w:t>
      </w:r>
    </w:p>
    <w:p>
      <w:pPr>
        <w:spacing w:after="0" w:line="206" w:lineRule="exact"/>
        <w:rPr>
          <w:rFonts w:ascii="Arial" w:cs="Arial" w:eastAsia="Arial" w:hAnsi="Arial"/>
          <w:sz w:val="22"/>
          <w:szCs w:val="22"/>
          <w:color w:val="auto"/>
        </w:rPr>
      </w:pPr>
    </w:p>
    <w:p>
      <w:pPr>
        <w:ind w:left="660" w:right="80" w:firstLine="1941"/>
        <w:spacing w:after="0"/>
        <w:tabs>
          <w:tab w:leader="none" w:pos="3253" w:val="left"/>
        </w:tabs>
        <w:numPr>
          <w:ilvl w:val="1"/>
          <w:numId w:val="220"/>
        </w:numPr>
        <w:rPr>
          <w:rFonts w:ascii="Arial" w:cs="Arial" w:eastAsia="Arial" w:hAnsi="Arial"/>
          <w:sz w:val="22"/>
          <w:szCs w:val="22"/>
          <w:color w:val="auto"/>
        </w:rPr>
      </w:pPr>
      <w:r>
        <w:rPr>
          <w:rFonts w:ascii="Arial" w:cs="Arial" w:eastAsia="Arial" w:hAnsi="Arial"/>
          <w:sz w:val="22"/>
          <w:szCs w:val="22"/>
          <w:color w:val="auto"/>
        </w:rPr>
        <w:t>“Net After-Tax Reduced Payments” shall mean the total amount of all Payments that the Executive would retain, on a Net After-Tax Basis, in the event that the Payments payable under this Agreement are reduced pursuant to subsection (a).</w:t>
      </w:r>
    </w:p>
    <w:p>
      <w:pPr>
        <w:spacing w:after="0" w:line="172" w:lineRule="exact"/>
        <w:rPr>
          <w:rFonts w:ascii="Arial" w:cs="Arial" w:eastAsia="Arial" w:hAnsi="Arial"/>
          <w:sz w:val="22"/>
          <w:szCs w:val="22"/>
          <w:color w:val="auto"/>
        </w:rPr>
      </w:pPr>
    </w:p>
    <w:p>
      <w:pPr>
        <w:ind w:left="660" w:right="340" w:firstLine="1941"/>
        <w:spacing w:after="0"/>
        <w:tabs>
          <w:tab w:leader="none" w:pos="3253" w:val="left"/>
        </w:tabs>
        <w:numPr>
          <w:ilvl w:val="1"/>
          <w:numId w:val="220"/>
        </w:numPr>
        <w:rPr>
          <w:rFonts w:ascii="Arial" w:cs="Arial" w:eastAsia="Arial" w:hAnsi="Arial"/>
          <w:sz w:val="22"/>
          <w:szCs w:val="22"/>
          <w:color w:val="auto"/>
        </w:rPr>
      </w:pPr>
      <w:r>
        <w:rPr>
          <w:rFonts w:ascii="Arial" w:cs="Arial" w:eastAsia="Arial" w:hAnsi="Arial"/>
          <w:sz w:val="22"/>
          <w:szCs w:val="22"/>
          <w:color w:val="auto"/>
        </w:rPr>
        <w:t>“Net After-Tax Unreduced Payments” shall mean the total amount of all Payments that the Executive would retain, on a Net After-Tax Basis, in the event that the Payments payable under this Agreement are not reduced pursuant to subsection (a).</w:t>
      </w:r>
    </w:p>
    <w:p>
      <w:pPr>
        <w:spacing w:after="0" w:line="172" w:lineRule="exact"/>
        <w:rPr>
          <w:rFonts w:ascii="Arial" w:cs="Arial" w:eastAsia="Arial" w:hAnsi="Arial"/>
          <w:sz w:val="22"/>
          <w:szCs w:val="22"/>
          <w:color w:val="auto"/>
        </w:rPr>
      </w:pPr>
    </w:p>
    <w:p>
      <w:pPr>
        <w:ind w:left="660" w:right="440" w:firstLine="1941"/>
        <w:spacing w:after="0"/>
        <w:tabs>
          <w:tab w:leader="none" w:pos="3253" w:val="left"/>
        </w:tabs>
        <w:numPr>
          <w:ilvl w:val="1"/>
          <w:numId w:val="220"/>
        </w:numPr>
        <w:rPr>
          <w:rFonts w:ascii="Arial" w:cs="Arial" w:eastAsia="Arial" w:hAnsi="Arial"/>
          <w:sz w:val="22"/>
          <w:szCs w:val="22"/>
          <w:color w:val="auto"/>
        </w:rPr>
      </w:pPr>
      <w:r>
        <w:rPr>
          <w:rFonts w:ascii="Arial" w:cs="Arial" w:eastAsia="Arial" w:hAnsi="Arial"/>
          <w:sz w:val="22"/>
          <w:szCs w:val="22"/>
          <w:color w:val="auto"/>
        </w:rPr>
        <w:t>“Net After-Tax Basis” shall mean, with respect to the Payments, either with or without reduction under subsection (a) (as applicable), the amount that would be retained by the Executive from such Payments after the payment of all Taxes.</w:t>
      </w:r>
    </w:p>
    <w:p>
      <w:pPr>
        <w:spacing w:after="0" w:line="186" w:lineRule="exact"/>
        <w:rPr>
          <w:rFonts w:ascii="Arial" w:cs="Arial" w:eastAsia="Arial" w:hAnsi="Arial"/>
          <w:sz w:val="22"/>
          <w:szCs w:val="22"/>
          <w:color w:val="auto"/>
        </w:rPr>
      </w:pPr>
    </w:p>
    <w:p>
      <w:pPr>
        <w:ind w:right="80" w:firstLine="1305"/>
        <w:spacing w:after="0" w:line="270" w:lineRule="auto"/>
        <w:tabs>
          <w:tab w:leader="none" w:pos="1945" w:val="left"/>
        </w:tabs>
        <w:numPr>
          <w:ilvl w:val="0"/>
          <w:numId w:val="220"/>
        </w:numPr>
        <w:rPr>
          <w:rFonts w:ascii="Arial" w:cs="Arial" w:eastAsia="Arial" w:hAnsi="Arial"/>
          <w:sz w:val="19"/>
          <w:szCs w:val="19"/>
          <w:color w:val="auto"/>
        </w:rPr>
      </w:pPr>
      <w:r>
        <w:rPr>
          <w:rFonts w:ascii="Arial" w:cs="Arial" w:eastAsia="Arial" w:hAnsi="Arial"/>
          <w:sz w:val="19"/>
          <w:szCs w:val="19"/>
          <w:color w:val="auto"/>
        </w:rPr>
        <w:t>All determinations required to be made under this Section 8 and the assumptions to be utilized in arriving at such determinations, shall be made by a nationally recognized accounting firm as may be agreed by the Company and the Executive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that the Accounting Firm’s determination shall be made based upon “substantial authority” within the meaning of Section 6662 of the Code. The Accounting Firm shall provide detailed supporting calculations to both the Company and the Executive within fifteen (15) business days of the receipt of notice from the Executive that there has been a Payment or such earlier time as is requested by the Company. All fees and expenses of the Accounting Firm shall be borne solely by the Company. Any determination by the Accounting Firm shall be binding upon the Company and the Executive. For purposes of determining whether and the extent to which the Payments will be subject to the Excise Tax, (i) no portion of the Payments the receipt or enjoyment of which the Executive shall have waived at such time and in such manner as not to constitute a “payment” within the meaning of Section 280G(b) of the Code shall be taken into account, (ii) no portion of the Payments shall be taken into account which, in the written opinion of the Accounting Firm, does not constitute a “parachute payment” within the meaning of Section 280G(b)(2) of the Code (including by reason of Section 280G(b)(4)(A) of the Code) and, in calculating the Excise Tax, no portion of such Payments shall be taken into account which, in the opinion of the Accounting Firm,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Payments shall be determined by the Accounting Firm in accordance with the principles of Sections 280G(d)(3) and (4) of the Code.</w:t>
      </w:r>
    </w:p>
    <w:p>
      <w:pPr>
        <w:spacing w:after="0" w:line="200" w:lineRule="exact"/>
        <w:rPr>
          <w:sz w:val="20"/>
          <w:szCs w:val="20"/>
          <w:color w:val="auto"/>
        </w:rPr>
      </w:pPr>
    </w:p>
    <w:p>
      <w:pPr>
        <w:spacing w:after="0" w:line="202" w:lineRule="exact"/>
        <w:rPr>
          <w:sz w:val="20"/>
          <w:szCs w:val="20"/>
          <w:color w:val="auto"/>
        </w:rPr>
      </w:pPr>
    </w:p>
    <w:p>
      <w:pPr>
        <w:ind w:firstLine="1297"/>
        <w:spacing w:after="0" w:line="272" w:lineRule="auto"/>
        <w:rPr>
          <w:sz w:val="20"/>
          <w:szCs w:val="20"/>
          <w:color w:val="auto"/>
        </w:rPr>
      </w:pPr>
      <w:r>
        <w:rPr>
          <w:rFonts w:ascii="Arial" w:cs="Arial" w:eastAsia="Arial" w:hAnsi="Arial"/>
          <w:sz w:val="19"/>
          <w:szCs w:val="19"/>
          <w:b w:val="1"/>
          <w:bCs w:val="1"/>
          <w:color w:val="auto"/>
        </w:rPr>
        <w:t xml:space="preserve">Section 9. </w:t>
      </w:r>
      <w:r>
        <w:rPr>
          <w:rFonts w:ascii="Arial" w:cs="Arial" w:eastAsia="Arial" w:hAnsi="Arial"/>
          <w:sz w:val="19"/>
          <w:szCs w:val="19"/>
          <w:u w:val="single" w:color="auto"/>
          <w:color w:val="auto"/>
        </w:rPr>
        <w:t>Delayed Distribution under Section 409A of the Code</w:t>
      </w:r>
      <w:r>
        <w:rPr>
          <w:rFonts w:ascii="Arial" w:cs="Arial" w:eastAsia="Arial" w:hAnsi="Arial"/>
          <w:sz w:val="19"/>
          <w:szCs w:val="19"/>
          <w:color w:val="auto"/>
        </w:rPr>
        <w:t>. If the Executive is a Specified Employee on</w:t>
      </w:r>
      <w:r>
        <w:rPr>
          <w:rFonts w:ascii="Arial" w:cs="Arial" w:eastAsia="Arial" w:hAnsi="Arial"/>
          <w:sz w:val="19"/>
          <w:szCs w:val="19"/>
          <w:b w:val="1"/>
          <w:bCs w:val="1"/>
          <w:color w:val="auto"/>
        </w:rPr>
        <w:t xml:space="preserve"> </w:t>
      </w:r>
      <w:r>
        <w:rPr>
          <w:rFonts w:ascii="Arial" w:cs="Arial" w:eastAsia="Arial" w:hAnsi="Arial"/>
          <w:sz w:val="19"/>
          <w:szCs w:val="19"/>
          <w:color w:val="auto"/>
        </w:rPr>
        <w:t>the date of the Executive’s Involuntary Termination (or on the date of the Executive’s Separation from Service by reason of Disability), the Section 409A Payments, and any other payments or benefits under this Agreement subject to Section 409A of the Code, shall be delayed in order to avoid a prohibited distribution under Section 409A(a)(2)(B)(i) of the Code, and such payments or benefits shall be paid or distributed to the Executive during the thirty (30) day period commencing on the earlier of (a) the expiration of the six-month period measured from the date of the Executive’s Separation from Service or (b) the date of the Executive’s death. Upon the expiration of the applicable six-month period under Section 409A(a)(2)(B)(i) of the Code, all payments deferred pursuant to this Section 9 (excluding in-kind benefits) shall be paid in a lump sum payment to the Executive, plus interest thereon from the date of the Executive’s Involuntary Termination through the payment date at an annual rate equal to Moody’s Rate. The “</w:t>
      </w:r>
      <w:r>
        <w:rPr>
          <w:rFonts w:ascii="Arial" w:cs="Arial" w:eastAsia="Arial" w:hAnsi="Arial"/>
          <w:sz w:val="19"/>
          <w:szCs w:val="19"/>
          <w:u w:val="single" w:color="auto"/>
          <w:color w:val="auto"/>
        </w:rPr>
        <w:t>Moody’s Rate</w:t>
      </w:r>
      <w:r>
        <w:rPr>
          <w:rFonts w:ascii="Arial" w:cs="Arial" w:eastAsia="Arial" w:hAnsi="Arial"/>
          <w:sz w:val="19"/>
          <w:szCs w:val="19"/>
          <w:color w:val="auto"/>
        </w:rPr>
        <w:t>” shall mean the average of the daily Moody’s Corporate Bond Yield Average – Monthly Average Corporates as published by Moody’s Investors Service, Inc. (or any successor) for the month next preceding the Date of Termination. Any remaining payments due under the Agreement shall be paid as otherwise provided herein.</w:t>
      </w:r>
    </w:p>
    <w:p>
      <w:pPr>
        <w:spacing w:after="0" w:line="148" w:lineRule="exact"/>
        <w:rPr>
          <w:sz w:val="20"/>
          <w:szCs w:val="20"/>
          <w:color w:val="auto"/>
        </w:rPr>
      </w:pPr>
    </w:p>
    <w:p>
      <w:pPr>
        <w:ind w:right="460" w:firstLine="1297"/>
        <w:spacing w:after="0" w:line="287" w:lineRule="auto"/>
        <w:rPr>
          <w:sz w:val="20"/>
          <w:szCs w:val="20"/>
          <w:color w:val="auto"/>
        </w:rPr>
      </w:pPr>
      <w:r>
        <w:rPr>
          <w:rFonts w:ascii="Arial" w:cs="Arial" w:eastAsia="Arial" w:hAnsi="Arial"/>
          <w:sz w:val="19"/>
          <w:szCs w:val="19"/>
          <w:b w:val="1"/>
          <w:bCs w:val="1"/>
          <w:color w:val="auto"/>
        </w:rPr>
        <w:t xml:space="preserve">Section 10. </w:t>
      </w:r>
      <w:r>
        <w:rPr>
          <w:rFonts w:ascii="Arial" w:cs="Arial" w:eastAsia="Arial" w:hAnsi="Arial"/>
          <w:sz w:val="19"/>
          <w:szCs w:val="19"/>
          <w:u w:val="single" w:color="auto"/>
          <w:color w:val="auto"/>
        </w:rPr>
        <w:t>Nonexclusivity of Rights</w:t>
      </w:r>
      <w:r>
        <w:rPr>
          <w:rFonts w:ascii="Arial" w:cs="Arial" w:eastAsia="Arial" w:hAnsi="Arial"/>
          <w:sz w:val="19"/>
          <w:szCs w:val="19"/>
          <w:color w:val="auto"/>
        </w:rPr>
        <w:t>. Nothing in this Agreement shall prevent or limit the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continuing or future participation in any benefit, plan, program, policy or practice provided by the Company and for which the Executive may qualify (except with respect to any benefit to which the Executive has waived his rights in writing), including, without limitation, any and all indemnification arrangements in favor of the Executive (whether under agreements or under the</w:t>
      </w:r>
    </w:p>
    <w:p>
      <w:pPr>
        <w:sectPr>
          <w:pgSz w:w="11900" w:h="16838" w:orient="portrait"/>
          <w:cols w:equalWidth="0" w:num="1">
            <w:col w:w="11420"/>
          </w:cols>
          <w:pgMar w:left="240" w:top="118" w:right="239" w:bottom="0" w:gutter="0" w:footer="0" w:header="0"/>
        </w:sectPr>
      </w:pPr>
    </w:p>
    <w:bookmarkStart w:id="157" w:name="page158"/>
    <w:bookmarkEnd w:id="157"/>
    <w:p>
      <w:pPr>
        <w:ind w:right="80"/>
        <w:spacing w:after="0" w:line="273" w:lineRule="auto"/>
        <w:rPr>
          <w:sz w:val="20"/>
          <w:szCs w:val="20"/>
          <w:color w:val="auto"/>
        </w:rPr>
      </w:pPr>
      <w:r>
        <w:rPr>
          <w:rFonts w:ascii="Arial" w:cs="Arial" w:eastAsia="Arial" w:hAnsi="Arial"/>
          <w:sz w:val="19"/>
          <w:szCs w:val="19"/>
          <w:color w:val="auto"/>
        </w:rPr>
        <w:t>Company’s charter documents or otherwise), and insurance policies covering the Executive, nor shall anything herein limit or otherwise affect such rights as the Executive may have under any other contract or agreement entered into after the Effective Date with the Company. Amounts which are vested benefits or which the Executive is otherwise entitled to receive under any benefit, plan, policy, practice or program of, or any contract or agreement entered into with, the Company shall be payable in accordance with such benefit, plan, policy, practice or program or contract or agreement except as explicitly modified by this Agreement. At all times during the Executive’s employment with the Company and thereafter, the Company shall provide (to the extent permissible under applicable law) the Executive with indemnification and D&amp;O insurance insuring the Executive against insurable events which occur or have occurred while the Executive was a director or the Executive officer of the Company, on terms and conditions that are at least as generous as that then provided to any other current or former director or the Executive officer of the Company or any Affiliate. Such indemnification and D&amp;O insurance shall be provided in a manner that complies with Treasury Regulation Section 1.409A-1(b)(10).</w:t>
      </w:r>
    </w:p>
    <w:p>
      <w:pPr>
        <w:spacing w:after="0" w:line="392" w:lineRule="exact"/>
        <w:rPr>
          <w:sz w:val="20"/>
          <w:szCs w:val="20"/>
          <w:color w:val="auto"/>
        </w:rPr>
      </w:pPr>
    </w:p>
    <w:p>
      <w:pPr>
        <w:ind w:right="60" w:firstLine="1297"/>
        <w:spacing w:after="0" w:line="252" w:lineRule="auto"/>
        <w:rPr>
          <w:sz w:val="20"/>
          <w:szCs w:val="20"/>
          <w:color w:val="auto"/>
        </w:rPr>
      </w:pPr>
      <w:r>
        <w:rPr>
          <w:rFonts w:ascii="Arial" w:cs="Arial" w:eastAsia="Arial" w:hAnsi="Arial"/>
          <w:sz w:val="21"/>
          <w:szCs w:val="21"/>
          <w:b w:val="1"/>
          <w:bCs w:val="1"/>
          <w:color w:val="auto"/>
        </w:rPr>
        <w:t xml:space="preserve">Section 11. </w:t>
      </w:r>
      <w:r>
        <w:rPr>
          <w:rFonts w:ascii="Arial" w:cs="Arial" w:eastAsia="Arial" w:hAnsi="Arial"/>
          <w:sz w:val="21"/>
          <w:szCs w:val="21"/>
          <w:u w:val="single" w:color="auto"/>
          <w:color w:val="auto"/>
        </w:rPr>
        <w:t>Clawbacks</w:t>
      </w:r>
      <w:r>
        <w:rPr>
          <w:rFonts w:ascii="Arial" w:cs="Arial" w:eastAsia="Arial" w:hAnsi="Arial"/>
          <w:sz w:val="21"/>
          <w:szCs w:val="21"/>
          <w:color w:val="auto"/>
        </w:rPr>
        <w:t>. Notwithstanding anything herein to the contrary, if the Company determines, in its good</w:t>
      </w:r>
      <w:r>
        <w:rPr>
          <w:rFonts w:ascii="Arial" w:cs="Arial" w:eastAsia="Arial" w:hAnsi="Arial"/>
          <w:sz w:val="21"/>
          <w:szCs w:val="21"/>
          <w:b w:val="1"/>
          <w:bCs w:val="1"/>
          <w:color w:val="auto"/>
        </w:rPr>
        <w:t xml:space="preserve"> </w:t>
      </w:r>
      <w:r>
        <w:rPr>
          <w:rFonts w:ascii="Arial" w:cs="Arial" w:eastAsia="Arial" w:hAnsi="Arial"/>
          <w:sz w:val="21"/>
          <w:szCs w:val="21"/>
          <w:color w:val="auto"/>
        </w:rPr>
        <w:t>faith judgment, that if the Executive is required to forfeit or to make any repayment of any compensation or benefit(s) to the Company under the Sarbanes-Oxley Act of 2002 or pursuant to the Dodd-Frank Wall Street Reform and Consumer Protection Act or any other law, such forfeiture or repayment shall not constitute Good Reason.</w:t>
      </w:r>
    </w:p>
    <w:p>
      <w:pPr>
        <w:spacing w:after="0" w:line="168" w:lineRule="exact"/>
        <w:rPr>
          <w:sz w:val="20"/>
          <w:szCs w:val="20"/>
          <w:color w:val="auto"/>
        </w:rPr>
      </w:pPr>
    </w:p>
    <w:p>
      <w:pPr>
        <w:ind w:right="100" w:firstLine="1297"/>
        <w:spacing w:after="0" w:line="278" w:lineRule="auto"/>
        <w:rPr>
          <w:sz w:val="20"/>
          <w:szCs w:val="20"/>
          <w:color w:val="auto"/>
        </w:rPr>
      </w:pPr>
      <w:r>
        <w:rPr>
          <w:rFonts w:ascii="Arial" w:cs="Arial" w:eastAsia="Arial" w:hAnsi="Arial"/>
          <w:sz w:val="19"/>
          <w:szCs w:val="19"/>
          <w:b w:val="1"/>
          <w:bCs w:val="1"/>
          <w:color w:val="auto"/>
        </w:rPr>
        <w:t xml:space="preserve">Section 12. </w:t>
      </w:r>
      <w:r>
        <w:rPr>
          <w:rFonts w:ascii="Arial" w:cs="Arial" w:eastAsia="Arial" w:hAnsi="Arial"/>
          <w:sz w:val="19"/>
          <w:szCs w:val="19"/>
          <w:u w:val="single" w:color="auto"/>
          <w:color w:val="auto"/>
        </w:rPr>
        <w:t>Full Settlement; Mitigation</w:t>
      </w:r>
      <w:r>
        <w:rPr>
          <w:rFonts w:ascii="Arial" w:cs="Arial" w:eastAsia="Arial" w:hAnsi="Arial"/>
          <w:sz w:val="19"/>
          <w:szCs w:val="19"/>
          <w:color w:val="auto"/>
        </w:rPr>
        <w:t>. The Company’s obligation to make the payments provided for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otherwise to perform its obligations hereunder shall not be affected by any set-off, counterclaim, recoupment, defense or other claim, right or action which the Company may have against the Executive or others, provided that nothing herein shall preclude the Company from separately pursuing recovery from the Executive based on any such claim. In no event shall the Executive be obligated to seek other employment or take any other action by way of mitigation of the amounts (including amounts for damages for breach) payable to the Executive under any of the provisions of this Agreement, and such amounts shall not be reduced whether or not the Executive obtains other employment.</w:t>
      </w:r>
    </w:p>
    <w:p>
      <w:pPr>
        <w:spacing w:after="0" w:line="13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13.</w:t>
      </w:r>
      <w:r>
        <w:rPr>
          <w:sz w:val="20"/>
          <w:szCs w:val="20"/>
          <w:color w:val="auto"/>
        </w:rPr>
        <w:tab/>
      </w:r>
      <w:r>
        <w:rPr>
          <w:rFonts w:ascii="Arial" w:cs="Arial" w:eastAsia="Arial" w:hAnsi="Arial"/>
          <w:sz w:val="19"/>
          <w:szCs w:val="19"/>
          <w:u w:val="single" w:color="auto"/>
          <w:color w:val="auto"/>
        </w:rPr>
        <w:t>Dispute Resolution</w:t>
      </w:r>
      <w:r>
        <w:rPr>
          <w:rFonts w:ascii="Arial" w:cs="Arial" w:eastAsia="Arial" w:hAnsi="Arial"/>
          <w:sz w:val="19"/>
          <w:szCs w:val="19"/>
          <w:color w:val="auto"/>
        </w:rPr>
        <w:t>.</w:t>
      </w:r>
    </w:p>
    <w:p>
      <w:pPr>
        <w:spacing w:after="0" w:line="193" w:lineRule="exact"/>
        <w:rPr>
          <w:sz w:val="20"/>
          <w:szCs w:val="20"/>
          <w:color w:val="auto"/>
        </w:rPr>
      </w:pPr>
    </w:p>
    <w:p>
      <w:pPr>
        <w:ind w:firstLine="1305"/>
        <w:spacing w:after="0" w:line="282" w:lineRule="auto"/>
        <w:tabs>
          <w:tab w:leader="none" w:pos="1945" w:val="left"/>
        </w:tabs>
        <w:numPr>
          <w:ilvl w:val="0"/>
          <w:numId w:val="221"/>
        </w:numPr>
        <w:rPr>
          <w:rFonts w:ascii="Arial" w:cs="Arial" w:eastAsia="Arial" w:hAnsi="Arial"/>
          <w:sz w:val="19"/>
          <w:szCs w:val="19"/>
          <w:color w:val="auto"/>
        </w:rPr>
      </w:pPr>
      <w:r>
        <w:rPr>
          <w:rFonts w:ascii="Arial" w:cs="Arial" w:eastAsia="Arial" w:hAnsi="Arial"/>
          <w:sz w:val="19"/>
          <w:szCs w:val="19"/>
          <w:color w:val="auto"/>
        </w:rPr>
        <w:t>If any dispute arises between Executive and the Company, including, but not limited to, disputes relating to or arising out of this Agreement, any action relating to or arising out of my employment or its termination, and/or any disputes regarding the interpretation, enforceability, or validity of this Agreement (“Arbitrable Dispute”), Executive and the Company waive the right to resolve the dispute through litigation in a judicial forum and agree to resolve the Arbitrable Dispute through final and binding arbitration, except as prohibited by law. Arbitration shall be the exclusive remedy for any Arbitrable Dispute.</w:t>
      </w:r>
    </w:p>
    <w:p>
      <w:pPr>
        <w:spacing w:after="0" w:line="147" w:lineRule="exact"/>
        <w:rPr>
          <w:rFonts w:ascii="Arial" w:cs="Arial" w:eastAsia="Arial" w:hAnsi="Arial"/>
          <w:sz w:val="19"/>
          <w:szCs w:val="19"/>
          <w:color w:val="auto"/>
        </w:rPr>
      </w:pPr>
    </w:p>
    <w:p>
      <w:pPr>
        <w:ind w:right="200" w:firstLine="1305"/>
        <w:spacing w:after="0" w:line="287" w:lineRule="auto"/>
        <w:tabs>
          <w:tab w:leader="none" w:pos="1945" w:val="left"/>
        </w:tabs>
        <w:numPr>
          <w:ilvl w:val="0"/>
          <w:numId w:val="221"/>
        </w:numPr>
        <w:rPr>
          <w:rFonts w:ascii="Arial" w:cs="Arial" w:eastAsia="Arial" w:hAnsi="Arial"/>
          <w:sz w:val="19"/>
          <w:szCs w:val="19"/>
          <w:color w:val="auto"/>
        </w:rPr>
      </w:pPr>
      <w:r>
        <w:rPr>
          <w:rFonts w:ascii="Arial" w:cs="Arial" w:eastAsia="Arial" w:hAnsi="Arial"/>
          <w:sz w:val="19"/>
          <w:szCs w:val="19"/>
          <w:color w:val="auto"/>
        </w:rPr>
        <w:t>As to any Arbitrable Dispute, the Company and Executive waive any right to a jury trial or a court bench trial. The Company and Executive also waive the right to bring, maintain, or participate in any class, collective, or representative proceeding, whether in arbitration or otherwise. Further, Arbitrable Disputes must be brought in the individual capacity of the party asserting the claim, and cannot be maintained on a class, collective, or representative basis.</w:t>
      </w:r>
    </w:p>
    <w:p>
      <w:pPr>
        <w:spacing w:after="0" w:line="129" w:lineRule="exact"/>
        <w:rPr>
          <w:rFonts w:ascii="Arial" w:cs="Arial" w:eastAsia="Arial" w:hAnsi="Arial"/>
          <w:sz w:val="19"/>
          <w:szCs w:val="19"/>
          <w:color w:val="auto"/>
        </w:rPr>
      </w:pPr>
    </w:p>
    <w:p>
      <w:pPr>
        <w:ind w:right="40" w:firstLine="1305"/>
        <w:spacing w:after="0" w:line="277" w:lineRule="auto"/>
        <w:tabs>
          <w:tab w:leader="none" w:pos="1945" w:val="left"/>
        </w:tabs>
        <w:numPr>
          <w:ilvl w:val="0"/>
          <w:numId w:val="221"/>
        </w:numPr>
        <w:rPr>
          <w:rFonts w:ascii="Arial" w:cs="Arial" w:eastAsia="Arial" w:hAnsi="Arial"/>
          <w:sz w:val="19"/>
          <w:szCs w:val="19"/>
          <w:color w:val="auto"/>
        </w:rPr>
      </w:pPr>
      <w:r>
        <w:rPr>
          <w:rFonts w:ascii="Arial" w:cs="Arial" w:eastAsia="Arial" w:hAnsi="Arial"/>
          <w:sz w:val="19"/>
          <w:szCs w:val="19"/>
          <w:color w:val="auto"/>
        </w:rPr>
        <w:t>Arbitration shall take place at the office of the Judicial Arbitration and Mediation Service (“JAMS”) (or, if Executive is employed outside of California, the American Arbitration Association (“AAA”)) nearest to the location where Executive last worked for the Company. Except to the extent it conflicts with the rules and procedures set forth in this Arbitration Agreement, arbitration shall be conducted in accordance with the JAMs Employment Arbitration Rules &amp; Procedures (if Executive is employed outside of California, the AAA Employment Arbitration Rules &amp; Mediation Procedures), copies of which are attached for my reference and available at www.jamsadr.com; tel: 800.352.5267 and www.adr.org; tel: 800.778.7879, before a single experienced, neutral employment arbitrator selected in accordance with those rules.</w:t>
      </w:r>
    </w:p>
    <w:p>
      <w:pPr>
        <w:spacing w:after="0" w:line="139" w:lineRule="exact"/>
        <w:rPr>
          <w:rFonts w:ascii="Arial" w:cs="Arial" w:eastAsia="Arial" w:hAnsi="Arial"/>
          <w:sz w:val="19"/>
          <w:szCs w:val="19"/>
          <w:color w:val="auto"/>
        </w:rPr>
      </w:pPr>
    </w:p>
    <w:p>
      <w:pPr>
        <w:ind w:right="260" w:firstLine="1305"/>
        <w:spacing w:after="0" w:line="287" w:lineRule="auto"/>
        <w:tabs>
          <w:tab w:leader="none" w:pos="1945" w:val="left"/>
        </w:tabs>
        <w:numPr>
          <w:ilvl w:val="0"/>
          <w:numId w:val="221"/>
        </w:numPr>
        <w:rPr>
          <w:rFonts w:ascii="Arial" w:cs="Arial" w:eastAsia="Arial" w:hAnsi="Arial"/>
          <w:sz w:val="19"/>
          <w:szCs w:val="19"/>
          <w:color w:val="auto"/>
        </w:rPr>
      </w:pPr>
      <w:r>
        <w:rPr>
          <w:rFonts w:ascii="Arial" w:cs="Arial" w:eastAsia="Arial" w:hAnsi="Arial"/>
          <w:sz w:val="19"/>
          <w:szCs w:val="19"/>
          <w:color w:val="auto"/>
        </w:rPr>
        <w:t>The Company will be responsible for paying any filing fee and the fees and costs of the arbitrator. Each party shall pay its own attorneys’ fees. However, if any party prevails on a statutory claim that authorizes an award of attorneys’ fees to the prevailing party, or if there is a written agreement providing for attorneys’ fees, the arbitrator may award reasonable attorneys’ fees to the prevailing party, applying the same standards a court would apply under the law applicable to the claim.</w:t>
      </w:r>
    </w:p>
    <w:p>
      <w:pPr>
        <w:spacing w:after="0" w:line="143" w:lineRule="exact"/>
        <w:rPr>
          <w:rFonts w:ascii="Arial" w:cs="Arial" w:eastAsia="Arial" w:hAnsi="Arial"/>
          <w:sz w:val="19"/>
          <w:szCs w:val="19"/>
          <w:color w:val="auto"/>
        </w:rPr>
      </w:pPr>
    </w:p>
    <w:p>
      <w:pPr>
        <w:ind w:right="100" w:firstLine="1305"/>
        <w:spacing w:after="0" w:line="279" w:lineRule="auto"/>
        <w:tabs>
          <w:tab w:leader="none" w:pos="1945" w:val="left"/>
        </w:tabs>
        <w:numPr>
          <w:ilvl w:val="0"/>
          <w:numId w:val="221"/>
        </w:numPr>
        <w:rPr>
          <w:rFonts w:ascii="Arial" w:cs="Arial" w:eastAsia="Arial" w:hAnsi="Arial"/>
          <w:sz w:val="19"/>
          <w:szCs w:val="19"/>
          <w:color w:val="auto"/>
        </w:rPr>
      </w:pPr>
      <w:r>
        <w:rPr>
          <w:rFonts w:ascii="Arial" w:cs="Arial" w:eastAsia="Arial" w:hAnsi="Arial"/>
          <w:sz w:val="19"/>
          <w:szCs w:val="19"/>
          <w:color w:val="auto"/>
        </w:rPr>
        <w:t>The arbitrator shall apply the Federal Rules of Evidence, shall have the authority to entertain a motion to dismiss or a motion for summary judgment by any party, and shall apply the standards governing such motions under the Federal Rules of Civil Procedure. The arbitrator does not have the authority to consider, certify, or hear an arbitration as a class action, collective action, or any other type of representative action. The Company and Executive recognize that this Agreement arises out of or concerns interstate commerce and that the Federal Arbitration Act shall govern the arbitration and shall govern the interpretation or enforcement of this Arbitration Agreement or any arbitration award.</w:t>
      </w:r>
    </w:p>
    <w:p>
      <w:pPr>
        <w:spacing w:after="0" w:line="137" w:lineRule="exact"/>
        <w:rPr>
          <w:rFonts w:ascii="Arial" w:cs="Arial" w:eastAsia="Arial" w:hAnsi="Arial"/>
          <w:sz w:val="19"/>
          <w:szCs w:val="19"/>
          <w:color w:val="auto"/>
        </w:rPr>
      </w:pPr>
    </w:p>
    <w:p>
      <w:pPr>
        <w:ind w:right="240" w:firstLine="1305"/>
        <w:spacing w:after="0" w:line="251" w:lineRule="auto"/>
        <w:tabs>
          <w:tab w:leader="none" w:pos="1945" w:val="left"/>
        </w:tabs>
        <w:numPr>
          <w:ilvl w:val="0"/>
          <w:numId w:val="221"/>
        </w:numPr>
        <w:rPr>
          <w:rFonts w:ascii="Arial" w:cs="Arial" w:eastAsia="Arial" w:hAnsi="Arial"/>
          <w:sz w:val="22"/>
          <w:szCs w:val="22"/>
          <w:color w:val="auto"/>
        </w:rPr>
      </w:pPr>
      <w:r>
        <w:rPr>
          <w:rFonts w:ascii="Arial" w:cs="Arial" w:eastAsia="Arial" w:hAnsi="Arial"/>
          <w:sz w:val="22"/>
          <w:szCs w:val="22"/>
          <w:color w:val="auto"/>
        </w:rPr>
        <w:t>EXECUTIVE ACKNOWLEDGES THAT BY ENTERING INTO THIS AGREEMENT, EXECUTIVE IS WAIVING ANY RIGHT HE OR SHE MAY HAVE TO A TRIAL BY JURY.</w:t>
      </w:r>
    </w:p>
    <w:p>
      <w:pPr>
        <w:spacing w:after="0" w:line="16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14.</w:t>
      </w:r>
      <w:r>
        <w:rPr>
          <w:sz w:val="20"/>
          <w:szCs w:val="20"/>
          <w:color w:val="auto"/>
        </w:rPr>
        <w:tab/>
      </w:r>
      <w:r>
        <w:rPr>
          <w:rFonts w:ascii="Arial" w:cs="Arial" w:eastAsia="Arial" w:hAnsi="Arial"/>
          <w:sz w:val="19"/>
          <w:szCs w:val="19"/>
          <w:u w:val="single" w:color="auto"/>
          <w:color w:val="auto"/>
        </w:rPr>
        <w:t>Executive’s Covenants</w:t>
      </w:r>
      <w:r>
        <w:rPr>
          <w:rFonts w:ascii="Arial" w:cs="Arial" w:eastAsia="Arial" w:hAnsi="Arial"/>
          <w:sz w:val="19"/>
          <w:szCs w:val="19"/>
          <w:color w:val="auto"/>
        </w:rPr>
        <w:t>.</w:t>
      </w:r>
    </w:p>
    <w:p>
      <w:pPr>
        <w:spacing w:after="0" w:line="206" w:lineRule="exact"/>
        <w:rPr>
          <w:sz w:val="20"/>
          <w:szCs w:val="20"/>
          <w:color w:val="auto"/>
        </w:rPr>
      </w:pPr>
    </w:p>
    <w:p>
      <w:pPr>
        <w:ind w:right="40" w:firstLine="1305"/>
        <w:spacing w:after="0" w:line="279" w:lineRule="auto"/>
        <w:tabs>
          <w:tab w:leader="none" w:pos="1945" w:val="left"/>
        </w:tabs>
        <w:numPr>
          <w:ilvl w:val="0"/>
          <w:numId w:val="222"/>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The Executive acknowledges that in the course of his employment with the Company, he has acquired non-public privileged or confidential information and trade secrets concerning the operations, future plans and methods of doing business (“</w:t>
      </w:r>
      <w:r>
        <w:rPr>
          <w:rFonts w:ascii="Arial" w:cs="Arial" w:eastAsia="Arial" w:hAnsi="Arial"/>
          <w:sz w:val="19"/>
          <w:szCs w:val="19"/>
          <w:u w:val="single" w:color="auto"/>
          <w:color w:val="auto"/>
        </w:rPr>
        <w:t>Proprietary Information</w:t>
      </w:r>
      <w:r>
        <w:rPr>
          <w:rFonts w:ascii="Arial" w:cs="Arial" w:eastAsia="Arial" w:hAnsi="Arial"/>
          <w:sz w:val="19"/>
          <w:szCs w:val="19"/>
          <w:color w:val="auto"/>
        </w:rPr>
        <w:t>”) of the Company and its Affiliates; and the Executive agrees that it would be extremely damaging to the Company and its Affiliates if such Proprietary Information were disclosed to a competitor of the Company and its Affiliates or to any other person or corporation. The Executive understands and agrees that all Proprietary Information has been divulged to the Executive in confidence and further understands and agrees to keep all Proprietary</w:t>
      </w:r>
    </w:p>
    <w:p>
      <w:pPr>
        <w:sectPr>
          <w:pgSz w:w="11900" w:h="16838" w:orient="portrait"/>
          <w:cols w:equalWidth="0" w:num="1">
            <w:col w:w="11400"/>
          </w:cols>
          <w:pgMar w:left="240" w:top="118" w:right="259" w:bottom="0" w:gutter="0" w:footer="0" w:header="0"/>
        </w:sectPr>
      </w:pPr>
    </w:p>
    <w:bookmarkStart w:id="158" w:name="page159"/>
    <w:bookmarkEnd w:id="158"/>
    <w:p>
      <w:pPr>
        <w:ind w:right="80"/>
        <w:spacing w:after="0" w:line="273" w:lineRule="auto"/>
        <w:rPr>
          <w:sz w:val="20"/>
          <w:szCs w:val="20"/>
          <w:color w:val="auto"/>
        </w:rPr>
      </w:pPr>
      <w:r>
        <w:rPr>
          <w:rFonts w:ascii="Arial" w:cs="Arial" w:eastAsia="Arial" w:hAnsi="Arial"/>
          <w:sz w:val="19"/>
          <w:szCs w:val="19"/>
          <w:color w:val="auto"/>
        </w:rPr>
        <w:t xml:space="preserve">Information secret and confidential (except for such information which is or becomes publicly available other than as a result of a breach by the Executive of this provision or information the Executive is required by any governmental, administrative or court order to disclose) without limitation in time. In view of the nature of the Executive’s employment and the Proprietary Information the Executive has acquired during the course of such employment, the Executive likewise agrees that the Company and its Affiliates would be irreparably harmed by any disclosure of Proprietary Information in violation of the terms of this paragraph and that the Company and its Affiliates shall therefore be entitled to preliminary and/or permanent injunctive relief prohibiting the Executive from engaging in any activity or threatened activity in violation of the terms of this paragraph and to any other relief available to them. Inquiries regarding whether specific information constitutes Proprietary Information shall be directed to the Company’s Senior Vice President, Public Policy (or, if such position is vacant, the Company’s then Chief Executive Officer); </w:t>
      </w:r>
      <w:r>
        <w:rPr>
          <w:rFonts w:ascii="Arial" w:cs="Arial" w:eastAsia="Arial" w:hAnsi="Arial"/>
          <w:sz w:val="19"/>
          <w:szCs w:val="19"/>
          <w:i w:val="1"/>
          <w:iCs w:val="1"/>
          <w:color w:val="auto"/>
        </w:rPr>
        <w:t>provided</w:t>
      </w:r>
      <w:r>
        <w:rPr>
          <w:rFonts w:ascii="Arial" w:cs="Arial" w:eastAsia="Arial" w:hAnsi="Arial"/>
          <w:sz w:val="19"/>
          <w:szCs w:val="19"/>
          <w:color w:val="auto"/>
        </w:rPr>
        <w:t>, that the Company shall not unreasonably classify information as Proprietary Information.</w:t>
      </w:r>
    </w:p>
    <w:p>
      <w:pPr>
        <w:spacing w:after="0" w:line="149" w:lineRule="exact"/>
        <w:rPr>
          <w:sz w:val="20"/>
          <w:szCs w:val="20"/>
          <w:color w:val="auto"/>
        </w:rPr>
      </w:pPr>
    </w:p>
    <w:p>
      <w:pPr>
        <w:ind w:firstLine="1305"/>
        <w:spacing w:after="0" w:line="270" w:lineRule="auto"/>
        <w:tabs>
          <w:tab w:leader="none" w:pos="1945" w:val="left"/>
        </w:tabs>
        <w:numPr>
          <w:ilvl w:val="0"/>
          <w:numId w:val="223"/>
        </w:numPr>
        <w:rPr>
          <w:rFonts w:ascii="Arial" w:cs="Arial" w:eastAsia="Arial" w:hAnsi="Arial"/>
          <w:sz w:val="19"/>
          <w:szCs w:val="19"/>
          <w:color w:val="auto"/>
        </w:rPr>
      </w:pPr>
      <w:r>
        <w:rPr>
          <w:rFonts w:ascii="Arial" w:cs="Arial" w:eastAsia="Arial" w:hAnsi="Arial"/>
          <w:sz w:val="19"/>
          <w:szCs w:val="19"/>
          <w:u w:val="single" w:color="auto"/>
          <w:color w:val="auto"/>
        </w:rPr>
        <w:t>Non-Solicitation of Employees</w:t>
      </w:r>
      <w:r>
        <w:rPr>
          <w:rFonts w:ascii="Arial" w:cs="Arial" w:eastAsia="Arial" w:hAnsi="Arial"/>
          <w:sz w:val="19"/>
          <w:szCs w:val="19"/>
          <w:color w:val="auto"/>
        </w:rPr>
        <w:t xml:space="preserve">. The Executive recognizes that he possesses and will possess confidential information about other employees of the Company and its Affiliates relating to their education, experience, skills, abilities, compensation and benefits, and inter-personal relationships with customers of the Company and its Affiliates. The Executive recognizes that the information he possesses and will possess about these other employees is not generally known, is of substantial value to the Company and its Affiliates in developing their business and in securing and retaining customers, and has been and will be acquired by him because of his business position with the Company and its Affiliates. The Executive agrees that at all times during the Executive’s employment with the Company and for a period of one (1) year thereafter, he will not, directly or indirectly, solicit or recruit any employee of the Company or its Affiliates for the purpose of being employed by him or by any competitor of the Company or its Affiliates on whose behalf he is acting as an agent, representative or employee and that he will not convey any such confidential information or trade secrets about other employees of the Company and its Affiliates to any other person; </w:t>
      </w:r>
      <w:r>
        <w:rPr>
          <w:rFonts w:ascii="Arial" w:cs="Arial" w:eastAsia="Arial" w:hAnsi="Arial"/>
          <w:sz w:val="19"/>
          <w:szCs w:val="19"/>
          <w:i w:val="1"/>
          <w:iCs w:val="1"/>
          <w:color w:val="auto"/>
        </w:rPr>
        <w:t>provided, however</w:t>
      </w:r>
      <w:r>
        <w:rPr>
          <w:rFonts w:ascii="Arial" w:cs="Arial" w:eastAsia="Arial" w:hAnsi="Arial"/>
          <w:sz w:val="19"/>
          <w:szCs w:val="19"/>
          <w:color w:val="auto"/>
        </w:rPr>
        <w:t>, that it shall not constitute a solicitation or recruitment of employment in violation of this paragraph to discuss</w:t>
      </w:r>
      <w:r>
        <w:rPr>
          <w:rFonts w:ascii="Arial" w:cs="Arial" w:eastAsia="Arial" w:hAnsi="Arial"/>
          <w:sz w:val="19"/>
          <w:szCs w:val="19"/>
          <w:i w:val="1"/>
          <w:iCs w:val="1"/>
          <w:color w:val="auto"/>
        </w:rPr>
        <w:t xml:space="preserve"> </w:t>
      </w:r>
      <w:r>
        <w:rPr>
          <w:rFonts w:ascii="Arial" w:cs="Arial" w:eastAsia="Arial" w:hAnsi="Arial"/>
          <w:sz w:val="19"/>
          <w:szCs w:val="19"/>
          <w:color w:val="auto"/>
        </w:rPr>
        <w:t>employment opportunities with any employee of the Company or its Affiliates who has either first contacted the Executive or regarding whose employment the Executive has discussed with and received the written approval of the Company’s Vice President, Human Resources (or, if such position is vacant, the Company’s then Chief Executive Officer), prior to making such solicitation or recruitment. In view of the nature of the Executive’s employment with the Company, the Executive likewise agrees that the Company and its Affiliates would be irreparably harmed by any solicitation or recruitment in violation of the terms of this paragraph and that the Company and its Affiliates shall therefore be entitled to preliminary and/or permanent injunctive relief prohibiting the Executive from engaging in any activity or threatened activity in violation of the terms of this paragraph and to any other relief available to them.</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right="20" w:firstLine="1305"/>
        <w:spacing w:after="0" w:line="282" w:lineRule="auto"/>
        <w:tabs>
          <w:tab w:leader="none" w:pos="1945" w:val="left"/>
        </w:tabs>
        <w:numPr>
          <w:ilvl w:val="0"/>
          <w:numId w:val="223"/>
        </w:numPr>
        <w:rPr>
          <w:rFonts w:ascii="Arial" w:cs="Arial" w:eastAsia="Arial" w:hAnsi="Arial"/>
          <w:sz w:val="19"/>
          <w:szCs w:val="19"/>
          <w:color w:val="auto"/>
        </w:rPr>
      </w:pPr>
      <w:r>
        <w:rPr>
          <w:rFonts w:ascii="Arial" w:cs="Arial" w:eastAsia="Arial" w:hAnsi="Arial"/>
          <w:sz w:val="19"/>
          <w:szCs w:val="19"/>
          <w:u w:val="single" w:color="auto"/>
          <w:color w:val="auto"/>
        </w:rPr>
        <w:t>Survival of Provisions</w:t>
      </w:r>
      <w:r>
        <w:rPr>
          <w:rFonts w:ascii="Arial" w:cs="Arial" w:eastAsia="Arial" w:hAnsi="Arial"/>
          <w:sz w:val="19"/>
          <w:szCs w:val="19"/>
          <w:color w:val="auto"/>
        </w:rPr>
        <w:t>. The obligations contained in Section 14(a) and Section 14(b) above shall survive the termination of the Executive’s employment within the Company and shall be fully enforceable thereafter. If it is determined by a court of competent jurisdiction in any state that any restriction in Section 14(a) or Section 14(b) above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134" w:lineRule="exact"/>
        <w:rPr>
          <w:rFonts w:ascii="Arial" w:cs="Arial" w:eastAsia="Arial" w:hAnsi="Arial"/>
          <w:sz w:val="19"/>
          <w:szCs w:val="19"/>
          <w:color w:val="auto"/>
        </w:rPr>
      </w:pPr>
    </w:p>
    <w:p>
      <w:pPr>
        <w:ind w:right="60" w:firstLine="1305"/>
        <w:spacing w:after="0" w:line="271" w:lineRule="auto"/>
        <w:tabs>
          <w:tab w:leader="none" w:pos="1945" w:val="left"/>
        </w:tabs>
        <w:numPr>
          <w:ilvl w:val="0"/>
          <w:numId w:val="223"/>
        </w:numPr>
        <w:rPr>
          <w:rFonts w:ascii="Arial" w:cs="Arial" w:eastAsia="Arial" w:hAnsi="Arial"/>
          <w:sz w:val="19"/>
          <w:szCs w:val="19"/>
          <w:color w:val="auto"/>
        </w:rPr>
      </w:pPr>
      <w:r>
        <w:rPr>
          <w:rFonts w:ascii="Arial" w:cs="Arial" w:eastAsia="Arial" w:hAnsi="Arial"/>
          <w:sz w:val="19"/>
          <w:szCs w:val="19"/>
          <w:u w:val="single" w:color="auto"/>
          <w:color w:val="auto"/>
        </w:rPr>
        <w:t>Release; Lump Sum Payment</w:t>
      </w:r>
      <w:r>
        <w:rPr>
          <w:rFonts w:ascii="Arial" w:cs="Arial" w:eastAsia="Arial" w:hAnsi="Arial"/>
          <w:sz w:val="19"/>
          <w:szCs w:val="19"/>
          <w:color w:val="auto"/>
        </w:rPr>
        <w:t>. In the event of the Executive’s Involuntary Termination, if the Executive (i) reconfirms and agrees to abide by the covenants described in Section 14(a) and Section 14(b) above, (ii) executes the Release within fifty (50) days after the date of Involuntary Termination and does not revoke such Release in accordance with the terms thereof, and (iii) agrees to provide the consulting services described in Section 14(e) below, then in consideration for such covenants and consulting services, the Company shall pay the Executive, in one cash lump sum, an amount (the “</w:t>
      </w:r>
      <w:r>
        <w:rPr>
          <w:rFonts w:ascii="Arial" w:cs="Arial" w:eastAsia="Arial" w:hAnsi="Arial"/>
          <w:sz w:val="19"/>
          <w:szCs w:val="19"/>
          <w:u w:val="single" w:color="auto"/>
          <w:color w:val="auto"/>
        </w:rPr>
        <w:t>Consulting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Payment</w:t>
      </w:r>
      <w:r>
        <w:rPr>
          <w:rFonts w:ascii="Arial" w:cs="Arial" w:eastAsia="Arial" w:hAnsi="Arial"/>
          <w:sz w:val="19"/>
          <w:szCs w:val="19"/>
          <w:color w:val="auto"/>
        </w:rPr>
        <w:t>”) in cash equal to one-half (0.5) times the greater of: (X) 150% of the Executive’s Annual Base Salary as in effect on the Date of Termination, and (Y) the Executive’s Annual Base Salary as in effect on the Date of Termination, plus the Executive’s Average Annual Bonus. Except as provided in this subsection, the Consulting Payment shall be paid on such date as is determined</w:t>
      </w:r>
    </w:p>
    <w:p>
      <w:pPr>
        <w:spacing w:after="0" w:line="3" w:lineRule="exact"/>
        <w:rPr>
          <w:sz w:val="20"/>
          <w:szCs w:val="20"/>
          <w:color w:val="auto"/>
        </w:rPr>
      </w:pPr>
    </w:p>
    <w:p>
      <w:pPr>
        <w:ind w:right="220"/>
        <w:spacing w:after="0" w:line="225" w:lineRule="auto"/>
        <w:rPr>
          <w:sz w:val="20"/>
          <w:szCs w:val="20"/>
          <w:color w:val="auto"/>
        </w:rPr>
      </w:pPr>
      <w:r>
        <w:rPr>
          <w:rFonts w:ascii="Arial" w:cs="Arial" w:eastAsia="Arial" w:hAnsi="Arial"/>
          <w:sz w:val="21"/>
          <w:szCs w:val="21"/>
          <w:color w:val="auto"/>
        </w:rPr>
        <w:t>by the Company within the ten (10) day period commencing on the 60</w:t>
      </w:r>
      <w:r>
        <w:rPr>
          <w:rFonts w:ascii="Arial" w:cs="Arial" w:eastAsia="Arial" w:hAnsi="Arial"/>
          <w:sz w:val="35"/>
          <w:szCs w:val="35"/>
          <w:color w:val="auto"/>
          <w:vertAlign w:val="superscript"/>
        </w:rPr>
        <w:t>th</w:t>
      </w:r>
      <w:r>
        <w:rPr>
          <w:rFonts w:ascii="Arial" w:cs="Arial" w:eastAsia="Arial" w:hAnsi="Arial"/>
          <w:sz w:val="21"/>
          <w:szCs w:val="21"/>
          <w:color w:val="auto"/>
        </w:rPr>
        <w:t xml:space="preserve"> day after the date of the Executive’s Involuntary Termination; </w:t>
      </w:r>
      <w:r>
        <w:rPr>
          <w:rFonts w:ascii="Arial" w:cs="Arial" w:eastAsia="Arial" w:hAnsi="Arial"/>
          <w:sz w:val="21"/>
          <w:szCs w:val="21"/>
          <w:i w:val="1"/>
          <w:iCs w:val="1"/>
          <w:color w:val="auto"/>
        </w:rPr>
        <w:t>provided, however</w:t>
      </w:r>
      <w:r>
        <w:rPr>
          <w:rFonts w:ascii="Arial" w:cs="Arial" w:eastAsia="Arial" w:hAnsi="Arial"/>
          <w:sz w:val="21"/>
          <w:szCs w:val="21"/>
          <w:color w:val="auto"/>
        </w:rPr>
        <w:t>, that if the Executive is a Specified Employee on the date of the Executive’s Involuntary Termination, the Consulting Payment shall be paid as provided in Section 9 hereof. The Executive shall have the right to elect to defer the Consulting Payment under the terms and conditions of the Company’s Deferred Compensation Plan. Any such deferral election shall be made in accordance with Section 18(b) hereof.</w:t>
      </w:r>
    </w:p>
    <w:p>
      <w:pPr>
        <w:spacing w:after="0" w:line="171" w:lineRule="exact"/>
        <w:rPr>
          <w:sz w:val="20"/>
          <w:szCs w:val="20"/>
          <w:color w:val="auto"/>
        </w:rPr>
      </w:pPr>
    </w:p>
    <w:p>
      <w:pPr>
        <w:ind w:right="160" w:firstLine="1305"/>
        <w:spacing w:after="0" w:line="272" w:lineRule="auto"/>
        <w:tabs>
          <w:tab w:leader="none" w:pos="1945" w:val="left"/>
        </w:tabs>
        <w:numPr>
          <w:ilvl w:val="0"/>
          <w:numId w:val="224"/>
        </w:numPr>
        <w:rPr>
          <w:rFonts w:ascii="Arial" w:cs="Arial" w:eastAsia="Arial" w:hAnsi="Arial"/>
          <w:sz w:val="19"/>
          <w:szCs w:val="19"/>
          <w:color w:val="auto"/>
        </w:rPr>
      </w:pPr>
      <w:r>
        <w:rPr>
          <w:rFonts w:ascii="Arial" w:cs="Arial" w:eastAsia="Arial" w:hAnsi="Arial"/>
          <w:sz w:val="19"/>
          <w:szCs w:val="19"/>
          <w:u w:val="single" w:color="auto"/>
          <w:color w:val="auto"/>
        </w:rPr>
        <w:t>Consulting</w:t>
      </w:r>
      <w:r>
        <w:rPr>
          <w:rFonts w:ascii="Arial" w:cs="Arial" w:eastAsia="Arial" w:hAnsi="Arial"/>
          <w:sz w:val="19"/>
          <w:szCs w:val="19"/>
          <w:color w:val="auto"/>
        </w:rPr>
        <w:t>. If the Executive agrees to the provisions of in Section 14(d) above, then the Executive shall have the obligation to provide consulting services to the Company as an independent contractor, commencing on the Date of Termination and ending on the first anniversary of the Date of Termination (the “</w:t>
      </w:r>
      <w:r>
        <w:rPr>
          <w:rFonts w:ascii="Arial" w:cs="Arial" w:eastAsia="Arial" w:hAnsi="Arial"/>
          <w:sz w:val="19"/>
          <w:szCs w:val="19"/>
          <w:u w:val="single" w:color="auto"/>
          <w:color w:val="auto"/>
        </w:rPr>
        <w:t>Consulting Period</w:t>
      </w:r>
      <w:r>
        <w:rPr>
          <w:rFonts w:ascii="Arial" w:cs="Arial" w:eastAsia="Arial" w:hAnsi="Arial"/>
          <w:sz w:val="19"/>
          <w:szCs w:val="19"/>
          <w:color w:val="auto"/>
        </w:rPr>
        <w:t xml:space="preserve">”). The Executive shall hold himself available at reasonable times and on reasonable notice to render such consulting services as may be so assigned to him by the Board or the Company’s then Chief Executive Officer;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unless the parties otherwise agree, the consulting services rendered by the Executive during the Consulting Period shall not exceed twenty (20) hours each month;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the consulting services rendered by the Executive during the Consulting Period shall in no event exceed</w:t>
      </w:r>
      <w:r>
        <w:rPr>
          <w:rFonts w:ascii="Arial" w:cs="Arial" w:eastAsia="Arial" w:hAnsi="Arial"/>
          <w:sz w:val="19"/>
          <w:szCs w:val="19"/>
          <w:i w:val="1"/>
          <w:iCs w:val="1"/>
          <w:color w:val="auto"/>
        </w:rPr>
        <w:t xml:space="preserve"> </w:t>
      </w:r>
      <w:r>
        <w:rPr>
          <w:rFonts w:ascii="Arial" w:cs="Arial" w:eastAsia="Arial" w:hAnsi="Arial"/>
          <w:sz w:val="19"/>
          <w:szCs w:val="19"/>
          <w:color w:val="auto"/>
        </w:rPr>
        <w:t>twenty percent (20%) of the average level of services performed by the Executive for the Company over the thirty-six (36) month period immediately preceding the Executive’s Separation from Service (or the full period of services to the Company, if the Executive has been providing services to the Company for less than thirty-six (36) months). The Company agrees to use its best efforts during the Consulting Period to secure the benefit of the Executive’s consulting services so as to minimize the interference with the Executive’s other activities, including requiring the performance of consulting services at the Company’s offices only when such services may not be reasonably performed off-site by the Executive.</w:t>
      </w:r>
    </w:p>
    <w:p>
      <w:pPr>
        <w:spacing w:after="0" w:line="15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15.</w:t>
      </w:r>
      <w:r>
        <w:rPr>
          <w:sz w:val="20"/>
          <w:szCs w:val="20"/>
          <w:color w:val="auto"/>
        </w:rPr>
        <w:tab/>
      </w:r>
      <w:r>
        <w:rPr>
          <w:rFonts w:ascii="Arial" w:cs="Arial" w:eastAsia="Arial" w:hAnsi="Arial"/>
          <w:sz w:val="19"/>
          <w:szCs w:val="19"/>
          <w:u w:val="single" w:color="auto"/>
          <w:color w:val="auto"/>
        </w:rPr>
        <w:t>Legal Fees</w:t>
      </w:r>
      <w:r>
        <w:rPr>
          <w:rFonts w:ascii="Arial" w:cs="Arial" w:eastAsia="Arial" w:hAnsi="Arial"/>
          <w:sz w:val="19"/>
          <w:szCs w:val="19"/>
          <w:color w:val="auto"/>
        </w:rPr>
        <w: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w:t>
      </w:r>
    </w:p>
    <w:p>
      <w:pPr>
        <w:sectPr>
          <w:pgSz w:w="11900" w:h="16838" w:orient="portrait"/>
          <w:cols w:equalWidth="0" w:num="1">
            <w:col w:w="11380"/>
          </w:cols>
          <w:pgMar w:left="240" w:top="118" w:right="279" w:bottom="0" w:gutter="0" w:footer="0" w:header="0"/>
        </w:sectPr>
      </w:pPr>
    </w:p>
    <w:bookmarkStart w:id="159" w:name="page160"/>
    <w:bookmarkEnd w:id="159"/>
    <w:p>
      <w:pPr>
        <w:spacing w:after="0" w:line="57" w:lineRule="exact"/>
        <w:rPr>
          <w:sz w:val="20"/>
          <w:szCs w:val="20"/>
          <w:color w:val="auto"/>
        </w:rPr>
      </w:pPr>
    </w:p>
    <w:p>
      <w:pPr>
        <w:ind w:right="80" w:firstLine="1945"/>
        <w:spacing w:after="0" w:line="249" w:lineRule="auto"/>
        <w:rPr>
          <w:sz w:val="20"/>
          <w:szCs w:val="20"/>
          <w:color w:val="auto"/>
        </w:rPr>
      </w:pPr>
      <w:r>
        <w:rPr>
          <w:rFonts w:ascii="Arial" w:cs="Arial" w:eastAsia="Arial" w:hAnsi="Arial"/>
          <w:sz w:val="21"/>
          <w:szCs w:val="21"/>
          <w:u w:val="single" w:color="auto"/>
          <w:color w:val="auto"/>
        </w:rPr>
        <w:t>Reimbursement of Legal Fees</w:t>
      </w:r>
      <w:r>
        <w:rPr>
          <w:rFonts w:ascii="Arial" w:cs="Arial" w:eastAsia="Arial" w:hAnsi="Arial"/>
          <w:sz w:val="21"/>
          <w:szCs w:val="21"/>
          <w:color w:val="auto"/>
        </w:rPr>
        <w:t>. Subject to subsection (b), in the event of the Executive’s Separation from Service either (1) prior to a Change in Control, or (2) on or within two (2) years following a Change in Control, the Company shall reimburse the Executive for all legal fees and expenses (including but not limited to fees and expenses in connection with any arbitration) incurred by the Executive in disputing any issue arising under this Agreement relating to the Executive’s Separation from Service or in seeking to obtain or enforce any benefit or right provided by this Agreement.</w:t>
      </w:r>
    </w:p>
    <w:p>
      <w:pPr>
        <w:spacing w:after="0" w:line="166" w:lineRule="exact"/>
        <w:rPr>
          <w:sz w:val="20"/>
          <w:szCs w:val="20"/>
          <w:color w:val="auto"/>
        </w:rPr>
      </w:pPr>
    </w:p>
    <w:p>
      <w:pPr>
        <w:ind w:firstLine="1305"/>
        <w:spacing w:after="0" w:line="272" w:lineRule="auto"/>
        <w:tabs>
          <w:tab w:leader="none" w:pos="1945" w:val="left"/>
        </w:tabs>
        <w:numPr>
          <w:ilvl w:val="0"/>
          <w:numId w:val="225"/>
        </w:numPr>
        <w:rPr>
          <w:rFonts w:ascii="Arial" w:cs="Arial" w:eastAsia="Arial" w:hAnsi="Arial"/>
          <w:sz w:val="19"/>
          <w:szCs w:val="19"/>
          <w:color w:val="auto"/>
        </w:rPr>
      </w:pPr>
      <w:r>
        <w:rPr>
          <w:rFonts w:ascii="Arial" w:cs="Arial" w:eastAsia="Arial" w:hAnsi="Arial"/>
          <w:sz w:val="19"/>
          <w:szCs w:val="19"/>
          <w:u w:val="single" w:color="auto"/>
          <w:color w:val="auto"/>
        </w:rPr>
        <w:t>Requirements for Reimbursement</w:t>
      </w:r>
      <w:r>
        <w:rPr>
          <w:rFonts w:ascii="Arial" w:cs="Arial" w:eastAsia="Arial" w:hAnsi="Arial"/>
          <w:sz w:val="19"/>
          <w:szCs w:val="19"/>
          <w:color w:val="auto"/>
        </w:rPr>
        <w:t>. The Company shall reimburse the Executive’s legal fees and expenses pursuant to subsection (a) above only to the extent the arbitrator or court determines the following: (i) the Executive disputed such issue, or sought to obtain or enforce such benefit or right, in good faith, (ii) the Executive had a reasonable basis for such claim, and (iii) in the case of subsection (a)(1) above, the Executive is the prevailing party. In addition, the Company shall reimburse such legal fees and expenses, only if such legal fees and expenses are incurred during the twenty (20) year period beginning on the date of the Executive’s Separation from Service. The legal fees and expenses paid to the Executive for any taxable year of the Executive shall not affect the legal fees and expenses paid to the Executive for any other taxable year of the Executive. The legal fees and expenses shall be paid to the Executive on or before the last day of the Executive’s taxable year following the taxable year in which the fees or expenses are incurred. The Executive’s right to reimbursement of legal fees and expenses shall not be subject to liquidation or exchange for any other benefit. Such right to reimbursement of legal fees and expenses shall be provided in a manner that complies with Treasury Regulation Section 1.409A-3(i)(1)(iv). If the Executive is a Specified Employee on the date of the Executive’s Separation from Service, such right to reimbursement of legal fees and expenses shall be paid as provided in Section 9 hereof.</w:t>
      </w:r>
    </w:p>
    <w:p>
      <w:pPr>
        <w:spacing w:after="0" w:line="39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16.</w:t>
      </w:r>
      <w:r>
        <w:rPr>
          <w:sz w:val="20"/>
          <w:szCs w:val="20"/>
          <w:color w:val="auto"/>
        </w:rPr>
        <w:tab/>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199" w:lineRule="exact"/>
        <w:rPr>
          <w:sz w:val="20"/>
          <w:szCs w:val="20"/>
          <w:color w:val="auto"/>
        </w:rPr>
      </w:pPr>
    </w:p>
    <w:p>
      <w:pPr>
        <w:ind w:right="200" w:firstLine="1305"/>
        <w:spacing w:after="0" w:line="297" w:lineRule="auto"/>
        <w:tabs>
          <w:tab w:leader="none" w:pos="1945" w:val="left"/>
        </w:tabs>
        <w:numPr>
          <w:ilvl w:val="0"/>
          <w:numId w:val="226"/>
        </w:numPr>
        <w:rPr>
          <w:rFonts w:ascii="Arial" w:cs="Arial" w:eastAsia="Arial" w:hAnsi="Arial"/>
          <w:sz w:val="19"/>
          <w:szCs w:val="19"/>
          <w:color w:val="auto"/>
        </w:rPr>
      </w:pPr>
      <w:r>
        <w:rPr>
          <w:rFonts w:ascii="Arial" w:cs="Arial" w:eastAsia="Arial" w:hAnsi="Arial"/>
          <w:sz w:val="19"/>
          <w:szCs w:val="19"/>
          <w:u w:val="single" w:color="auto"/>
          <w:color w:val="auto"/>
        </w:rPr>
        <w:t>Assignment by the Executive</w:t>
      </w:r>
      <w:r>
        <w:rPr>
          <w:rFonts w:ascii="Arial" w:cs="Arial" w:eastAsia="Arial" w:hAnsi="Arial"/>
          <w:sz w:val="19"/>
          <w:szCs w:val="19"/>
          <w:color w:val="auto"/>
        </w:rPr>
        <w:t>. This Agreement is personal to the Executive and without the prior written consent of Sempra Energy shall not be assignable by the Executive otherwise than by will or the laws of descent and distribution. This Agreement shall inure to the benefit of and be enforceable by the Executive’s legal representatives.</w:t>
      </w:r>
    </w:p>
    <w:p>
      <w:pPr>
        <w:spacing w:after="0" w:line="120" w:lineRule="exact"/>
        <w:rPr>
          <w:rFonts w:ascii="Arial" w:cs="Arial" w:eastAsia="Arial" w:hAnsi="Arial"/>
          <w:sz w:val="19"/>
          <w:szCs w:val="19"/>
          <w:color w:val="auto"/>
        </w:rPr>
      </w:pPr>
    </w:p>
    <w:p>
      <w:pPr>
        <w:ind w:firstLine="1305"/>
        <w:spacing w:after="0" w:line="258" w:lineRule="auto"/>
        <w:tabs>
          <w:tab w:leader="none" w:pos="1945" w:val="left"/>
        </w:tabs>
        <w:numPr>
          <w:ilvl w:val="0"/>
          <w:numId w:val="226"/>
        </w:numPr>
        <w:rPr>
          <w:rFonts w:ascii="Arial" w:cs="Arial" w:eastAsia="Arial" w:hAnsi="Arial"/>
          <w:sz w:val="21"/>
          <w:szCs w:val="21"/>
          <w:color w:val="auto"/>
        </w:rPr>
      </w:pPr>
      <w:r>
        <w:rPr>
          <w:rFonts w:ascii="Arial" w:cs="Arial" w:eastAsia="Arial" w:hAnsi="Arial"/>
          <w:sz w:val="21"/>
          <w:szCs w:val="21"/>
          <w:u w:val="single" w:color="auto"/>
          <w:color w:val="auto"/>
        </w:rPr>
        <w:t>Successors and Assigns of Sempra Energy</w:t>
      </w:r>
      <w:r>
        <w:rPr>
          <w:rFonts w:ascii="Arial" w:cs="Arial" w:eastAsia="Arial" w:hAnsi="Arial"/>
          <w:sz w:val="21"/>
          <w:szCs w:val="21"/>
          <w:color w:val="auto"/>
        </w:rPr>
        <w:t>. This Agreement shall inure to the benefit of and be binding upon Sempra Energy, its successors and assigns. Sempra Energy may not assign this Agreement to any person or entity (except for a successor described in Section 16(c), (d) or (e) below) without the Executive’s written consent.</w:t>
      </w:r>
    </w:p>
    <w:p>
      <w:pPr>
        <w:spacing w:after="0" w:line="166" w:lineRule="exact"/>
        <w:rPr>
          <w:rFonts w:ascii="Arial" w:cs="Arial" w:eastAsia="Arial" w:hAnsi="Arial"/>
          <w:sz w:val="21"/>
          <w:szCs w:val="21"/>
          <w:color w:val="auto"/>
        </w:rPr>
      </w:pPr>
    </w:p>
    <w:p>
      <w:pPr>
        <w:ind w:right="20" w:firstLine="1305"/>
        <w:spacing w:after="0" w:line="279" w:lineRule="auto"/>
        <w:tabs>
          <w:tab w:leader="none" w:pos="1945" w:val="left"/>
        </w:tabs>
        <w:numPr>
          <w:ilvl w:val="0"/>
          <w:numId w:val="226"/>
        </w:numPr>
        <w:rPr>
          <w:rFonts w:ascii="Arial" w:cs="Arial" w:eastAsia="Arial" w:hAnsi="Arial"/>
          <w:sz w:val="19"/>
          <w:szCs w:val="19"/>
          <w:color w:val="auto"/>
        </w:rPr>
      </w:pPr>
      <w:r>
        <w:rPr>
          <w:rFonts w:ascii="Arial" w:cs="Arial" w:eastAsia="Arial" w:hAnsi="Arial"/>
          <w:sz w:val="19"/>
          <w:szCs w:val="19"/>
          <w:u w:val="single" w:color="auto"/>
          <w:color w:val="auto"/>
        </w:rPr>
        <w:t>Assumption</w:t>
      </w:r>
      <w:r>
        <w:rPr>
          <w:rFonts w:ascii="Arial" w:cs="Arial" w:eastAsia="Arial" w:hAnsi="Arial"/>
          <w:sz w:val="19"/>
          <w:szCs w:val="19"/>
          <w:color w:val="auto"/>
        </w:rPr>
        <w:t>. Sempra Energy shall require any successor (whether direct or indirect, by purchase, merger, consolidation or otherwise) to all or substantially all of the business and/or assets of Sempra Energy to assume expressly and agree to perform the obligations and satisfy and discharge the liabilities of this Agreement in the same manner and to the same extent that Sempra Energy would have been required to perform the obligations and satisfy and discharge the liabilities under this Agreement if no such succession had taken place, and Sempra Energy shall have no further obligations and liabilities under this Agreement. Upon such assumption, references to Sempra Energy in this Agreement shall be replaced with references to such successor.</w:t>
      </w:r>
    </w:p>
    <w:p>
      <w:pPr>
        <w:spacing w:after="0" w:line="137" w:lineRule="exact"/>
        <w:rPr>
          <w:rFonts w:ascii="Arial" w:cs="Arial" w:eastAsia="Arial" w:hAnsi="Arial"/>
          <w:sz w:val="19"/>
          <w:szCs w:val="19"/>
          <w:color w:val="auto"/>
        </w:rPr>
      </w:pPr>
    </w:p>
    <w:p>
      <w:pPr>
        <w:ind w:right="20" w:firstLine="1305"/>
        <w:spacing w:after="0" w:line="244" w:lineRule="auto"/>
        <w:tabs>
          <w:tab w:leader="none" w:pos="1945" w:val="left"/>
        </w:tabs>
        <w:numPr>
          <w:ilvl w:val="0"/>
          <w:numId w:val="226"/>
        </w:numPr>
        <w:rPr>
          <w:rFonts w:ascii="Arial" w:cs="Arial" w:eastAsia="Arial" w:hAnsi="Arial"/>
          <w:sz w:val="21"/>
          <w:szCs w:val="21"/>
          <w:color w:val="auto"/>
        </w:rPr>
      </w:pPr>
      <w:r>
        <w:rPr>
          <w:rFonts w:ascii="Arial" w:cs="Arial" w:eastAsia="Arial" w:hAnsi="Arial"/>
          <w:sz w:val="21"/>
          <w:szCs w:val="21"/>
          <w:u w:val="single" w:color="auto"/>
          <w:color w:val="auto"/>
        </w:rPr>
        <w:t>Sale of Subsidiary</w:t>
      </w:r>
      <w:r>
        <w:rPr>
          <w:rFonts w:ascii="Arial" w:cs="Arial" w:eastAsia="Arial" w:hAnsi="Arial"/>
          <w:sz w:val="21"/>
          <w:szCs w:val="21"/>
          <w:color w:val="auto"/>
        </w:rPr>
        <w:t>. In the event that (i) the Executive is employed by a direct or indirect subsidiary of Sempra Energy that is a member of the Sempra Energy Control Group, (ii) Sempra Energy, directly or indirectly through one or more intermediaries, sells or otherwise disposes of such subsidiary, and (iii) such subsidiary ceases to be a member of the Sempra Energy Control Group, then if, on the date such subsidiary ceases to be a member of the Sempra Energy Control Group, the Executive continues in employment with such subsidiary and the Executive does not have a Separation from Service, Sempra Energy shall require such subsidiary or any successor (whether direct or indirect, by purchase merger, consolidation or otherwise) to such subsidiary, or the parent thereof, to assume expressly and agree to perform the obligations and satisfy and discharge the liabilities under this Agreement in the same manner and to the same extent that Sempra Energy would have been required to perform the obligations and satisfy and discharge the liabilities under this Agreement, if such subsidiary had not ceased to be part of the Sempra Energy Control Group, and, upon such assumption, Sempra Energy shall have no further obligations and liabilities under the Agreement. Upon such assumption, (i) references to Sempra Energy in this Agreement shall be replaced with references to such subsidiary, or such successor or parent thereof, assuming this Agreement, and (ii) subsection (b) of the definition of “Cause” and subsection (b) of the definition of “Good Reason” shall apply thereafter, as if a Change in Control had occurred on the date of such cessation.</w:t>
      </w:r>
    </w:p>
    <w:p>
      <w:pPr>
        <w:spacing w:after="0" w:line="168" w:lineRule="exact"/>
        <w:rPr>
          <w:rFonts w:ascii="Arial" w:cs="Arial" w:eastAsia="Arial" w:hAnsi="Arial"/>
          <w:sz w:val="21"/>
          <w:szCs w:val="21"/>
          <w:color w:val="auto"/>
        </w:rPr>
      </w:pPr>
    </w:p>
    <w:p>
      <w:pPr>
        <w:ind w:firstLine="1305"/>
        <w:spacing w:after="0" w:line="272" w:lineRule="auto"/>
        <w:tabs>
          <w:tab w:leader="none" w:pos="1945" w:val="left"/>
        </w:tabs>
        <w:numPr>
          <w:ilvl w:val="0"/>
          <w:numId w:val="226"/>
        </w:numPr>
        <w:rPr>
          <w:rFonts w:ascii="Arial" w:cs="Arial" w:eastAsia="Arial" w:hAnsi="Arial"/>
          <w:sz w:val="19"/>
          <w:szCs w:val="19"/>
          <w:color w:val="auto"/>
        </w:rPr>
      </w:pPr>
      <w:r>
        <w:rPr>
          <w:rFonts w:ascii="Arial" w:cs="Arial" w:eastAsia="Arial" w:hAnsi="Arial"/>
          <w:sz w:val="19"/>
          <w:szCs w:val="19"/>
          <w:u w:val="single" w:color="auto"/>
          <w:color w:val="auto"/>
        </w:rPr>
        <w:t>Sale of Assets of Subsidiary</w:t>
      </w:r>
      <w:r>
        <w:rPr>
          <w:rFonts w:ascii="Arial" w:cs="Arial" w:eastAsia="Arial" w:hAnsi="Arial"/>
          <w:sz w:val="19"/>
          <w:szCs w:val="19"/>
          <w:color w:val="auto"/>
        </w:rPr>
        <w:t>. In the event that (i) the Executive is employed by a direct or indirect subsidiary of Sempra Energy, and (ii) such subsidiary sells or otherwise disposes of substantial assets of such subsidiary to an unrelated service recipient, as determined under Treasury Regulation Section 1.409A-1(f)(2)(ii) (the “</w:t>
      </w:r>
      <w:r>
        <w:rPr>
          <w:rFonts w:ascii="Arial" w:cs="Arial" w:eastAsia="Arial" w:hAnsi="Arial"/>
          <w:sz w:val="19"/>
          <w:szCs w:val="19"/>
          <w:u w:val="single" w:color="auto"/>
          <w:color w:val="auto"/>
        </w:rPr>
        <w:t>Asset Purchaser</w:t>
      </w:r>
      <w:r>
        <w:rPr>
          <w:rFonts w:ascii="Arial" w:cs="Arial" w:eastAsia="Arial" w:hAnsi="Arial"/>
          <w:sz w:val="19"/>
          <w:szCs w:val="19"/>
          <w:color w:val="auto"/>
        </w:rPr>
        <w:t>”), in a transaction described in Treasury Regulation Section 1.409A-1(h)(4) (an “</w:t>
      </w:r>
      <w:r>
        <w:rPr>
          <w:rFonts w:ascii="Arial" w:cs="Arial" w:eastAsia="Arial" w:hAnsi="Arial"/>
          <w:sz w:val="19"/>
          <w:szCs w:val="19"/>
          <w:u w:val="single" w:color="auto"/>
          <w:color w:val="auto"/>
        </w:rPr>
        <w:t>Asset Sale</w:t>
      </w:r>
      <w:r>
        <w:rPr>
          <w:rFonts w:ascii="Arial" w:cs="Arial" w:eastAsia="Arial" w:hAnsi="Arial"/>
          <w:sz w:val="19"/>
          <w:szCs w:val="19"/>
          <w:color w:val="auto"/>
        </w:rPr>
        <w:t>”), then if, on the date of such Asset Sale, the Executive becomes employed by the Asset Purchaser, Sempra Energy and the Asset Purchaser shall specify, in accordance with Treasury Regulation Section 1.409A-1(h)(4), that the Executive shall not be treated as having a Separation from Service, and Sempra Energy shall require such Asset Purchaser, or the parent thereof, to assume expressly and agree to perform the obligations and satisfy and discharge the liabilities under this Agreement in the same manner and to the same extent that Sempra Energy would have been required to perform the obligations and satisfy and discharge the liabilities under this Agreement, if the Asset Sale had not taken place, and, upon such assumption, Sempra Energy shall have no further obligations and liabilities under the Agreement. Upon such assumption, (i) references to Sempra Energy in this Agreement shall be replaced with references to the Asset Purchaser or the parent thereof, as applicable, and (ii) subsection (b) of the definition of “Cause” and subsection (b) of the definition of “Good Reason” shall apply thereafter, as if a Change in Control had occurred on the date of the Asset Sale.</w:t>
      </w:r>
    </w:p>
    <w:p>
      <w:pPr>
        <w:spacing w:after="0" w:line="151" w:lineRule="exact"/>
        <w:rPr>
          <w:sz w:val="20"/>
          <w:szCs w:val="20"/>
          <w:color w:val="auto"/>
        </w:rPr>
      </w:pPr>
    </w:p>
    <w:p>
      <w:pPr>
        <w:ind w:right="600" w:firstLine="1297"/>
        <w:spacing w:after="0" w:line="301" w:lineRule="auto"/>
        <w:rPr>
          <w:sz w:val="20"/>
          <w:szCs w:val="20"/>
          <w:color w:val="auto"/>
        </w:rPr>
      </w:pPr>
      <w:r>
        <w:rPr>
          <w:rFonts w:ascii="Arial" w:cs="Arial" w:eastAsia="Arial" w:hAnsi="Arial"/>
          <w:sz w:val="19"/>
          <w:szCs w:val="19"/>
          <w:b w:val="1"/>
          <w:bCs w:val="1"/>
          <w:color w:val="auto"/>
        </w:rPr>
        <w:t xml:space="preserve">Section 17. </w:t>
      </w:r>
      <w:r>
        <w:rPr>
          <w:rFonts w:ascii="Arial" w:cs="Arial" w:eastAsia="Arial" w:hAnsi="Arial"/>
          <w:sz w:val="19"/>
          <w:szCs w:val="19"/>
          <w:u w:val="single" w:color="auto"/>
          <w:color w:val="auto"/>
        </w:rPr>
        <w:t>Administration Prior to Change in Control</w:t>
      </w:r>
      <w:r>
        <w:rPr>
          <w:rFonts w:ascii="Arial" w:cs="Arial" w:eastAsia="Arial" w:hAnsi="Arial"/>
          <w:sz w:val="19"/>
          <w:szCs w:val="19"/>
          <w:color w:val="auto"/>
        </w:rPr>
        <w:t>. Prior to a Change in Control, the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shall have full and complete authority to construe and interpret the provisions of this Agreement, to determine an individual’s entitlement to benefits under this Agreement, to make in its sole and absolute discretion all determinations</w:t>
      </w:r>
    </w:p>
    <w:p>
      <w:pPr>
        <w:sectPr>
          <w:pgSz w:w="11900" w:h="16895" w:orient="portrait"/>
          <w:cols w:equalWidth="0" w:num="1">
            <w:col w:w="11400"/>
          </w:cols>
          <w:pgMar w:left="240" w:top="118" w:right="259" w:bottom="0" w:gutter="0" w:footer="0" w:header="0"/>
        </w:sectPr>
      </w:pPr>
    </w:p>
    <w:bookmarkStart w:id="160" w:name="page161"/>
    <w:bookmarkEnd w:id="160"/>
    <w:p>
      <w:pPr>
        <w:ind w:right="40"/>
        <w:spacing w:after="0" w:line="279" w:lineRule="auto"/>
        <w:rPr>
          <w:sz w:val="20"/>
          <w:szCs w:val="20"/>
          <w:color w:val="auto"/>
        </w:rPr>
      </w:pPr>
      <w:r>
        <w:rPr>
          <w:rFonts w:ascii="Arial" w:cs="Arial" w:eastAsia="Arial" w:hAnsi="Arial"/>
          <w:sz w:val="19"/>
          <w:szCs w:val="19"/>
          <w:color w:val="auto"/>
        </w:rPr>
        <w:t>contemplated under this Agreement, to investigate and make factual determinations necessary or advisable to administer or implement this Agreement, and to adopt such rules and procedures as it deems necessary or advisable for the administration or implementation of this Agreement. All determinations made under this Agreement by the Compensation Committee shall be final and binding on all interested persons. Prior to a Change in Control, the Compensation Committee may delegate responsibilities for the operation and administration of this Agreement to one or more officers or employees of the Company. The provisions of this Section 17 shall terminate and be of no further force and effect upon the occurrence of a Change in Control.</w:t>
      </w:r>
    </w:p>
    <w:p>
      <w:pPr>
        <w:spacing w:after="0" w:line="13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18.</w:t>
      </w:r>
      <w:r>
        <w:rPr>
          <w:sz w:val="20"/>
          <w:szCs w:val="20"/>
          <w:color w:val="auto"/>
        </w:rPr>
        <w:tab/>
      </w:r>
      <w:r>
        <w:rPr>
          <w:rFonts w:ascii="Arial" w:cs="Arial" w:eastAsia="Arial" w:hAnsi="Arial"/>
          <w:sz w:val="19"/>
          <w:szCs w:val="19"/>
          <w:u w:val="single" w:color="auto"/>
          <w:color w:val="auto"/>
        </w:rPr>
        <w:t>Section 409A of the Code.</w:t>
      </w:r>
    </w:p>
    <w:p>
      <w:pPr>
        <w:spacing w:after="0" w:line="206" w:lineRule="exact"/>
        <w:rPr>
          <w:sz w:val="20"/>
          <w:szCs w:val="20"/>
          <w:color w:val="auto"/>
        </w:rPr>
      </w:pPr>
    </w:p>
    <w:p>
      <w:pPr>
        <w:ind w:firstLine="1305"/>
        <w:spacing w:after="0" w:line="269" w:lineRule="auto"/>
        <w:tabs>
          <w:tab w:leader="none" w:pos="1945" w:val="left"/>
        </w:tabs>
        <w:numPr>
          <w:ilvl w:val="0"/>
          <w:numId w:val="227"/>
        </w:numPr>
        <w:rPr>
          <w:rFonts w:ascii="Arial" w:cs="Arial" w:eastAsia="Arial" w:hAnsi="Arial"/>
          <w:sz w:val="19"/>
          <w:szCs w:val="19"/>
          <w:color w:val="auto"/>
        </w:rPr>
      </w:pPr>
      <w:r>
        <w:rPr>
          <w:rFonts w:ascii="Arial" w:cs="Arial" w:eastAsia="Arial" w:hAnsi="Arial"/>
          <w:sz w:val="19"/>
          <w:szCs w:val="19"/>
          <w:u w:val="single" w:color="auto"/>
          <w:color w:val="auto"/>
        </w:rPr>
        <w:t>Compliance with and Exemption from Section 409A of the Code</w:t>
      </w:r>
      <w:r>
        <w:rPr>
          <w:rFonts w:ascii="Arial" w:cs="Arial" w:eastAsia="Arial" w:hAnsi="Arial"/>
          <w:sz w:val="19"/>
          <w:szCs w:val="19"/>
          <w:color w:val="auto"/>
        </w:rPr>
        <w:t>. Certain payments and benefits payable under this Agreement (including, without limitation, the Section 409A Payments) are intended to comply with the requirements of Section 409A of the Code. Certain payments and benefits payable under this Agreement are intended to be exempt from the requirements of Section 409A of the Code. This Agreement shall be interpreted in accordance with the applicable requirements of, and exemptions from, Section 409A of the Code and the Treasury Regulations thereunder. To the extent the payments and benefits under this Agreement are subject to Section 409A of the Code, this Agreement shall be interpreted, construed and administered in a manner that satisfies the requirements of Sections 409A(a)(2), (3) and (4) of the Code and the Treasury Regulations thereunder (subject to the transitional relief under Internal Revenue Service Notice 2005-1, the Proposed Regulations under Section 409A of the Code, Internal Revenue Service Notice 2006-79, Internal Revenue Service Notice 2007-78, Internal Revenue Service Notice 2007-86 and other applicable authority issued by the Internal Revenue Service). As provided in Internal Revenue Notice 2007-86, notwithstanding any other provision of this Agreement, with respect to an election or amendment to change a time or form of payment under this Agreement made on or after January 1, 2008 and on or before December 31, 2008, the election or amendment shall apply only with respect to payments that would not otherwise be payable in 2008, and shall not cause payments to be made in 2008 that would not otherwise be payable in 2008. If the Company and the Executive determine that any compensation, benefits or other payments that are payable under this Agreement and intended to comply with Sections 409A(a)(2), (3) and (4) of the Code do not comply with Section 409A of the Code, the Treasury Regulations thereunder and other applicable authority issued by the Internal Revenue Service, to the extent permitted under Section 409A of the Code, the Treasury Regulations thereunder and any applicable authority issued by the Internal Revenue Service, the Company and the Executive agree to amend this Agreement, or take such other actions as the Company and the Executive deem reasonably necessary or appropriate, to cause such compensation, benefits and other payments to comply with the requirements of Section 409A of the Code, the Treasury Regulations thereunder and other applicable authority issued by the Internal Revenue Service, while providing compensation, benefits and other payments that are, in the aggregate, no less favorable than the compensation, benefits and other payments provided under this Agreement. In the case of any compensation, benefits or other payments that are payable under this Agreement and intended to comply with Sections 409A(a)(2), (3) and (4) of the Code, if any provision of the Agreement would cause such compensation, benefits or other payments to fail to so comply, such provision shall not be effective and shall be null and void with respect to such compensation, benefits or other payments to the extent such provision would cause a failure to comply, and such provision shall otherwise remain in full force and effect.</w:t>
      </w:r>
    </w:p>
    <w:p>
      <w:pPr>
        <w:spacing w:after="0" w:line="399" w:lineRule="exact"/>
        <w:rPr>
          <w:rFonts w:ascii="Arial" w:cs="Arial" w:eastAsia="Arial" w:hAnsi="Arial"/>
          <w:sz w:val="19"/>
          <w:szCs w:val="19"/>
          <w:color w:val="auto"/>
        </w:rPr>
      </w:pPr>
    </w:p>
    <w:p>
      <w:pPr>
        <w:ind w:right="80" w:firstLine="1305"/>
        <w:spacing w:after="0" w:line="274" w:lineRule="auto"/>
        <w:tabs>
          <w:tab w:leader="none" w:pos="1945" w:val="left"/>
        </w:tabs>
        <w:numPr>
          <w:ilvl w:val="0"/>
          <w:numId w:val="227"/>
        </w:numPr>
        <w:rPr>
          <w:rFonts w:ascii="Arial" w:cs="Arial" w:eastAsia="Arial" w:hAnsi="Arial"/>
          <w:sz w:val="19"/>
          <w:szCs w:val="19"/>
          <w:color w:val="auto"/>
        </w:rPr>
      </w:pPr>
      <w:r>
        <w:rPr>
          <w:rFonts w:ascii="Arial" w:cs="Arial" w:eastAsia="Arial" w:hAnsi="Arial"/>
          <w:sz w:val="19"/>
          <w:szCs w:val="19"/>
          <w:u w:val="single" w:color="auto"/>
          <w:color w:val="auto"/>
        </w:rPr>
        <w:t>Deferral Elections</w:t>
      </w:r>
      <w:r>
        <w:rPr>
          <w:rFonts w:ascii="Arial" w:cs="Arial" w:eastAsia="Arial" w:hAnsi="Arial"/>
          <w:sz w:val="19"/>
          <w:szCs w:val="19"/>
          <w:color w:val="auto"/>
        </w:rPr>
        <w:t>. As provided in Sections 4(f), 5(h) and 14(d), the Executive may elect to defer the Pre-Change in Control Severance Payment, the Post-Change in Control Severance Payment and the Consulting Payment as follows. The Executive’s deferral election shall satisfy the requirements of Treasury Regulation Section 1.409A-2(b) and the terms and conditions of the Deferred Compensation Plan. Such deferral election shall designate the whole percentage (up to a maximum of 100%) of the Pre-Change in Control Severance Payment, the Post-Change in Control Severance Payment and the Consulting Payment to be deferred, shall be irrevocable when made, and shall not take effect until at least twelve (12) months after the date on which the election is made. Such deferral election shall provide that the amount deferred shall be deferred for a period of not less than five (5) years from the date the payment of the amount deferred would otherwise have been made, in accordance with Treasury Regulation Section 1.409A-2(b)(1)(ii).</w:t>
      </w:r>
    </w:p>
    <w:p>
      <w:pPr>
        <w:spacing w:after="0" w:line="14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19.</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06" w:lineRule="exact"/>
        <w:rPr>
          <w:sz w:val="20"/>
          <w:szCs w:val="20"/>
          <w:color w:val="auto"/>
        </w:rPr>
      </w:pPr>
    </w:p>
    <w:p>
      <w:pPr>
        <w:ind w:right="60" w:firstLine="1305"/>
        <w:spacing w:after="0" w:line="247" w:lineRule="auto"/>
        <w:tabs>
          <w:tab w:leader="none" w:pos="1945" w:val="left"/>
        </w:tabs>
        <w:numPr>
          <w:ilvl w:val="0"/>
          <w:numId w:val="228"/>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and construed in accordance with the laws of the State of California, without reference to its principles of conflict of laws. The captions of this Agreement are not part of the provisions hereof and shall have no force or effect. This Agreement may not be amended, modified, repealed, waived, extended or discharged except by an agreement in writing signed by the party against whom enforcement of such amendment, modification, repeal, waiver, extension or discharge is sought. No person, other than pursuant to a resolution of the Board or a committee thereof, shall have authority on behalf of the Company to agree to amend, modify, repeal, waive, extend or discharge any provision of this Agreement or anything in reference thereto.</w:t>
      </w:r>
    </w:p>
    <w:p>
      <w:pPr>
        <w:spacing w:after="0" w:line="164" w:lineRule="exact"/>
        <w:rPr>
          <w:rFonts w:ascii="Arial" w:cs="Arial" w:eastAsia="Arial" w:hAnsi="Arial"/>
          <w:sz w:val="21"/>
          <w:szCs w:val="21"/>
          <w:color w:val="auto"/>
        </w:rPr>
      </w:pPr>
    </w:p>
    <w:p>
      <w:pPr>
        <w:ind w:right="180" w:firstLine="1305"/>
        <w:spacing w:after="0" w:line="287" w:lineRule="auto"/>
        <w:tabs>
          <w:tab w:leader="none" w:pos="1945" w:val="left"/>
        </w:tabs>
        <w:numPr>
          <w:ilvl w:val="0"/>
          <w:numId w:val="228"/>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shall be in writing and shall be given by hand delivery to the other party or by registered or certified mail, return receipt requested, postage prepaid, addressed, in either case, to the Company’s headquarters or to such other address as either party shall have furnished to the other in writing in accordance herewith. Notices and communications shall be effective when actually received by the addressee.</w:t>
      </w:r>
    </w:p>
    <w:p>
      <w:pPr>
        <w:spacing w:after="0" w:line="129" w:lineRule="exact"/>
        <w:rPr>
          <w:rFonts w:ascii="Arial" w:cs="Arial" w:eastAsia="Arial" w:hAnsi="Arial"/>
          <w:sz w:val="19"/>
          <w:szCs w:val="19"/>
          <w:color w:val="auto"/>
        </w:rPr>
      </w:pPr>
    </w:p>
    <w:p>
      <w:pPr>
        <w:ind w:right="580" w:firstLine="1305"/>
        <w:spacing w:after="0" w:line="251" w:lineRule="auto"/>
        <w:tabs>
          <w:tab w:leader="none" w:pos="1945" w:val="left"/>
        </w:tabs>
        <w:numPr>
          <w:ilvl w:val="0"/>
          <w:numId w:val="228"/>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this Agreement shall not affect the validity or enforceability of any other provision of this Agreement.</w:t>
      </w:r>
    </w:p>
    <w:p>
      <w:pPr>
        <w:spacing w:after="0" w:line="173" w:lineRule="exact"/>
        <w:rPr>
          <w:rFonts w:ascii="Arial" w:cs="Arial" w:eastAsia="Arial" w:hAnsi="Arial"/>
          <w:sz w:val="22"/>
          <w:szCs w:val="22"/>
          <w:color w:val="auto"/>
        </w:rPr>
      </w:pPr>
    </w:p>
    <w:p>
      <w:pPr>
        <w:ind w:right="180" w:firstLine="1305"/>
        <w:spacing w:after="0" w:line="251" w:lineRule="auto"/>
        <w:tabs>
          <w:tab w:leader="none" w:pos="1945" w:val="left"/>
        </w:tabs>
        <w:numPr>
          <w:ilvl w:val="0"/>
          <w:numId w:val="228"/>
        </w:numPr>
        <w:rPr>
          <w:rFonts w:ascii="Arial" w:cs="Arial" w:eastAsia="Arial" w:hAnsi="Arial"/>
          <w:sz w:val="22"/>
          <w:szCs w:val="22"/>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 The Company may withhold from any amounts payable under this Agreement such federal, state or local taxes as shall be required to be withheld pursuant to any applicable law or regulation.</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w:t>
      </w:r>
    </w:p>
    <w:p>
      <w:pPr>
        <w:sectPr>
          <w:pgSz w:w="11900" w:h="16838" w:orient="portrait"/>
          <w:cols w:equalWidth="0" w:num="1">
            <w:col w:w="11400"/>
          </w:cols>
          <w:pgMar w:left="240" w:top="118" w:right="259" w:bottom="0" w:gutter="0" w:footer="0" w:header="0"/>
        </w:sectPr>
      </w:pPr>
    </w:p>
    <w:bookmarkStart w:id="161" w:name="page162"/>
    <w:bookmarkEnd w:id="161"/>
    <w:p>
      <w:pPr>
        <w:ind w:firstLine="1945"/>
        <w:spacing w:after="0" w:line="282" w:lineRule="auto"/>
        <w:rPr>
          <w:sz w:val="20"/>
          <w:szCs w:val="20"/>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The Executive’s or the Company’s failure to insist upon strict compliance with any provision hereof or any other provision of this Agreement or the failure to assert any right the Executive or the Company may have hereunder, including, without limitation, the right of the Executive to terminate employment for Good Reason pursuant to Section 1 hereof, or the right of the Company to terminate the Executive’s employment for Cause pursuant to Section 1 hereof shall not be deemed to be a waiver of such provision or right or any other provision or right of this Agreement.</w:t>
      </w:r>
    </w:p>
    <w:p>
      <w:pPr>
        <w:spacing w:after="0" w:line="135" w:lineRule="exact"/>
        <w:rPr>
          <w:sz w:val="20"/>
          <w:szCs w:val="20"/>
          <w:color w:val="auto"/>
        </w:rPr>
      </w:pPr>
    </w:p>
    <w:p>
      <w:pPr>
        <w:ind w:right="40" w:firstLine="1305"/>
        <w:spacing w:after="0" w:line="277" w:lineRule="auto"/>
        <w:tabs>
          <w:tab w:leader="none" w:pos="1945" w:val="left"/>
        </w:tabs>
        <w:numPr>
          <w:ilvl w:val="0"/>
          <w:numId w:val="229"/>
        </w:numPr>
        <w:rPr>
          <w:rFonts w:ascii="Arial" w:cs="Arial" w:eastAsia="Arial" w:hAnsi="Arial"/>
          <w:sz w:val="19"/>
          <w:szCs w:val="19"/>
          <w:color w:val="auto"/>
        </w:rPr>
      </w:pPr>
      <w:r>
        <w:rPr>
          <w:rFonts w:ascii="Arial" w:cs="Arial" w:eastAsia="Arial" w:hAnsi="Arial"/>
          <w:sz w:val="19"/>
          <w:szCs w:val="19"/>
          <w:u w:val="single" w:color="auto"/>
          <w:color w:val="auto"/>
        </w:rPr>
        <w:t>Entire Agreement; Exclusive Benefit; Supersession of Prior Agreement</w:t>
      </w:r>
      <w:r>
        <w:rPr>
          <w:rFonts w:ascii="Arial" w:cs="Arial" w:eastAsia="Arial" w:hAnsi="Arial"/>
          <w:sz w:val="19"/>
          <w:szCs w:val="19"/>
          <w:color w:val="auto"/>
        </w:rPr>
        <w:t>. This instrument contains the entire agreement of the Executive, the Company or any predecessor or subsidiary thereof with respect to any severance or termination pay. The Pre-Change in Control Severance Payment, the Post-Change in Control Severance Payment and all other benefits provided hereunder shall be in lieu of any other severance payments to which the Executive is entitled under any other severance plan or program or arrangement sponsored by the Company, as well as pursuant to any individual employment or severance agreement that was entered into by the Executive and the Company, and, upon the Effective Date of this Agreement, all such plans, programs, arrangements and agreements are hereby automatically superseded and terminated.</w:t>
      </w:r>
    </w:p>
    <w:p>
      <w:pPr>
        <w:spacing w:after="0" w:line="152" w:lineRule="exact"/>
        <w:rPr>
          <w:rFonts w:ascii="Arial" w:cs="Arial" w:eastAsia="Arial" w:hAnsi="Arial"/>
          <w:sz w:val="19"/>
          <w:szCs w:val="19"/>
          <w:color w:val="auto"/>
        </w:rPr>
      </w:pPr>
    </w:p>
    <w:p>
      <w:pPr>
        <w:ind w:right="40" w:firstLine="1305"/>
        <w:spacing w:after="0"/>
        <w:tabs>
          <w:tab w:leader="none" w:pos="1945" w:val="left"/>
        </w:tabs>
        <w:numPr>
          <w:ilvl w:val="0"/>
          <w:numId w:val="229"/>
        </w:numPr>
        <w:rPr>
          <w:rFonts w:ascii="Arial" w:cs="Arial" w:eastAsia="Arial" w:hAnsi="Arial"/>
          <w:sz w:val="22"/>
          <w:szCs w:val="22"/>
          <w:color w:val="auto"/>
        </w:rPr>
      </w:pPr>
      <w:r>
        <w:rPr>
          <w:rFonts w:ascii="Arial" w:cs="Arial" w:eastAsia="Arial" w:hAnsi="Arial"/>
          <w:sz w:val="22"/>
          <w:szCs w:val="22"/>
          <w:u w:val="single" w:color="auto"/>
          <w:color w:val="auto"/>
        </w:rPr>
        <w:t>No Right of Employment</w:t>
      </w:r>
      <w:r>
        <w:rPr>
          <w:rFonts w:ascii="Arial" w:cs="Arial" w:eastAsia="Arial" w:hAnsi="Arial"/>
          <w:sz w:val="22"/>
          <w:szCs w:val="22"/>
          <w:color w:val="auto"/>
        </w:rPr>
        <w:t>. Nothing in this Agreement shall be construed as giving the Executive any right to be retained in the employ of the Company or shall interfere in any way with the right of the Company to terminate the Executive’s employment at any time, with or without Cause.</w:t>
      </w:r>
    </w:p>
    <w:p>
      <w:pPr>
        <w:spacing w:after="0" w:line="172" w:lineRule="exact"/>
        <w:rPr>
          <w:rFonts w:ascii="Arial" w:cs="Arial" w:eastAsia="Arial" w:hAnsi="Arial"/>
          <w:sz w:val="22"/>
          <w:szCs w:val="22"/>
          <w:color w:val="auto"/>
        </w:rPr>
      </w:pPr>
    </w:p>
    <w:p>
      <w:pPr>
        <w:jc w:val="both"/>
        <w:ind w:firstLine="1305"/>
        <w:spacing w:after="0"/>
        <w:tabs>
          <w:tab w:leader="none" w:pos="1945" w:val="left"/>
        </w:tabs>
        <w:numPr>
          <w:ilvl w:val="0"/>
          <w:numId w:val="229"/>
        </w:numPr>
        <w:rPr>
          <w:rFonts w:ascii="Arial" w:cs="Arial" w:eastAsia="Arial" w:hAnsi="Arial"/>
          <w:sz w:val="22"/>
          <w:szCs w:val="22"/>
          <w:color w:val="auto"/>
        </w:rPr>
      </w:pPr>
      <w:r>
        <w:rPr>
          <w:rFonts w:ascii="Arial" w:cs="Arial" w:eastAsia="Arial" w:hAnsi="Arial"/>
          <w:sz w:val="22"/>
          <w:szCs w:val="22"/>
          <w:u w:val="single" w:color="auto"/>
          <w:color w:val="auto"/>
        </w:rPr>
        <w:t>Unfunded Obligation</w:t>
      </w:r>
      <w:r>
        <w:rPr>
          <w:rFonts w:ascii="Arial" w:cs="Arial" w:eastAsia="Arial" w:hAnsi="Arial"/>
          <w:sz w:val="22"/>
          <w:szCs w:val="22"/>
          <w:color w:val="auto"/>
        </w:rPr>
        <w:t>. The obligations under this Agreement shall be unfunded. Benefits payable under this Agreement shall be paid from the general assets of the Company. The Company shall have no obligation to establish any fund or to set aside any assets to provide benefits under this Agreement.</w:t>
      </w:r>
    </w:p>
    <w:p>
      <w:pPr>
        <w:spacing w:after="0" w:line="172" w:lineRule="exact"/>
        <w:rPr>
          <w:rFonts w:ascii="Arial" w:cs="Arial" w:eastAsia="Arial" w:hAnsi="Arial"/>
          <w:sz w:val="22"/>
          <w:szCs w:val="22"/>
          <w:color w:val="auto"/>
        </w:rPr>
      </w:pPr>
    </w:p>
    <w:p>
      <w:pPr>
        <w:ind w:right="20" w:firstLine="1305"/>
        <w:spacing w:after="0" w:line="245" w:lineRule="auto"/>
        <w:tabs>
          <w:tab w:leader="none" w:pos="1945" w:val="left"/>
        </w:tabs>
        <w:numPr>
          <w:ilvl w:val="0"/>
          <w:numId w:val="229"/>
        </w:numPr>
        <w:rPr>
          <w:rFonts w:ascii="Arial" w:cs="Arial" w:eastAsia="Arial" w:hAnsi="Arial"/>
          <w:sz w:val="21"/>
          <w:szCs w:val="21"/>
          <w:color w:val="auto"/>
        </w:rPr>
      </w:pPr>
      <w:r>
        <w:rPr>
          <w:rFonts w:ascii="Arial" w:cs="Arial" w:eastAsia="Arial" w:hAnsi="Arial"/>
          <w:sz w:val="21"/>
          <w:szCs w:val="21"/>
          <w:u w:val="single" w:color="auto"/>
          <w:color w:val="auto"/>
        </w:rPr>
        <w:t>Termination upon Sale of Assets of Subsidiary</w:t>
      </w:r>
      <w:r>
        <w:rPr>
          <w:rFonts w:ascii="Arial" w:cs="Arial" w:eastAsia="Arial" w:hAnsi="Arial"/>
          <w:sz w:val="21"/>
          <w:szCs w:val="21"/>
          <w:color w:val="auto"/>
        </w:rPr>
        <w:t>. Notwithstanding anything contained herein, this Agreement shall automatically terminate and be of no further force and effect and no benefits shall be payable hereunder in the event that (i) the Executive is employed by a direct or indirect subsidiary of Sempra Energy, and (ii) an Asset Sale (as defined in Section 16(e)) occurs (other than such a sale or disposition which is part of a transaction or series of transactions which would result in a Change in Control), and (iii) as a result of such Asset Sale, the Executive is offered employment by the Asset Purchaser in an executive position with reasonably comparable status, compensation, benefits and severance agreement (including the assumption of this Agreement in accordance with Section 16(e)) and which is consistent with the Executive’s experience and education, but the Executive declines to accept such offer and the Executive fails to become employed by the Asset Purchaser on the date of the Asset Sale.</w:t>
      </w:r>
    </w:p>
    <w:p>
      <w:pPr>
        <w:spacing w:after="0" w:line="185" w:lineRule="exact"/>
        <w:rPr>
          <w:rFonts w:ascii="Arial" w:cs="Arial" w:eastAsia="Arial" w:hAnsi="Arial"/>
          <w:sz w:val="21"/>
          <w:szCs w:val="21"/>
          <w:color w:val="auto"/>
        </w:rPr>
      </w:pPr>
    </w:p>
    <w:p>
      <w:pPr>
        <w:ind w:right="40" w:firstLine="1305"/>
        <w:spacing w:after="0" w:line="275" w:lineRule="auto"/>
        <w:tabs>
          <w:tab w:leader="none" w:pos="1945" w:val="left"/>
        </w:tabs>
        <w:numPr>
          <w:ilvl w:val="0"/>
          <w:numId w:val="229"/>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xml:space="preserve">. The term of this Agreement shall commence on the Effective Date and shall continue until the third (3rd) anniversary of the Effective Date; </w:t>
      </w:r>
      <w:r>
        <w:rPr>
          <w:rFonts w:ascii="Arial" w:cs="Arial" w:eastAsia="Arial" w:hAnsi="Arial"/>
          <w:sz w:val="19"/>
          <w:szCs w:val="19"/>
          <w:i w:val="1"/>
          <w:iCs w:val="1"/>
          <w:color w:val="auto"/>
        </w:rPr>
        <w:t>provided, however</w:t>
      </w:r>
      <w:r>
        <w:rPr>
          <w:rFonts w:ascii="Arial" w:cs="Arial" w:eastAsia="Arial" w:hAnsi="Arial"/>
          <w:sz w:val="19"/>
          <w:szCs w:val="19"/>
          <w:color w:val="auto"/>
        </w:rPr>
        <w:t>, that commencing on the second (2nd) anniversary of the Effective Date (and each anniversary of the Effective Date thereafter), the term of this Agreement shall automatically be extended for one (1) additional year, unless at least ninety (90) days prior to such date, the Company or the Executive shall give written notice to the other party that it or he, as the case may be, does not wish to so extend this Agreement. Notwithstanding the foregoing, if the Company gives such written notice to the Executive less than two (2) years after a Change in Control, the term of this Agreement shall be automatically extended until the later of (A) the date that is one (1) year after the anniversary of the Effective Date that follows such written notice or (B) the second (2nd) anniversary of the Change in Control Date.</w:t>
      </w:r>
    </w:p>
    <w:p>
      <w:pPr>
        <w:spacing w:after="0" w:line="144" w:lineRule="exact"/>
        <w:rPr>
          <w:rFonts w:ascii="Arial" w:cs="Arial" w:eastAsia="Arial" w:hAnsi="Arial"/>
          <w:sz w:val="19"/>
          <w:szCs w:val="19"/>
          <w:color w:val="auto"/>
        </w:rPr>
      </w:pPr>
    </w:p>
    <w:p>
      <w:pPr>
        <w:ind w:right="20" w:firstLine="1305"/>
        <w:spacing w:after="0" w:line="251" w:lineRule="auto"/>
        <w:tabs>
          <w:tab w:leader="none" w:pos="1945" w:val="left"/>
        </w:tabs>
        <w:numPr>
          <w:ilvl w:val="0"/>
          <w:numId w:val="229"/>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ectPr>
          <w:pgSz w:w="11900" w:h="16838" w:orient="portrait"/>
          <w:cols w:equalWidth="0" w:num="1">
            <w:col w:w="11400"/>
          </w:cols>
          <w:pgMar w:left="240" w:top="118" w:right="259" w:bottom="1440" w:gutter="0" w:footer="0" w:header="0"/>
        </w:sectPr>
      </w:pPr>
    </w:p>
    <w:bookmarkStart w:id="162" w:name="page163"/>
    <w:bookmarkEnd w:id="162"/>
    <w:p>
      <w:pPr>
        <w:ind w:firstLine="648"/>
        <w:spacing w:after="0" w:line="251" w:lineRule="auto"/>
        <w:rPr>
          <w:sz w:val="20"/>
          <w:szCs w:val="20"/>
          <w:color w:val="auto"/>
        </w:rPr>
      </w:pPr>
      <w:r>
        <w:rPr>
          <w:rFonts w:ascii="Arial" w:cs="Arial" w:eastAsia="Arial" w:hAnsi="Arial"/>
          <w:sz w:val="22"/>
          <w:szCs w:val="22"/>
          <w:color w:val="auto"/>
        </w:rPr>
        <w:t>IN WITNESS WHEREOF, the Executive and, pursuant to due authorization from its Board of Directors, the Company have caused this Agreement to be executed as of the day and year first above written.</w:t>
      </w:r>
    </w:p>
    <w:p>
      <w:pPr>
        <w:spacing w:after="0" w:line="1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SEMPRA ENERGY</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 Joyce Rowland</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Senior Vice President, Human Resources, Diversity and Inclusion</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Erbin Keith</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Vice President and General Counsel</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ectPr>
          <w:pgSz w:w="11900" w:h="16838" w:orient="portrait"/>
          <w:cols w:equalWidth="0" w:num="1">
            <w:col w:w="11380"/>
          </w:cols>
          <w:pgMar w:left="240" w:top="118" w:right="279" w:bottom="1440" w:gutter="0" w:footer="0" w:header="0"/>
        </w:sectPr>
      </w:pPr>
    </w:p>
    <w:bookmarkStart w:id="163" w:name="page164"/>
    <w:bookmarkEnd w:id="163"/>
    <w:p>
      <w:pPr>
        <w:jc w:val="right"/>
        <w:spacing w:after="0"/>
        <w:rPr>
          <w:sz w:val="20"/>
          <w:szCs w:val="20"/>
          <w:color w:val="auto"/>
        </w:rPr>
      </w:pPr>
      <w:r>
        <w:rPr>
          <w:rFonts w:ascii="Arial" w:cs="Arial" w:eastAsia="Arial" w:hAnsi="Arial"/>
          <w:sz w:val="22"/>
          <w:szCs w:val="22"/>
          <w:u w:val="single" w:color="auto"/>
          <w:color w:val="auto"/>
        </w:rPr>
        <w:t>EXHIBIT A</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RELEASE</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GENERAL RELEASE (the “</w:t>
      </w:r>
      <w:r>
        <w:rPr>
          <w:rFonts w:ascii="Arial" w:cs="Arial" w:eastAsia="Arial" w:hAnsi="Arial"/>
          <w:sz w:val="22"/>
          <w:szCs w:val="22"/>
          <w:u w:val="single" w:color="auto"/>
          <w:color w:val="auto"/>
        </w:rPr>
        <w:t>Agreement</w:t>
      </w:r>
      <w:r>
        <w:rPr>
          <w:rFonts w:ascii="Arial" w:cs="Arial" w:eastAsia="Arial" w:hAnsi="Arial"/>
          <w:sz w:val="22"/>
          <w:szCs w:val="22"/>
          <w:color w:val="auto"/>
        </w:rPr>
        <w:t>”), dated ___________, is made by and between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 a California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___________________________ (“</w:t>
      </w:r>
      <w:r>
        <w:rPr>
          <w:rFonts w:ascii="Arial" w:cs="Arial" w:eastAsia="Arial" w:hAnsi="Arial"/>
          <w:sz w:val="19"/>
          <w:szCs w:val="19"/>
          <w:u w:val="single" w:color="auto"/>
          <w:color w:val="auto"/>
        </w:rPr>
        <w:t>you</w:t>
      </w:r>
      <w:r>
        <w:rPr>
          <w:rFonts w:ascii="Arial" w:cs="Arial" w:eastAsia="Arial" w:hAnsi="Arial"/>
          <w:sz w:val="19"/>
          <w:szCs w:val="19"/>
          <w:color w:val="auto"/>
        </w:rPr>
        <w:t>” or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your</w:t>
      </w:r>
      <w:r>
        <w:rPr>
          <w:rFonts w:ascii="Arial" w:cs="Arial" w:eastAsia="Arial" w:hAnsi="Arial"/>
          <w:sz w:val="22"/>
          <w:szCs w:val="22"/>
          <w:color w:val="auto"/>
        </w:rPr>
        <w: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you and the Company have previously entered into that certain Severance Pay Agreement dated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____________, 20__ (the “</w:t>
      </w:r>
      <w:r>
        <w:rPr>
          <w:rFonts w:ascii="Arial" w:cs="Arial" w:eastAsia="Arial" w:hAnsi="Arial"/>
          <w:sz w:val="22"/>
          <w:szCs w:val="22"/>
          <w:u w:val="single" w:color="auto"/>
          <w:color w:val="auto"/>
        </w:rPr>
        <w:t>Severance Pay Agreement</w:t>
      </w:r>
      <w:r>
        <w:rPr>
          <w:rFonts w:ascii="Arial" w:cs="Arial" w:eastAsia="Arial" w:hAnsi="Arial"/>
          <w:sz w:val="22"/>
          <w:szCs w:val="22"/>
          <w:color w:val="auto"/>
        </w:rPr>
        <w:t>”); and</w:t>
      </w:r>
    </w:p>
    <w:p>
      <w:pPr>
        <w:spacing w:after="0" w:line="188" w:lineRule="exact"/>
        <w:rPr>
          <w:sz w:val="20"/>
          <w:szCs w:val="20"/>
          <w:color w:val="auto"/>
        </w:rPr>
      </w:pPr>
    </w:p>
    <w:p>
      <w:pPr>
        <w:jc w:val="both"/>
        <w:ind w:right="20" w:firstLine="1297"/>
        <w:spacing w:after="0"/>
        <w:rPr>
          <w:sz w:val="20"/>
          <w:szCs w:val="20"/>
          <w:color w:val="auto"/>
        </w:rPr>
      </w:pPr>
      <w:r>
        <w:rPr>
          <w:rFonts w:ascii="Arial" w:cs="Arial" w:eastAsia="Arial" w:hAnsi="Arial"/>
          <w:sz w:val="22"/>
          <w:szCs w:val="22"/>
          <w:color w:val="auto"/>
        </w:rPr>
        <w:t>WHEREAS, your right to receive certain severance pay and benefits pursuant to the terms of Section 4 or Section 5 of the Severance Pay Agreement, as applicable, are subject to and conditioned upon your execution and non-revocation of a general release of claims by you against the Company and its subsidiaries and affiliates.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NOW, THEREFORE, in consideration of the premises and the mutual covenants herein contained, you and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Company hereby agree as follows:</w:t>
      </w:r>
    </w:p>
    <w:p>
      <w:pPr>
        <w:spacing w:after="0" w:line="188" w:lineRule="exact"/>
        <w:rPr>
          <w:sz w:val="20"/>
          <w:szCs w:val="20"/>
          <w:color w:val="auto"/>
        </w:rPr>
      </w:pPr>
    </w:p>
    <w:p>
      <w:pPr>
        <w:ind w:right="480" w:firstLine="1297"/>
        <w:spacing w:after="0" w:line="251" w:lineRule="auto"/>
        <w:rPr>
          <w:sz w:val="20"/>
          <w:szCs w:val="20"/>
          <w:color w:val="auto"/>
        </w:rPr>
      </w:pPr>
      <w:r>
        <w:rPr>
          <w:rFonts w:ascii="Arial" w:cs="Arial" w:eastAsia="Arial" w:hAnsi="Arial"/>
          <w:sz w:val="22"/>
          <w:szCs w:val="22"/>
          <w:color w:val="auto"/>
        </w:rPr>
        <w:t>ONE: Your signing of this Agreement confirms that your employment with the Company shall terminate at the close of business on ____________, or earlier upon our mutual agreement.</w:t>
      </w:r>
    </w:p>
    <w:p>
      <w:pPr>
        <w:spacing w:after="0" w:line="173" w:lineRule="exact"/>
        <w:rPr>
          <w:sz w:val="20"/>
          <w:szCs w:val="20"/>
          <w:color w:val="auto"/>
        </w:rPr>
      </w:pPr>
    </w:p>
    <w:p>
      <w:pPr>
        <w:ind w:right="20" w:firstLine="1297"/>
        <w:spacing w:after="0" w:line="287" w:lineRule="auto"/>
        <w:rPr>
          <w:sz w:val="20"/>
          <w:szCs w:val="20"/>
          <w:color w:val="auto"/>
        </w:rPr>
      </w:pPr>
      <w:r>
        <w:rPr>
          <w:rFonts w:ascii="Arial" w:cs="Arial" w:eastAsia="Arial" w:hAnsi="Arial"/>
          <w:sz w:val="19"/>
          <w:szCs w:val="19"/>
          <w:color w:val="auto"/>
        </w:rPr>
        <w:t>TWO: As a material inducement for the payment of the severance and benefits under the Severance Pay Agreement, and except as otherwise provided in this Agreement, you and the Company hereby irrevocably and unconditionally release, acquit and forever discharge the other from any and all Claims either may have against the other. For purposes of this Agreement and the preceding sentence, the words “Releasee” or “Releasees” and “Claim” or “Claims” shall have the meanings set forth below:</w:t>
      </w:r>
    </w:p>
    <w:p>
      <w:pPr>
        <w:spacing w:after="0" w:line="130" w:lineRule="exact"/>
        <w:rPr>
          <w:sz w:val="20"/>
          <w:szCs w:val="20"/>
          <w:color w:val="auto"/>
        </w:rPr>
      </w:pPr>
    </w:p>
    <w:p>
      <w:pPr>
        <w:ind w:right="20" w:firstLine="1305"/>
        <w:spacing w:after="0" w:line="236" w:lineRule="auto"/>
        <w:tabs>
          <w:tab w:leader="none" w:pos="1945" w:val="left"/>
        </w:tabs>
        <w:numPr>
          <w:ilvl w:val="0"/>
          <w:numId w:val="230"/>
        </w:numPr>
        <w:rPr>
          <w:rFonts w:ascii="Arial" w:cs="Arial" w:eastAsia="Arial" w:hAnsi="Arial"/>
          <w:sz w:val="22"/>
          <w:szCs w:val="22"/>
          <w:color w:val="auto"/>
        </w:rPr>
      </w:pPr>
      <w:r>
        <w:rPr>
          <w:rFonts w:ascii="Arial" w:cs="Arial" w:eastAsia="Arial" w:hAnsi="Arial"/>
          <w:sz w:val="22"/>
          <w:szCs w:val="22"/>
          <w:color w:val="auto"/>
        </w:rPr>
        <w:t>The words “</w:t>
      </w:r>
      <w:r>
        <w:rPr>
          <w:rFonts w:ascii="Arial" w:cs="Arial" w:eastAsia="Arial" w:hAnsi="Arial"/>
          <w:sz w:val="22"/>
          <w:szCs w:val="22"/>
          <w:u w:val="single" w:color="auto"/>
          <w:color w:val="auto"/>
        </w:rPr>
        <w:t>Releasee</w:t>
      </w:r>
      <w:r>
        <w:rPr>
          <w:rFonts w:ascii="Arial" w:cs="Arial" w:eastAsia="Arial" w:hAnsi="Arial"/>
          <w:sz w:val="22"/>
          <w:szCs w:val="22"/>
          <w:color w:val="auto"/>
        </w:rPr>
        <w:t>” or “</w:t>
      </w:r>
      <w:r>
        <w:rPr>
          <w:rFonts w:ascii="Arial" w:cs="Arial" w:eastAsia="Arial" w:hAnsi="Arial"/>
          <w:sz w:val="22"/>
          <w:szCs w:val="22"/>
          <w:u w:val="single" w:color="auto"/>
          <w:color w:val="auto"/>
        </w:rPr>
        <w:t>Releasees</w:t>
      </w:r>
      <w:r>
        <w:rPr>
          <w:rFonts w:ascii="Arial" w:cs="Arial" w:eastAsia="Arial" w:hAnsi="Arial"/>
          <w:sz w:val="22"/>
          <w:szCs w:val="22"/>
          <w:color w:val="auto"/>
        </w:rPr>
        <w:t>” shall refer to you and to the Company and each of the Company’s owners, stockholders, predecessors, successors, assigns, agents, directors, officers, employees, representatives, attorneys, advisors, parent companies, divisions, subsidiaries, affiliates (and agents, directors, officers, employees, representatives, attorneys and advisors of such parent companies, divisions, subsidiaries and affiliates) and all persons acting by, through, under or in concert with any of them.</w:t>
      </w:r>
    </w:p>
    <w:p>
      <w:pPr>
        <w:spacing w:after="0" w:line="187" w:lineRule="exact"/>
        <w:rPr>
          <w:rFonts w:ascii="Arial" w:cs="Arial" w:eastAsia="Arial" w:hAnsi="Arial"/>
          <w:sz w:val="22"/>
          <w:szCs w:val="22"/>
          <w:color w:val="auto"/>
        </w:rPr>
      </w:pPr>
    </w:p>
    <w:p>
      <w:pPr>
        <w:ind w:right="20" w:firstLine="1305"/>
        <w:spacing w:after="0" w:line="271" w:lineRule="auto"/>
        <w:tabs>
          <w:tab w:leader="none" w:pos="1945" w:val="left"/>
        </w:tabs>
        <w:numPr>
          <w:ilvl w:val="0"/>
          <w:numId w:val="230"/>
        </w:numPr>
        <w:rPr>
          <w:rFonts w:ascii="Arial" w:cs="Arial" w:eastAsia="Arial" w:hAnsi="Arial"/>
          <w:sz w:val="19"/>
          <w:szCs w:val="19"/>
          <w:color w:val="auto"/>
        </w:rPr>
      </w:pPr>
      <w:r>
        <w:rPr>
          <w:rFonts w:ascii="Arial" w:cs="Arial" w:eastAsia="Arial" w:hAnsi="Arial"/>
          <w:sz w:val="19"/>
          <w:szCs w:val="19"/>
          <w:color w:val="auto"/>
        </w:rPr>
        <w:t>The words “</w:t>
      </w:r>
      <w:r>
        <w:rPr>
          <w:rFonts w:ascii="Arial" w:cs="Arial" w:eastAsia="Arial" w:hAnsi="Arial"/>
          <w:sz w:val="19"/>
          <w:szCs w:val="19"/>
          <w:u w:val="single" w:color="auto"/>
          <w:color w:val="auto"/>
        </w:rPr>
        <w:t>Claim</w:t>
      </w:r>
      <w:r>
        <w:rPr>
          <w:rFonts w:ascii="Arial" w:cs="Arial" w:eastAsia="Arial" w:hAnsi="Arial"/>
          <w:sz w:val="19"/>
          <w:szCs w:val="19"/>
          <w:color w:val="auto"/>
        </w:rPr>
        <w:t>” or “</w:t>
      </w:r>
      <w:r>
        <w:rPr>
          <w:rFonts w:ascii="Arial" w:cs="Arial" w:eastAsia="Arial" w:hAnsi="Arial"/>
          <w:sz w:val="19"/>
          <w:szCs w:val="19"/>
          <w:u w:val="single" w:color="auto"/>
          <w:color w:val="auto"/>
        </w:rPr>
        <w:t>Claims</w:t>
      </w:r>
      <w:r>
        <w:rPr>
          <w:rFonts w:ascii="Arial" w:cs="Arial" w:eastAsia="Arial" w:hAnsi="Arial"/>
          <w:sz w:val="19"/>
          <w:szCs w:val="19"/>
          <w:color w:val="auto"/>
        </w:rPr>
        <w:t xml:space="preserve">” shall refer to any charges, complaints, claims, liabilities, obligations, promises, agreements, controversies, damages, actions, causes of action, suits, rights, demands, costs, losses, debts and expenses (including attorneys’ fees and costs actually incurred) of any nature whatsoever, known or unknown, suspected or unsuspected, which you or the Company now, in the past or, in the future may have, own or hold against any of the Releasees;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word “Claim” or “Claims” shall not refer to any charges, complaints, claims, liabilities, obligations, promises,</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agreements, controversies, damages, actions, causes of action, suits, rights, demands, costs, losses, debts and expenses (including attorneys’ fees and costs actually incurred) arising under [</w:t>
      </w:r>
      <w:r>
        <w:rPr>
          <w:rFonts w:ascii="Arial" w:cs="Arial" w:eastAsia="Arial" w:hAnsi="Arial"/>
          <w:sz w:val="19"/>
          <w:szCs w:val="19"/>
          <w:i w:val="1"/>
          <w:iCs w:val="1"/>
          <w:color w:val="auto"/>
        </w:rPr>
        <w:t>identify severance, employee benefits, stock option, indemnification and</w:t>
      </w:r>
      <w:r>
        <w:rPr>
          <w:rFonts w:ascii="Arial" w:cs="Arial" w:eastAsia="Arial" w:hAnsi="Arial"/>
          <w:sz w:val="19"/>
          <w:szCs w:val="19"/>
          <w:color w:val="auto"/>
        </w:rPr>
        <w:t xml:space="preserve"> </w:t>
      </w:r>
      <w:r>
        <w:rPr>
          <w:rFonts w:ascii="Arial" w:cs="Arial" w:eastAsia="Arial" w:hAnsi="Arial"/>
          <w:sz w:val="19"/>
          <w:szCs w:val="19"/>
          <w:i w:val="1"/>
          <w:iCs w:val="1"/>
          <w:color w:val="auto"/>
        </w:rPr>
        <w:t>D&amp;O and other agreements containing duties, rights obligations etc. of either party that are to remain operative</w:t>
      </w:r>
      <w:r>
        <w:rPr>
          <w:rFonts w:ascii="Arial" w:cs="Arial" w:eastAsia="Arial" w:hAnsi="Arial"/>
          <w:sz w:val="19"/>
          <w:szCs w:val="19"/>
          <w:color w:val="auto"/>
        </w:rPr>
        <w:t>]. Claims released</w:t>
      </w:r>
      <w:r>
        <w:rPr>
          <w:rFonts w:ascii="Arial" w:cs="Arial" w:eastAsia="Arial" w:hAnsi="Arial"/>
          <w:sz w:val="19"/>
          <w:szCs w:val="19"/>
          <w:i w:val="1"/>
          <w:iCs w:val="1"/>
          <w:color w:val="auto"/>
        </w:rPr>
        <w:t xml:space="preserve"> </w:t>
      </w:r>
      <w:r>
        <w:rPr>
          <w:rFonts w:ascii="Arial" w:cs="Arial" w:eastAsia="Arial" w:hAnsi="Arial"/>
          <w:sz w:val="19"/>
          <w:szCs w:val="19"/>
          <w:color w:val="auto"/>
        </w:rPr>
        <w:t>pursuant to this Agreement by you and the Company include, but are not limited to, rights arising out of alleged violations of any contracts, express or implied, any tort, claim, any claim that you failed to perform or negligently performed or breached your duties during employment at the Company; any legal restrictions on the Company’s right to terminate employment relationships or any federal, state or other governmental statute, regulation, or ordinance, governing the employment relationship including, without limitation: all state and federal laws and regulations prohibiting discrimination based on protected categories, and all state and federal laws and regulations prohibiting retaliation against employees for engaging in protected activity or legal off-duty conduct. This release does not extend to claims for workers’ compensation or other claims which by law may not be waived or released by this Agreement.</w:t>
      </w:r>
    </w:p>
    <w:p>
      <w:pPr>
        <w:spacing w:after="0" w:line="200" w:lineRule="exact"/>
        <w:rPr>
          <w:sz w:val="20"/>
          <w:szCs w:val="20"/>
          <w:color w:val="auto"/>
        </w:rPr>
      </w:pPr>
    </w:p>
    <w:p>
      <w:pPr>
        <w:spacing w:after="0" w:line="205" w:lineRule="exact"/>
        <w:rPr>
          <w:sz w:val="20"/>
          <w:szCs w:val="20"/>
          <w:color w:val="auto"/>
        </w:rPr>
      </w:pPr>
    </w:p>
    <w:p>
      <w:pPr>
        <w:ind w:right="20" w:firstLine="1297"/>
        <w:spacing w:after="0" w:line="235" w:lineRule="auto"/>
        <w:rPr>
          <w:sz w:val="20"/>
          <w:szCs w:val="20"/>
          <w:color w:val="auto"/>
        </w:rPr>
      </w:pPr>
      <w:r>
        <w:rPr>
          <w:rFonts w:ascii="Arial" w:cs="Arial" w:eastAsia="Arial" w:hAnsi="Arial"/>
          <w:sz w:val="22"/>
          <w:szCs w:val="22"/>
          <w:color w:val="auto"/>
        </w:rPr>
        <w:t>THREE: You and the Company expressly waive and relinquish all rights and benefits afforded by any statute (including but not limited to Section 1542 of the Civil Code of the State of California and analogous laws of other states) which limits the effect of a release with respect to unknown claims. You and the Company do so understanding and acknowledging the significance of the release of unknown claims and the waiver of statutory protection against a release of unknown claims (including but not limited to Section 1542 and analogous laws of other states). Section 1542 of the Civil Code of the State of California states as follows:</w:t>
      </w:r>
    </w:p>
    <w:p>
      <w:pPr>
        <w:spacing w:after="0" w:line="188" w:lineRule="exact"/>
        <w:rPr>
          <w:sz w:val="20"/>
          <w:szCs w:val="20"/>
          <w:color w:val="auto"/>
        </w:rPr>
      </w:pPr>
    </w:p>
    <w:p>
      <w:pPr>
        <w:ind w:left="1300" w:right="1340"/>
        <w:spacing w:after="0" w:line="238" w:lineRule="auto"/>
        <w:rPr>
          <w:sz w:val="20"/>
          <w:szCs w:val="20"/>
          <w:color w:val="auto"/>
        </w:rPr>
      </w:pPr>
      <w:r>
        <w:rPr>
          <w:rFonts w:ascii="Arial" w:cs="Arial" w:eastAsia="Arial" w:hAnsi="Arial"/>
          <w:sz w:val="22"/>
          <w:szCs w:val="22"/>
          <w:color w:val="auto"/>
        </w:rPr>
        <w:t>“A GENERAL RELEASE DOES NOT EXTEND TO CLAIMS WHICH THE CREDITOR DOES NOT KNOW OR SUSPECT TO EXIST IN HIS OR HER FAVOR AT THE TIME OF EXECUTING THE RELEASE, WHICH IF KNOWN BY HIM OR HER MUST HAVE MATERIALLY AFFECTED HIS SETTLEMENT WITH THE DEBTOR.”</w:t>
      </w:r>
    </w:p>
    <w:p>
      <w:pPr>
        <w:spacing w:after="0" w:line="185" w:lineRule="exact"/>
        <w:rPr>
          <w:sz w:val="20"/>
          <w:szCs w:val="20"/>
          <w:color w:val="auto"/>
        </w:rPr>
      </w:pPr>
    </w:p>
    <w:p>
      <w:pPr>
        <w:ind w:right="220"/>
        <w:spacing w:after="0" w:line="236" w:lineRule="auto"/>
        <w:rPr>
          <w:sz w:val="20"/>
          <w:szCs w:val="20"/>
          <w:color w:val="auto"/>
        </w:rPr>
      </w:pPr>
      <w:r>
        <w:rPr>
          <w:rFonts w:ascii="Arial" w:cs="Arial" w:eastAsia="Arial" w:hAnsi="Arial"/>
          <w:sz w:val="22"/>
          <w:szCs w:val="22"/>
          <w:color w:val="auto"/>
        </w:rPr>
        <w:t>Thus, notwithstanding the provisions of Section 1542 or of any similar statute, and for the purpose of implementing a full and complete release and discharge of the Releasees, you and the Company expressly acknowledge that this Agreement is intended to include in its effect, without limitation, all Claims which are known and all Claims which you or the Company do not know or suspect to exist in your or the Company’s favor at the time of execution of this Agreement and that this Agreement contemplates the extinguishment of all such Claims.</w:t>
      </w:r>
    </w:p>
    <w:p>
      <w:pPr>
        <w:sectPr>
          <w:pgSz w:w="11900" w:h="16838" w:orient="portrait"/>
          <w:cols w:equalWidth="0" w:num="1">
            <w:col w:w="11420"/>
          </w:cols>
          <w:pgMar w:left="240" w:top="605" w:right="239" w:bottom="0" w:gutter="0" w:footer="0" w:header="0"/>
        </w:sectPr>
      </w:pPr>
    </w:p>
    <w:bookmarkStart w:id="164" w:name="page165"/>
    <w:bookmarkEnd w:id="164"/>
    <w:p>
      <w:pPr>
        <w:spacing w:after="0" w:line="14" w:lineRule="exact"/>
        <w:rPr>
          <w:sz w:val="20"/>
          <w:szCs w:val="20"/>
          <w:color w:val="auto"/>
        </w:rPr>
      </w:pPr>
    </w:p>
    <w:p>
      <w:pPr>
        <w:ind w:right="20" w:firstLine="1297"/>
        <w:spacing w:after="0" w:line="238" w:lineRule="auto"/>
        <w:rPr>
          <w:sz w:val="20"/>
          <w:szCs w:val="20"/>
          <w:color w:val="auto"/>
        </w:rPr>
      </w:pPr>
      <w:r>
        <w:rPr>
          <w:rFonts w:ascii="Arial" w:cs="Arial" w:eastAsia="Arial" w:hAnsi="Arial"/>
          <w:sz w:val="22"/>
          <w:szCs w:val="22"/>
          <w:color w:val="auto"/>
        </w:rPr>
        <w:t>FOUR: The parties acknowledge that they might hereafter discover facts different from, or in addition to, those they now know or believe to be true with respect to a Claim or Claims released herein, and they expressly agree to assume the risk of possible discovery of additional or different facts, and agree that this Agreement shall be and remain effective, in all respects, regardless of such additional or different discovered facts.</w:t>
      </w:r>
    </w:p>
    <w:p>
      <w:pPr>
        <w:spacing w:after="0" w:line="186" w:lineRule="exact"/>
        <w:rPr>
          <w:sz w:val="20"/>
          <w:szCs w:val="20"/>
          <w:color w:val="auto"/>
        </w:rPr>
      </w:pPr>
    </w:p>
    <w:p>
      <w:pPr>
        <w:ind w:right="20" w:firstLine="1297"/>
        <w:spacing w:after="0" w:line="249" w:lineRule="auto"/>
        <w:rPr>
          <w:sz w:val="20"/>
          <w:szCs w:val="20"/>
          <w:color w:val="auto"/>
        </w:rPr>
      </w:pPr>
      <w:r>
        <w:rPr>
          <w:rFonts w:ascii="Arial" w:cs="Arial" w:eastAsia="Arial" w:hAnsi="Arial"/>
          <w:sz w:val="21"/>
          <w:szCs w:val="21"/>
          <w:color w:val="auto"/>
        </w:rPr>
        <w:t>FIVE: You hereby represent and acknowledge that you have not filed any Claim of any kind against the Company or others released in this Agreement. You further hereby expressly agree never to initiate against the Company or others released in this Agreement any administrative proceeding, lawsuit or any other legal or equitable proceeding of any kind asserting any Claims that are released in this Agreement. You agree that you will not be entitled to any monetary recovery that may result from any agency action against the Company related to the Claims released by this Agreement.</w:t>
      </w:r>
    </w:p>
    <w:p>
      <w:pPr>
        <w:spacing w:after="0" w:line="179" w:lineRule="exact"/>
        <w:rPr>
          <w:sz w:val="20"/>
          <w:szCs w:val="20"/>
          <w:color w:val="auto"/>
        </w:rPr>
      </w:pPr>
    </w:p>
    <w:p>
      <w:pPr>
        <w:ind w:right="120" w:firstLine="1297"/>
        <w:spacing w:after="0" w:line="238" w:lineRule="auto"/>
        <w:rPr>
          <w:sz w:val="20"/>
          <w:szCs w:val="20"/>
          <w:color w:val="auto"/>
        </w:rPr>
      </w:pPr>
      <w:r>
        <w:rPr>
          <w:rFonts w:ascii="Arial" w:cs="Arial" w:eastAsia="Arial" w:hAnsi="Arial"/>
          <w:sz w:val="22"/>
          <w:szCs w:val="22"/>
          <w:color w:val="auto"/>
        </w:rPr>
        <w:t>The Company hereby represents and acknowledges that it has not filed any Claim of any kind against you or others released in this Agreement. The Company further hereby expressly agrees never to initiate against you or others released in this Agreement any administrative proceeding, lawsuit or any other legal or equitable proceeding of any kind asserting any Claims that are released in this Agreement.</w:t>
      </w:r>
    </w:p>
    <w:p>
      <w:pPr>
        <w:spacing w:after="0" w:line="185" w:lineRule="exact"/>
        <w:rPr>
          <w:sz w:val="20"/>
          <w:szCs w:val="20"/>
          <w:color w:val="auto"/>
        </w:rPr>
      </w:pPr>
    </w:p>
    <w:p>
      <w:pPr>
        <w:ind w:right="400" w:firstLine="1297"/>
        <w:spacing w:after="0" w:line="251" w:lineRule="auto"/>
        <w:rPr>
          <w:sz w:val="20"/>
          <w:szCs w:val="20"/>
          <w:color w:val="auto"/>
        </w:rPr>
      </w:pPr>
      <w:r>
        <w:rPr>
          <w:rFonts w:ascii="Arial" w:cs="Arial" w:eastAsia="Arial" w:hAnsi="Arial"/>
          <w:sz w:val="22"/>
          <w:szCs w:val="22"/>
          <w:color w:val="auto"/>
        </w:rPr>
        <w:t>SIX: You hereby represent and agree that you have not assigned or transferred, or attempted to have assigned or transfer, to any person or entity, any of the Claims that you are releasing in this Agreement.</w:t>
      </w:r>
    </w:p>
    <w:p>
      <w:pPr>
        <w:spacing w:after="0" w:line="173" w:lineRule="exact"/>
        <w:rPr>
          <w:sz w:val="20"/>
          <w:szCs w:val="20"/>
          <w:color w:val="auto"/>
        </w:rPr>
      </w:pPr>
    </w:p>
    <w:p>
      <w:pPr>
        <w:ind w:right="180" w:firstLine="1297"/>
        <w:spacing w:after="0" w:line="251" w:lineRule="auto"/>
        <w:rPr>
          <w:sz w:val="20"/>
          <w:szCs w:val="20"/>
          <w:color w:val="auto"/>
        </w:rPr>
      </w:pPr>
      <w:r>
        <w:rPr>
          <w:rFonts w:ascii="Arial" w:cs="Arial" w:eastAsia="Arial" w:hAnsi="Arial"/>
          <w:sz w:val="22"/>
          <w:szCs w:val="22"/>
          <w:color w:val="auto"/>
        </w:rPr>
        <w:t>The Company hereby represents and agrees that it has not assigned or transferred, or attempted to have assigned or transfer, to any person or entity, any of the Claims that it is releasing in this Agreement.</w:t>
      </w:r>
    </w:p>
    <w:p>
      <w:pPr>
        <w:spacing w:after="0" w:line="173" w:lineRule="exact"/>
        <w:rPr>
          <w:sz w:val="20"/>
          <w:szCs w:val="20"/>
          <w:color w:val="auto"/>
        </w:rPr>
      </w:pPr>
    </w:p>
    <w:p>
      <w:pPr>
        <w:ind w:right="400" w:firstLine="1297"/>
        <w:spacing w:after="0" w:line="238" w:lineRule="auto"/>
        <w:rPr>
          <w:sz w:val="20"/>
          <w:szCs w:val="20"/>
          <w:color w:val="auto"/>
        </w:rPr>
      </w:pPr>
      <w:r>
        <w:rPr>
          <w:rFonts w:ascii="Arial" w:cs="Arial" w:eastAsia="Arial" w:hAnsi="Arial"/>
          <w:sz w:val="22"/>
          <w:szCs w:val="22"/>
          <w:color w:val="auto"/>
        </w:rPr>
        <w:t>SEVEN: As a further material inducement to the Company to enter into this Agreement, you hereby agree to indemnify and hold each of the Releasees harmless from all loss, costs, damages, or expenses, including without limitation, attorneys’ fees incurred by the Releasees, arising out of any breach of this Agreement by you or the fact that any representation made in this Agreement by you was false when made.</w:t>
      </w:r>
    </w:p>
    <w:p>
      <w:pPr>
        <w:spacing w:after="0" w:line="185" w:lineRule="exact"/>
        <w:rPr>
          <w:sz w:val="20"/>
          <w:szCs w:val="20"/>
          <w:color w:val="auto"/>
        </w:rPr>
      </w:pPr>
    </w:p>
    <w:p>
      <w:pPr>
        <w:ind w:right="140" w:firstLine="1297"/>
        <w:spacing w:after="0" w:line="238" w:lineRule="auto"/>
        <w:rPr>
          <w:sz w:val="20"/>
          <w:szCs w:val="20"/>
          <w:color w:val="auto"/>
        </w:rPr>
      </w:pPr>
      <w:r>
        <w:rPr>
          <w:rFonts w:ascii="Arial" w:cs="Arial" w:eastAsia="Arial" w:hAnsi="Arial"/>
          <w:sz w:val="22"/>
          <w:szCs w:val="22"/>
          <w:color w:val="auto"/>
        </w:rPr>
        <w:t>As a further material inducement to you to enter into this Agreement, the Company hereby agrees to indemnify and hold each of the Releasees harmless from all loss, costs, damages, or expenses, including without limitation, attorneys’ fees incurred by the Releasees, arising out of any breach of this Agreement by it or the fact that any representation made in this Agreement by it was knowingly false when made.</w:t>
      </w:r>
    </w:p>
    <w:p>
      <w:pPr>
        <w:spacing w:after="0" w:line="185" w:lineRule="exact"/>
        <w:rPr>
          <w:sz w:val="20"/>
          <w:szCs w:val="20"/>
          <w:color w:val="auto"/>
        </w:rPr>
      </w:pPr>
    </w:p>
    <w:p>
      <w:pPr>
        <w:ind w:right="40" w:firstLine="1297"/>
        <w:spacing w:after="0" w:line="251" w:lineRule="auto"/>
        <w:rPr>
          <w:sz w:val="20"/>
          <w:szCs w:val="20"/>
          <w:color w:val="auto"/>
        </w:rPr>
      </w:pPr>
      <w:r>
        <w:rPr>
          <w:rFonts w:ascii="Arial" w:cs="Arial" w:eastAsia="Arial" w:hAnsi="Arial"/>
          <w:sz w:val="22"/>
          <w:szCs w:val="22"/>
          <w:color w:val="auto"/>
        </w:rPr>
        <w:t>EIGHT: You and the Company represent and acknowledge that in executing this Agreement, neither is relying upon any representation or statement not set forth in this Agreement or the Severance Agreement.</w:t>
      </w:r>
    </w:p>
    <w:p>
      <w:pPr>
        <w:spacing w:after="0" w:line="160" w:lineRule="exact"/>
        <w:rPr>
          <w:sz w:val="20"/>
          <w:szCs w:val="20"/>
          <w:color w:val="auto"/>
        </w:rPr>
      </w:pPr>
    </w:p>
    <w:p>
      <w:pPr>
        <w:ind w:right="60" w:firstLine="1297"/>
        <w:spacing w:after="0" w:line="235" w:lineRule="auto"/>
        <w:rPr>
          <w:sz w:val="20"/>
          <w:szCs w:val="20"/>
          <w:color w:val="auto"/>
        </w:rPr>
      </w:pPr>
      <w:r>
        <w:rPr>
          <w:rFonts w:ascii="Arial" w:cs="Arial" w:eastAsia="Arial" w:hAnsi="Arial"/>
          <w:sz w:val="22"/>
          <w:szCs w:val="22"/>
          <w:color w:val="auto"/>
        </w:rPr>
        <w:t>NINE: (a) This Agreement shall not in any way be construed as an admission by the Company that it has acted wrongfully with respect to you or any other person, or that you have any rights whatsoever against the Company, and the Company specifically disclaims any liability to or wrongful acts against you or any other person, on the part of itself, its employees or its agents. This Agreement shall not in any way be construed as an admission by you that you have acted wrongfully with respect to the Company, or that you failed to perform your duties or negligently performed or breached your duties, or that the Company had good cause to terminate your employment.</w:t>
      </w:r>
    </w:p>
    <w:p>
      <w:pPr>
        <w:spacing w:after="0" w:line="188" w:lineRule="exact"/>
        <w:rPr>
          <w:sz w:val="20"/>
          <w:szCs w:val="20"/>
          <w:color w:val="auto"/>
        </w:rPr>
      </w:pPr>
    </w:p>
    <w:p>
      <w:pPr>
        <w:ind w:right="60" w:firstLine="1953"/>
        <w:spacing w:after="0" w:line="279" w:lineRule="auto"/>
        <w:tabs>
          <w:tab w:leader="none" w:pos="2593" w:val="left"/>
        </w:tabs>
        <w:numPr>
          <w:ilvl w:val="0"/>
          <w:numId w:val="231"/>
        </w:numPr>
        <w:rPr>
          <w:rFonts w:ascii="Arial" w:cs="Arial" w:eastAsia="Arial" w:hAnsi="Arial"/>
          <w:sz w:val="19"/>
          <w:szCs w:val="19"/>
          <w:color w:val="auto"/>
        </w:rPr>
      </w:pPr>
      <w:r>
        <w:rPr>
          <w:rFonts w:ascii="Arial" w:cs="Arial" w:eastAsia="Arial" w:hAnsi="Arial"/>
          <w:sz w:val="19"/>
          <w:szCs w:val="19"/>
          <w:color w:val="auto"/>
        </w:rPr>
        <w:t xml:space="preserve">If you are a party or are threatened to be made a party to any proceeding by reason of the fact that you were an officer or director of the Company, the Company shall indemnify you against any expenses (including reasonable attorneys’ fees;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counsel has been approved by the Company prior to retention, which approval shall not be unreasonably withheld), judgments, fines, settlements and other amounts actually or reasonably incurred by you in connection with that proceeding; </w:t>
      </w:r>
      <w:r>
        <w:rPr>
          <w:rFonts w:ascii="Arial" w:cs="Arial" w:eastAsia="Arial" w:hAnsi="Arial"/>
          <w:sz w:val="19"/>
          <w:szCs w:val="19"/>
          <w:i w:val="1"/>
          <w:iCs w:val="1"/>
          <w:color w:val="auto"/>
        </w:rPr>
        <w:t>provided</w:t>
      </w:r>
      <w:r>
        <w:rPr>
          <w:rFonts w:ascii="Arial" w:cs="Arial" w:eastAsia="Arial" w:hAnsi="Arial"/>
          <w:sz w:val="19"/>
          <w:szCs w:val="19"/>
          <w:color w:val="auto"/>
        </w:rPr>
        <w:t>, that you acted in good faith and in a manner you reasonably believed to be in the best interest of the Company. The limitations of California Corporations Code Section 317 shall apply to this assurance of indemnification.</w:t>
      </w:r>
    </w:p>
    <w:p>
      <w:pPr>
        <w:spacing w:after="0" w:line="137" w:lineRule="exact"/>
        <w:rPr>
          <w:rFonts w:ascii="Arial" w:cs="Arial" w:eastAsia="Arial" w:hAnsi="Arial"/>
          <w:sz w:val="19"/>
          <w:szCs w:val="19"/>
          <w:color w:val="auto"/>
        </w:rPr>
      </w:pPr>
    </w:p>
    <w:p>
      <w:pPr>
        <w:ind w:right="100" w:firstLine="1953"/>
        <w:spacing w:after="0" w:line="282" w:lineRule="auto"/>
        <w:tabs>
          <w:tab w:leader="none" w:pos="2593" w:val="left"/>
        </w:tabs>
        <w:numPr>
          <w:ilvl w:val="0"/>
          <w:numId w:val="231"/>
        </w:numPr>
        <w:rPr>
          <w:rFonts w:ascii="Arial" w:cs="Arial" w:eastAsia="Arial" w:hAnsi="Arial"/>
          <w:sz w:val="19"/>
          <w:szCs w:val="19"/>
          <w:color w:val="auto"/>
        </w:rPr>
      </w:pPr>
      <w:r>
        <w:rPr>
          <w:rFonts w:ascii="Arial" w:cs="Arial" w:eastAsia="Arial" w:hAnsi="Arial"/>
          <w:sz w:val="19"/>
          <w:szCs w:val="19"/>
          <w:color w:val="auto"/>
        </w:rPr>
        <w:t>You agree to cooperate with the Company and its designated attorneys, representatives and agents in connection with any actual or threatened judicial, administrative or other legal or equitable proceeding in which the Company is or may become involved. Upon reasonable notice, you agree to meet with and provide to the Company or its designated attorneys, representatives or agents all information and knowledge you have relating to the subject matter of any such proceeding. The Company agrees to reimburse you for any reasonable costs you incur in providing such cooperation.</w:t>
      </w:r>
    </w:p>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TEN: This Agreement is entered into in California and shall be governed by substantive California law, except as provided in this section. If any dispute arises between you and the Company, including but not limited to, disputes relating to this Agreement, or if you prosecute a claim you purported to release by means of this Agreement (“Arbitrable Dispute”), you and the Company agree to resolve that Arbitrable Dispute through final and binding arbitration under this section. You also agree to arbitrate any Arbitrable Dispute which also involves any other released party who offers or agrees to arbitrate the dispute under this section. Your agreement to arbitrate applies, for example, to disputes about the validity, interpretation, or effect of this Agreement or alleged violations of it, claims of discrimination under federal or state law, or other statutory violation claims.</w:t>
      </w:r>
    </w:p>
    <w:p>
      <w:pPr>
        <w:spacing w:after="0" w:line="45" w:lineRule="exact"/>
        <w:rPr>
          <w:sz w:val="20"/>
          <w:szCs w:val="20"/>
          <w:color w:val="auto"/>
        </w:rPr>
      </w:pPr>
    </w:p>
    <w:p>
      <w:pPr>
        <w:ind w:right="300" w:firstLine="648"/>
        <w:spacing w:after="0" w:line="238" w:lineRule="auto"/>
        <w:rPr>
          <w:sz w:val="20"/>
          <w:szCs w:val="20"/>
          <w:color w:val="auto"/>
        </w:rPr>
      </w:pPr>
      <w:r>
        <w:rPr>
          <w:rFonts w:ascii="Arial" w:cs="Arial" w:eastAsia="Arial" w:hAnsi="Arial"/>
          <w:sz w:val="22"/>
          <w:szCs w:val="22"/>
          <w:color w:val="auto"/>
        </w:rPr>
        <w:t>As to any Arbitrable Dispute, you and the Company waive any right to a jury trial or a court bench trial. You and the Company also waive the right to bring, maintain, or participate in any class, collective, or representative proceeding, whether in arbitration or otherwise. Further, Arbitrable Disputes must be brought in the individual capacity of the party asserting the claim, and cannot be maintained on a class, collective, or representative basis.</w:t>
      </w:r>
    </w:p>
    <w:p>
      <w:pPr>
        <w:spacing w:after="0" w:line="77"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Arbitration shall take place in San Diego, California under the employment dispute resolution rules of the Judicial Arbitration and Mediation Service (“JAMS”), (or, if you are employed outside of California at the time of the termination of your</w:t>
      </w:r>
    </w:p>
    <w:p>
      <w:pPr>
        <w:sectPr>
          <w:pgSz w:w="11900" w:h="16852" w:orient="portrait"/>
          <w:cols w:equalWidth="0" w:num="1">
            <w:col w:w="11420"/>
          </w:cols>
          <w:pgMar w:left="240" w:top="118" w:right="239" w:bottom="0" w:gutter="0" w:footer="0" w:header="0"/>
        </w:sectPr>
      </w:pPr>
    </w:p>
    <w:bookmarkStart w:id="165" w:name="page166"/>
    <w:bookmarkEnd w:id="165"/>
    <w:p>
      <w:pPr>
        <w:jc w:val="both"/>
        <w:spacing w:after="0" w:line="272" w:lineRule="auto"/>
        <w:rPr>
          <w:sz w:val="20"/>
          <w:szCs w:val="20"/>
          <w:color w:val="auto"/>
        </w:rPr>
      </w:pPr>
      <w:r>
        <w:rPr>
          <w:rFonts w:ascii="Arial" w:cs="Arial" w:eastAsia="Arial" w:hAnsi="Arial"/>
          <w:sz w:val="19"/>
          <w:szCs w:val="19"/>
          <w:color w:val="auto"/>
        </w:rPr>
        <w:t>employment, at the nearest location of the American Arbitration Association and in accordance with the AAA rules), before an experienced employment arbitrator selected in accordance with those rules. The arbitrator may not modify or change this Agreement in any way. The Company will be responsible for paying any filing fee and the fees and costs of the Arbitrator; provided, however, that if you are the party initiating the claim, you will contribute an amount equal to the filing fee to initiate a claim in the court of general jurisdiction in the state in which you are employed by the Company. Each party shall pay for its own costs and attorneys’ fees, if any. However if any party prevails on a statutory claim which affords the prevailing party attorneys’ fees and costs, or if there is a written agreement providing for attorneys’ fees and/or costs, the Arbitrator may award reasonable attorney’s fees and/or costs to the prevailing party, applying the same standards a court would apply under the law applicable to the claim. The Arbitrator shall apply the Federal Rules of Evidence and shall have the authority to entertain a motion to dismiss or a motion for summary judgment by any party and shall apply the standards governing such motions under the Federal Rules of Civil Procedure. The Federal Arbitration Act shall govern the arbitration and shall govern the interpretation or enforcement of this section or any arbitration award. The arbitrator will not have the authority to consider, certify, or hear an arbitration as a class action, collective action, or any other type of representative action.</w:t>
      </w:r>
    </w:p>
    <w:p>
      <w:pPr>
        <w:spacing w:after="0" w:line="297" w:lineRule="exact"/>
        <w:rPr>
          <w:sz w:val="20"/>
          <w:szCs w:val="20"/>
          <w:color w:val="auto"/>
        </w:rPr>
      </w:pPr>
    </w:p>
    <w:p>
      <w:pPr>
        <w:ind w:right="40" w:firstLine="1297"/>
        <w:spacing w:after="0" w:line="247" w:lineRule="auto"/>
        <w:rPr>
          <w:sz w:val="20"/>
          <w:szCs w:val="20"/>
          <w:color w:val="auto"/>
        </w:rPr>
      </w:pPr>
      <w:r>
        <w:rPr>
          <w:rFonts w:ascii="Arial" w:cs="Arial" w:eastAsia="Arial" w:hAnsi="Arial"/>
          <w:sz w:val="21"/>
          <w:szCs w:val="21"/>
          <w:color w:val="auto"/>
        </w:rPr>
        <w:t>To the extent that the Federal Arbitration Act is inapplicable, California law pertaining to arbitration agreements shall apply. Arbitration in this manner shall be the exclusive remedy for any Arbitrable Dispute. Except as prohibited by the ADEA, should you or the Company attempt to resolve an Arbitrable Dispute by any method other than arbitration pursuant to this section, the responding party will be entitled to recover from the initiating party all damages, expenses, and attorneys’ fees incurred as a result of this breach. This section TEN supersedes any existing arbitration agreement between the Company and me as to any Arbitrable Dispute. Notwithstanding anything in this section TEN to the contrary, a claim for benefits under an ERISA-covered plan shall not be an Arbitrable Dispute.</w:t>
      </w:r>
    </w:p>
    <w:p>
      <w:pPr>
        <w:spacing w:after="0" w:line="178" w:lineRule="exact"/>
        <w:rPr>
          <w:sz w:val="20"/>
          <w:szCs w:val="20"/>
          <w:color w:val="auto"/>
        </w:rPr>
      </w:pPr>
    </w:p>
    <w:p>
      <w:pPr>
        <w:ind w:right="20" w:firstLine="1297"/>
        <w:spacing w:after="0" w:line="272" w:lineRule="auto"/>
        <w:rPr>
          <w:sz w:val="20"/>
          <w:szCs w:val="20"/>
          <w:color w:val="auto"/>
        </w:rPr>
      </w:pPr>
      <w:r>
        <w:rPr>
          <w:rFonts w:ascii="Arial" w:cs="Arial" w:eastAsia="Arial" w:hAnsi="Arial"/>
          <w:sz w:val="19"/>
          <w:szCs w:val="19"/>
          <w:color w:val="auto"/>
        </w:rPr>
        <w:t>ELEVEN: Both you and the Company understand that this Agreement is final and binding eight (8) days after its execution and return. Should you nevertheless attempt to challenge the enforceability of this Agreement as provided in Paragraph TEN or, in violation of that Paragraph, through litigation, as a further limitation on any right to make such a challenge, you shall initially tender to the Company, by certified check delivered to the Company, all monies received pursuant to Sections 4 or 5 of the Severance Pay Agreement, as applicable, plus interest, and invite the Company to retain such monies and agree with you to cancel this Agreement and void the Company’s obligations under of the Severance Pay Agreement. In the event the Company accepts this offer, the Company shall retain such monies and this Agreement shall be canceled and the Company shall have no obligation under of the Severance Pay Agreement. In the event the Company does not accept such offer, the Company shall so notify you and shall place such monies in an interest-bearing escrow account pending resolution of the dispute between you and the Company as to whether or not this Agreement and the Company’s obligations under of the Severance Pay Agreement shall be set aside and/or otherwise rendered voidable or unenforceable. Additionally, any consulting agreement then in effect between you and the Company shall be immediately rescinded with no requirement of notice.</w:t>
      </w:r>
    </w:p>
    <w:p>
      <w:pPr>
        <w:spacing w:after="0" w:line="162" w:lineRule="exact"/>
        <w:rPr>
          <w:sz w:val="20"/>
          <w:szCs w:val="20"/>
          <w:color w:val="auto"/>
        </w:rPr>
      </w:pPr>
    </w:p>
    <w:p>
      <w:pPr>
        <w:ind w:right="360" w:firstLine="1297"/>
        <w:spacing w:after="0" w:line="251" w:lineRule="auto"/>
        <w:rPr>
          <w:sz w:val="20"/>
          <w:szCs w:val="20"/>
          <w:color w:val="auto"/>
        </w:rPr>
      </w:pPr>
      <w:r>
        <w:rPr>
          <w:rFonts w:ascii="Arial" w:cs="Arial" w:eastAsia="Arial" w:hAnsi="Arial"/>
          <w:sz w:val="22"/>
          <w:szCs w:val="22"/>
          <w:color w:val="auto"/>
        </w:rPr>
        <w:t>TWELVE: Any notices required to be given under this Agreement shall be delivered either personally or by first class United States mail, postage prepaid, addressed to the respective parties as follows:</w:t>
      </w:r>
    </w:p>
    <w:p>
      <w:pPr>
        <w:spacing w:after="0" w:line="160"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22"/>
          <w:szCs w:val="22"/>
          <w:color w:val="auto"/>
        </w:rPr>
        <w:t>To Company:</w:t>
      </w:r>
      <w:r>
        <w:rPr>
          <w:sz w:val="20"/>
          <w:szCs w:val="20"/>
          <w:color w:val="auto"/>
        </w:rPr>
        <w:tab/>
      </w:r>
      <w:r>
        <w:rPr>
          <w:rFonts w:ascii="Arial" w:cs="Arial" w:eastAsia="Arial" w:hAnsi="Arial"/>
          <w:sz w:val="21"/>
          <w:szCs w:val="21"/>
          <w:color w:val="auto"/>
        </w:rPr>
        <w:t>[TO COME]</w:t>
      </w:r>
    </w:p>
    <w:p>
      <w:pPr>
        <w:spacing w:after="0" w:line="206"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Attn: [TO COME]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You:</w:t>
      </w:r>
    </w:p>
    <w:p>
      <w:pPr>
        <w:spacing w:after="0" w:line="206"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______________________</w:t>
      </w:r>
    </w:p>
    <w:p>
      <w:pPr>
        <w:spacing w:after="0" w:line="206"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______________________</w:t>
      </w:r>
    </w:p>
    <w:p>
      <w:pPr>
        <w:spacing w:after="0" w:line="206"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______________________</w:t>
      </w:r>
    </w:p>
    <w:p>
      <w:pPr>
        <w:spacing w:after="0" w:line="206" w:lineRule="exact"/>
        <w:rPr>
          <w:sz w:val="20"/>
          <w:szCs w:val="20"/>
          <w:color w:val="auto"/>
        </w:rPr>
      </w:pPr>
    </w:p>
    <w:p>
      <w:pPr>
        <w:ind w:right="60" w:firstLine="1297"/>
        <w:spacing w:after="0" w:line="275" w:lineRule="auto"/>
        <w:rPr>
          <w:sz w:val="20"/>
          <w:szCs w:val="20"/>
          <w:color w:val="auto"/>
        </w:rPr>
      </w:pPr>
      <w:r>
        <w:rPr>
          <w:rFonts w:ascii="Arial" w:cs="Arial" w:eastAsia="Arial" w:hAnsi="Arial"/>
          <w:sz w:val="19"/>
          <w:szCs w:val="19"/>
          <w:color w:val="auto"/>
        </w:rPr>
        <w:t>THIRTEEN: You understand and acknowledge that you have been given a period of forty-five (45) days to review and consider this Agreement (as well as statistical data on the persons eligible for similar benefits) before signing it and may use as much of this forty-five (45) day period as you wish prior to signing. You are encouraged, at your personal expense, to consult with an attorney before signing this Agreement. You understand and acknowledge that whether or not you do so is your decision. You may revoke this Agreement within seven (7) days of signing it. If you wish to revoke, the Company’s Vice President, Human Resources must receive written notice from you no later than the close of business on the seventh (7th) day after you have signed the Agreement. If revoked, this Agreement shall not be effective and enforceable, and you will not receive payments or benefits under Sections 4 or 5 of the Severance Pay Agreement, as applicable.</w:t>
      </w:r>
    </w:p>
    <w:p>
      <w:pPr>
        <w:spacing w:after="0" w:line="158" w:lineRule="exact"/>
        <w:rPr>
          <w:sz w:val="20"/>
          <w:szCs w:val="20"/>
          <w:color w:val="auto"/>
        </w:rPr>
      </w:pPr>
    </w:p>
    <w:p>
      <w:pPr>
        <w:ind w:firstLine="1297"/>
        <w:spacing w:after="0" w:line="297" w:lineRule="auto"/>
        <w:rPr>
          <w:sz w:val="20"/>
          <w:szCs w:val="20"/>
          <w:color w:val="auto"/>
        </w:rPr>
      </w:pPr>
      <w:r>
        <w:rPr>
          <w:rFonts w:ascii="Arial" w:cs="Arial" w:eastAsia="Arial" w:hAnsi="Arial"/>
          <w:sz w:val="19"/>
          <w:szCs w:val="19"/>
          <w:color w:val="auto"/>
        </w:rPr>
        <w:t>FOURTEEN: This Agreement constitutes the entire agreement of the parties hereto and supersedes any and all other agreements (except the Severance Pay Agreement) with respect to the subject matter of this Agreement, whether written or oral, between you and the Company. All modifications and amendments to this Agreement must be in writing and signed by the parties.</w:t>
      </w:r>
    </w:p>
    <w:p>
      <w:pPr>
        <w:spacing w:after="0" w:line="134" w:lineRule="exact"/>
        <w:rPr>
          <w:sz w:val="20"/>
          <w:szCs w:val="20"/>
          <w:color w:val="auto"/>
        </w:rPr>
      </w:pPr>
    </w:p>
    <w:p>
      <w:pPr>
        <w:ind w:right="20" w:firstLine="1297"/>
        <w:spacing w:after="0" w:line="328" w:lineRule="auto"/>
        <w:rPr>
          <w:sz w:val="20"/>
          <w:szCs w:val="20"/>
          <w:color w:val="auto"/>
        </w:rPr>
      </w:pPr>
      <w:r>
        <w:rPr>
          <w:rFonts w:ascii="Arial" w:cs="Arial" w:eastAsia="Arial" w:hAnsi="Arial"/>
          <w:sz w:val="19"/>
          <w:szCs w:val="19"/>
          <w:color w:val="auto"/>
        </w:rPr>
        <w:t>FIFTEEN: Each party agrees, without further consideration, to sign or cause to be signed, and to deliver to the other party, any other documents and to take any other action as may be necessary to fulfill the obligations under this Agreement.</w:t>
      </w:r>
    </w:p>
    <w:p>
      <w:pPr>
        <w:spacing w:after="0" w:line="105" w:lineRule="exact"/>
        <w:rPr>
          <w:sz w:val="20"/>
          <w:szCs w:val="20"/>
          <w:color w:val="auto"/>
        </w:rPr>
      </w:pPr>
    </w:p>
    <w:p>
      <w:pPr>
        <w:ind w:right="360" w:firstLine="1297"/>
        <w:spacing w:after="0"/>
        <w:rPr>
          <w:sz w:val="20"/>
          <w:szCs w:val="20"/>
          <w:color w:val="auto"/>
        </w:rPr>
      </w:pPr>
      <w:r>
        <w:rPr>
          <w:rFonts w:ascii="Arial" w:cs="Arial" w:eastAsia="Arial" w:hAnsi="Arial"/>
          <w:sz w:val="22"/>
          <w:szCs w:val="22"/>
          <w:color w:val="auto"/>
        </w:rPr>
        <w:t>SIXTEEN: If any provision of this Agreement or the application thereof is held invalid, the invalidity shall not affect other provisions or applications of the Agreement which can be given effect without the invalid provisions or application; and to this end the provisions of this Agreement are declared to be severable.</w:t>
      </w:r>
    </w:p>
    <w:p>
      <w:pPr>
        <w:sectPr>
          <w:pgSz w:w="11900" w:h="16838" w:orient="portrait"/>
          <w:cols w:equalWidth="0" w:num="1">
            <w:col w:w="11420"/>
          </w:cols>
          <w:pgMar w:left="240" w:top="118" w:right="239" w:bottom="0" w:gutter="0" w:footer="0" w:header="0"/>
        </w:sectPr>
      </w:pPr>
    </w:p>
    <w:bookmarkStart w:id="166" w:name="page167"/>
    <w:bookmarkEnd w:id="166"/>
    <w:p>
      <w:pPr>
        <w:ind w:left="1300"/>
        <w:spacing w:after="0"/>
        <w:rPr>
          <w:sz w:val="20"/>
          <w:szCs w:val="20"/>
          <w:color w:val="auto"/>
        </w:rPr>
      </w:pPr>
      <w:r>
        <w:rPr>
          <w:rFonts w:ascii="Arial" w:cs="Arial" w:eastAsia="Arial" w:hAnsi="Arial"/>
          <w:sz w:val="22"/>
          <w:szCs w:val="22"/>
          <w:color w:val="auto"/>
        </w:rPr>
        <w:t>SEVENTEEN: This Agreement may be executed in counterparts.</w:t>
      </w:r>
    </w:p>
    <w:p>
      <w:pPr>
        <w:spacing w:after="0" w:line="207" w:lineRule="exact"/>
        <w:rPr>
          <w:sz w:val="20"/>
          <w:szCs w:val="20"/>
          <w:color w:val="auto"/>
        </w:rPr>
      </w:pPr>
    </w:p>
    <w:p>
      <w:pPr>
        <w:ind w:firstLine="1297"/>
        <w:spacing w:after="0" w:line="328" w:lineRule="auto"/>
        <w:rPr>
          <w:sz w:val="20"/>
          <w:szCs w:val="20"/>
          <w:color w:val="auto"/>
        </w:rPr>
      </w:pPr>
      <w:r>
        <w:rPr>
          <w:rFonts w:ascii="Arial" w:cs="Arial" w:eastAsia="Arial" w:hAnsi="Arial"/>
          <w:sz w:val="19"/>
          <w:szCs w:val="19"/>
          <w:color w:val="auto"/>
        </w:rPr>
        <w:t>I have read the foregoing General Release, and I accept and agree to the provisions it contains and hereby execute it voluntarily and with full understanding of its consequences. I am aware it includes a release of all known or unknown claims.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w:t>
      </w: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__________________________________________</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w:t>
      </w: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__________________________________________</w:t>
      </w:r>
    </w:p>
    <w:p>
      <w:pPr>
        <w:spacing w:after="0" w:line="20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You acknowledge that you first received this Agreement on [date].</w:t>
      </w:r>
    </w:p>
    <w:p>
      <w:pPr>
        <w:spacing w:after="0" w:line="20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320"/>
          </w:cols>
          <w:pgMar w:left="240" w:top="118" w:right="339" w:bottom="1440" w:gutter="0" w:footer="0" w:header="0"/>
        </w:sectPr>
      </w:pPr>
    </w:p>
    <w:bookmarkStart w:id="167" w:name="page168"/>
    <w:bookmarkEnd w:id="167"/>
    <w:p>
      <w:pPr>
        <w:jc w:val="center"/>
        <w:ind w:right="140"/>
        <w:spacing w:after="0"/>
        <w:rPr>
          <w:sz w:val="20"/>
          <w:szCs w:val="20"/>
          <w:color w:val="auto"/>
        </w:rPr>
      </w:pPr>
      <w:r>
        <w:rPr>
          <w:rFonts w:ascii="Arial" w:cs="Arial" w:eastAsia="Arial" w:hAnsi="Arial"/>
          <w:sz w:val="18"/>
          <w:szCs w:val="18"/>
          <w:b w:val="1"/>
          <w:bCs w:val="1"/>
          <w:color w:val="auto"/>
        </w:rPr>
        <w:t>EXHIBIT 12.1</w:t>
      </w:r>
    </w:p>
    <w:p>
      <w:pPr>
        <w:spacing w:after="0" w:line="13"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SEMPRA ENERGY</w:t>
      </w:r>
    </w:p>
    <w:p>
      <w:pPr>
        <w:jc w:val="center"/>
        <w:ind w:right="140"/>
        <w:spacing w:after="0" w:line="234" w:lineRule="auto"/>
        <w:rPr>
          <w:sz w:val="20"/>
          <w:szCs w:val="20"/>
          <w:color w:val="auto"/>
        </w:rPr>
      </w:pPr>
      <w:r>
        <w:rPr>
          <w:rFonts w:ascii="Arial" w:cs="Arial" w:eastAsia="Arial" w:hAnsi="Arial"/>
          <w:sz w:val="18"/>
          <w:szCs w:val="18"/>
          <w:b w:val="1"/>
          <w:bCs w:val="1"/>
          <w:color w:val="auto"/>
        </w:rPr>
        <w:t>COMPUTATION OF RATIO OF EARNINGS TO COMBINED FIXED CHARGES</w:t>
      </w:r>
    </w:p>
    <w:p>
      <w:pPr>
        <w:jc w:val="center"/>
        <w:ind w:right="140"/>
        <w:spacing w:after="0" w:line="235" w:lineRule="auto"/>
        <w:rPr>
          <w:sz w:val="20"/>
          <w:szCs w:val="20"/>
          <w:color w:val="auto"/>
        </w:rPr>
      </w:pPr>
      <w:r>
        <w:rPr>
          <w:rFonts w:ascii="Arial" w:cs="Arial" w:eastAsia="Arial" w:hAnsi="Arial"/>
          <w:sz w:val="18"/>
          <w:szCs w:val="18"/>
          <w:b w:val="1"/>
          <w:bCs w:val="1"/>
          <w:color w:val="auto"/>
        </w:rPr>
        <w:t>AND PREFERRED STOCK DIVIDENDS</w:t>
      </w:r>
    </w:p>
    <w:p>
      <w:pPr>
        <w:spacing w:after="0" w:line="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03"/>
        </w:trPr>
        <w:tc>
          <w:tcPr>
            <w:tcW w:w="2220" w:type="dxa"/>
            <w:vAlign w:val="bottom"/>
            <w:vMerge w:val="restart"/>
          </w:tcPr>
          <w:p>
            <w:pPr>
              <w:spacing w:after="0"/>
              <w:rPr>
                <w:sz w:val="20"/>
                <w:szCs w:val="20"/>
                <w:color w:val="auto"/>
              </w:rPr>
            </w:pPr>
            <w:r>
              <w:rPr>
                <w:rFonts w:ascii="Arial" w:cs="Arial" w:eastAsia="Arial" w:hAnsi="Arial"/>
                <w:sz w:val="18"/>
                <w:szCs w:val="18"/>
                <w:color w:val="auto"/>
              </w:rPr>
              <w:t>Fixed charges and</w:t>
            </w:r>
          </w:p>
        </w:tc>
        <w:tc>
          <w:tcPr>
            <w:tcW w:w="320" w:type="dxa"/>
            <w:vAlign w:val="bottom"/>
          </w:tcPr>
          <w:p>
            <w:pPr>
              <w:spacing w:after="0"/>
              <w:rPr>
                <w:sz w:val="17"/>
                <w:szCs w:val="17"/>
                <w:color w:val="auto"/>
              </w:rPr>
            </w:pPr>
          </w:p>
        </w:tc>
        <w:tc>
          <w:tcPr>
            <w:tcW w:w="900" w:type="dxa"/>
            <w:vAlign w:val="bottom"/>
          </w:tcPr>
          <w:p>
            <w:pPr>
              <w:jc w:val="right"/>
              <w:ind w:right="310"/>
              <w:spacing w:after="0" w:line="203" w:lineRule="exact"/>
              <w:rPr>
                <w:sz w:val="20"/>
                <w:szCs w:val="20"/>
                <w:color w:val="auto"/>
              </w:rPr>
            </w:pPr>
            <w:r>
              <w:rPr>
                <w:rFonts w:ascii="Arial" w:cs="Arial" w:eastAsia="Arial" w:hAnsi="Arial"/>
                <w:sz w:val="18"/>
                <w:szCs w:val="18"/>
                <w:color w:val="auto"/>
              </w:rPr>
              <w:t>2008</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330"/>
              <w:spacing w:after="0" w:line="203" w:lineRule="exact"/>
              <w:rPr>
                <w:sz w:val="20"/>
                <w:szCs w:val="20"/>
                <w:color w:val="auto"/>
              </w:rPr>
            </w:pPr>
            <w:r>
              <w:rPr>
                <w:rFonts w:ascii="Arial" w:cs="Arial" w:eastAsia="Arial" w:hAnsi="Arial"/>
                <w:sz w:val="18"/>
                <w:szCs w:val="18"/>
                <w:color w:val="auto"/>
              </w:rPr>
              <w:t>2009</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310"/>
              <w:spacing w:after="0" w:line="203" w:lineRule="exact"/>
              <w:rPr>
                <w:sz w:val="20"/>
                <w:szCs w:val="20"/>
                <w:color w:val="auto"/>
              </w:rPr>
            </w:pPr>
            <w:r>
              <w:rPr>
                <w:rFonts w:ascii="Arial" w:cs="Arial" w:eastAsia="Arial" w:hAnsi="Arial"/>
                <w:sz w:val="18"/>
                <w:szCs w:val="18"/>
                <w:color w:val="auto"/>
              </w:rPr>
              <w:t>2010</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30"/>
              <w:spacing w:after="0" w:line="203" w:lineRule="exact"/>
              <w:rPr>
                <w:sz w:val="20"/>
                <w:szCs w:val="20"/>
                <w:color w:val="auto"/>
              </w:rPr>
            </w:pPr>
            <w:r>
              <w:rPr>
                <w:rFonts w:ascii="Arial" w:cs="Arial" w:eastAsia="Arial" w:hAnsi="Arial"/>
                <w:sz w:val="18"/>
                <w:szCs w:val="18"/>
                <w:color w:val="auto"/>
              </w:rPr>
              <w:t>2011</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330"/>
              <w:spacing w:after="0" w:line="203" w:lineRule="exact"/>
              <w:rPr>
                <w:sz w:val="20"/>
                <w:szCs w:val="20"/>
                <w:color w:val="auto"/>
              </w:rPr>
            </w:pPr>
            <w:r>
              <w:rPr>
                <w:rFonts w:ascii="Arial" w:cs="Arial" w:eastAsia="Arial" w:hAnsi="Arial"/>
                <w:sz w:val="18"/>
                <w:szCs w:val="18"/>
                <w:color w:val="auto"/>
              </w:rPr>
              <w:t>2012</w:t>
            </w:r>
          </w:p>
        </w:tc>
        <w:tc>
          <w:tcPr>
            <w:tcW w:w="1540" w:type="dxa"/>
            <w:vAlign w:val="bottom"/>
            <w:gridSpan w:val="2"/>
          </w:tcPr>
          <w:p>
            <w:pPr>
              <w:jc w:val="right"/>
              <w:ind w:right="310"/>
              <w:spacing w:after="0" w:line="203" w:lineRule="exact"/>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195"/>
        </w:trPr>
        <w:tc>
          <w:tcPr>
            <w:tcW w:w="2220" w:type="dxa"/>
            <w:vAlign w:val="bottom"/>
            <w:vMerge w:val="continue"/>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260"/>
              <w:spacing w:after="0" w:line="202" w:lineRule="exact"/>
              <w:rPr>
                <w:sz w:val="20"/>
                <w:szCs w:val="20"/>
                <w:color w:val="auto"/>
              </w:rPr>
            </w:pPr>
            <w:r>
              <w:rPr>
                <w:rFonts w:ascii="Arial" w:cs="Arial" w:eastAsia="Arial" w:hAnsi="Arial"/>
                <w:sz w:val="18"/>
                <w:szCs w:val="18"/>
                <w:color w:val="auto"/>
              </w:rPr>
              <w:t>preferred stock</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220" w:type="dxa"/>
            <w:vAlign w:val="bottom"/>
          </w:tcPr>
          <w:p>
            <w:pPr>
              <w:ind w:left="260"/>
              <w:spacing w:after="0"/>
              <w:rPr>
                <w:sz w:val="20"/>
                <w:szCs w:val="20"/>
                <w:color w:val="auto"/>
              </w:rPr>
            </w:pPr>
            <w:r>
              <w:rPr>
                <w:rFonts w:ascii="Arial" w:cs="Arial" w:eastAsia="Arial" w:hAnsi="Arial"/>
                <w:sz w:val="18"/>
                <w:szCs w:val="18"/>
                <w:color w:val="auto"/>
              </w:rPr>
              <w:t>dividends:</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auto"/>
              </w:rPr>
              <w:t>Interest</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353</w:t>
            </w:r>
          </w:p>
        </w:tc>
        <w:tc>
          <w:tcPr>
            <w:tcW w:w="7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455</w:t>
            </w:r>
          </w:p>
        </w:tc>
        <w:tc>
          <w:tcPr>
            <w:tcW w:w="6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492</w:t>
            </w: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549</w:t>
            </w:r>
          </w:p>
        </w:tc>
        <w:tc>
          <w:tcPr>
            <w:tcW w:w="6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601</w:t>
            </w:r>
          </w:p>
        </w:tc>
        <w:tc>
          <w:tcPr>
            <w:tcW w:w="1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auto"/>
              </w:rPr>
              <w:t>Interest portion of</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260"/>
              <w:spacing w:after="0" w:line="202" w:lineRule="exact"/>
              <w:rPr>
                <w:sz w:val="20"/>
                <w:szCs w:val="20"/>
                <w:color w:val="auto"/>
              </w:rPr>
            </w:pPr>
            <w:r>
              <w:rPr>
                <w:rFonts w:ascii="Arial" w:cs="Arial" w:eastAsia="Arial" w:hAnsi="Arial"/>
                <w:sz w:val="18"/>
                <w:szCs w:val="18"/>
                <w:color w:val="auto"/>
              </w:rPr>
              <w:t>annual rentals</w:t>
            </w:r>
          </w:p>
        </w:tc>
        <w:tc>
          <w:tcPr>
            <w:tcW w:w="32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w:t>
            </w:r>
          </w:p>
        </w:tc>
        <w:tc>
          <w:tcPr>
            <w:tcW w:w="1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auto"/>
              </w:rPr>
              <w:t>Preferred dividends</w:t>
            </w:r>
          </w:p>
        </w:tc>
        <w:tc>
          <w:tcPr>
            <w:tcW w:w="32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6</w:t>
            </w:r>
          </w:p>
        </w:tc>
        <w:tc>
          <w:tcPr>
            <w:tcW w:w="340" w:type="dxa"/>
            <w:vAlign w:val="bottom"/>
            <w:vMerge w:val="restart"/>
          </w:tcPr>
          <w:p>
            <w:pPr>
              <w:spacing w:after="0"/>
              <w:rPr>
                <w:sz w:val="17"/>
                <w:szCs w:val="17"/>
                <w:color w:val="auto"/>
              </w:rPr>
            </w:pPr>
          </w:p>
        </w:tc>
        <w:tc>
          <w:tcPr>
            <w:tcW w:w="1200" w:type="dxa"/>
            <w:vAlign w:val="bottom"/>
            <w:vMerge w:val="restart"/>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0"/>
        </w:trPr>
        <w:tc>
          <w:tcPr>
            <w:tcW w:w="2220" w:type="dxa"/>
            <w:vAlign w:val="bottom"/>
          </w:tcPr>
          <w:p>
            <w:pPr>
              <w:ind w:left="260"/>
              <w:spacing w:after="0" w:line="190" w:lineRule="exact"/>
              <w:rPr>
                <w:sz w:val="20"/>
                <w:szCs w:val="20"/>
                <w:color w:val="auto"/>
              </w:rPr>
            </w:pPr>
            <w:r>
              <w:rPr>
                <w:rFonts w:ascii="Arial" w:cs="Arial" w:eastAsia="Arial" w:hAnsi="Arial"/>
                <w:sz w:val="18"/>
                <w:szCs w:val="18"/>
                <w:color w:val="auto"/>
              </w:rPr>
              <w:t>of subsidiaries (1)</w:t>
            </w: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220" w:type="dxa"/>
            <w:vAlign w:val="bottom"/>
          </w:tcPr>
          <w:p>
            <w:pPr>
              <w:ind w:left="240"/>
              <w:spacing w:after="0"/>
              <w:rPr>
                <w:sz w:val="20"/>
                <w:szCs w:val="20"/>
                <w:color w:val="auto"/>
              </w:rPr>
            </w:pPr>
            <w:r>
              <w:rPr>
                <w:rFonts w:ascii="Arial" w:cs="Arial" w:eastAsia="Arial" w:hAnsi="Arial"/>
                <w:sz w:val="18"/>
                <w:szCs w:val="18"/>
                <w:color w:val="auto"/>
              </w:rPr>
              <w:t>Total fixed charges</w:t>
            </w:r>
          </w:p>
        </w:tc>
        <w:tc>
          <w:tcPr>
            <w:tcW w:w="3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369</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470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506</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561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609</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auto"/>
              </w:rPr>
              <w:t>Preferred dividends</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260"/>
              <w:spacing w:after="0" w:line="202" w:lineRule="exact"/>
              <w:rPr>
                <w:sz w:val="20"/>
                <w:szCs w:val="20"/>
                <w:color w:val="auto"/>
              </w:rPr>
            </w:pPr>
            <w:r>
              <w:rPr>
                <w:rFonts w:ascii="Arial" w:cs="Arial" w:eastAsia="Arial" w:hAnsi="Arial"/>
                <w:sz w:val="18"/>
                <w:szCs w:val="18"/>
                <w:color w:val="auto"/>
              </w:rPr>
              <w:t>for purpose of</w:t>
            </w:r>
          </w:p>
        </w:tc>
        <w:tc>
          <w:tcPr>
            <w:tcW w:w="32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0"/>
        </w:trPr>
        <w:tc>
          <w:tcPr>
            <w:tcW w:w="2220" w:type="dxa"/>
            <w:vAlign w:val="bottom"/>
          </w:tcPr>
          <w:p>
            <w:pPr>
              <w:ind w:left="260"/>
              <w:spacing w:after="0" w:line="190" w:lineRule="exact"/>
              <w:rPr>
                <w:sz w:val="20"/>
                <w:szCs w:val="20"/>
                <w:color w:val="auto"/>
              </w:rPr>
            </w:pPr>
            <w:r>
              <w:rPr>
                <w:rFonts w:ascii="Arial" w:cs="Arial" w:eastAsia="Arial" w:hAnsi="Arial"/>
                <w:sz w:val="18"/>
                <w:szCs w:val="18"/>
                <w:color w:val="auto"/>
              </w:rPr>
              <w:t>ratio</w:t>
            </w:r>
          </w:p>
        </w:tc>
        <w:tc>
          <w:tcPr>
            <w:tcW w:w="3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20" w:type="dxa"/>
            <w:vAlign w:val="bottom"/>
          </w:tcPr>
          <w:p>
            <w:pPr>
              <w:spacing w:after="0" w:line="195" w:lineRule="exact"/>
              <w:rPr>
                <w:sz w:val="20"/>
                <w:szCs w:val="20"/>
                <w:color w:val="auto"/>
              </w:rPr>
            </w:pPr>
            <w:r>
              <w:rPr>
                <w:rFonts w:ascii="Arial" w:cs="Arial" w:eastAsia="Arial" w:hAnsi="Arial"/>
                <w:sz w:val="18"/>
                <w:szCs w:val="18"/>
                <w:color w:val="auto"/>
              </w:rPr>
              <w:t>Total fixed charges</w:t>
            </w:r>
          </w:p>
        </w:tc>
        <w:tc>
          <w:tcPr>
            <w:tcW w:w="3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260"/>
              <w:spacing w:after="0" w:line="202" w:lineRule="exact"/>
              <w:rPr>
                <w:sz w:val="20"/>
                <w:szCs w:val="20"/>
                <w:color w:val="auto"/>
              </w:rPr>
            </w:pPr>
            <w:r>
              <w:rPr>
                <w:rFonts w:ascii="Arial" w:cs="Arial" w:eastAsia="Arial" w:hAnsi="Arial"/>
                <w:sz w:val="18"/>
                <w:szCs w:val="18"/>
                <w:color w:val="auto"/>
              </w:rPr>
              <w:t>and preferred</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260"/>
              <w:spacing w:after="0" w:line="202" w:lineRule="exact"/>
              <w:rPr>
                <w:sz w:val="20"/>
                <w:szCs w:val="20"/>
                <w:color w:val="auto"/>
              </w:rPr>
            </w:pPr>
            <w:r>
              <w:rPr>
                <w:rFonts w:ascii="Arial" w:cs="Arial" w:eastAsia="Arial" w:hAnsi="Arial"/>
                <w:sz w:val="18"/>
                <w:szCs w:val="18"/>
                <w:color w:val="auto"/>
              </w:rPr>
              <w:t>dividends for</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3"/>
        </w:trPr>
        <w:tc>
          <w:tcPr>
            <w:tcW w:w="2220" w:type="dxa"/>
            <w:vAlign w:val="bottom"/>
          </w:tcPr>
          <w:p>
            <w:pPr>
              <w:ind w:left="260"/>
              <w:spacing w:after="0" w:line="163" w:lineRule="exact"/>
              <w:rPr>
                <w:sz w:val="20"/>
                <w:szCs w:val="20"/>
                <w:color w:val="auto"/>
              </w:rPr>
            </w:pPr>
            <w:r>
              <w:rPr>
                <w:rFonts w:ascii="Arial" w:cs="Arial" w:eastAsia="Arial" w:hAnsi="Arial"/>
                <w:sz w:val="18"/>
                <w:szCs w:val="18"/>
                <w:color w:val="auto"/>
              </w:rPr>
              <w:t>purpose of ratio</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369</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470</w:t>
            </w: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506</w:t>
            </w: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561</w:t>
            </w: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609</w:t>
            </w:r>
          </w:p>
        </w:tc>
        <w:tc>
          <w:tcPr>
            <w:tcW w:w="1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222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auto"/>
              </w:rPr>
              <w:t>Pretax income from</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260"/>
              <w:spacing w:after="0" w:line="202" w:lineRule="exact"/>
              <w:rPr>
                <w:sz w:val="20"/>
                <w:szCs w:val="20"/>
                <w:color w:val="auto"/>
              </w:rPr>
            </w:pPr>
            <w:r>
              <w:rPr>
                <w:rFonts w:ascii="Arial" w:cs="Arial" w:eastAsia="Arial" w:hAnsi="Arial"/>
                <w:sz w:val="18"/>
                <w:szCs w:val="18"/>
                <w:color w:val="auto"/>
              </w:rPr>
              <w:t>continuing</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260"/>
              <w:spacing w:after="0" w:line="202" w:lineRule="exact"/>
              <w:rPr>
                <w:sz w:val="20"/>
                <w:szCs w:val="20"/>
                <w:color w:val="auto"/>
              </w:rPr>
            </w:pPr>
            <w:r>
              <w:rPr>
                <w:rFonts w:ascii="Arial" w:cs="Arial" w:eastAsia="Arial" w:hAnsi="Arial"/>
                <w:sz w:val="18"/>
                <w:szCs w:val="18"/>
                <w:color w:val="auto"/>
              </w:rPr>
              <w:t>operations before</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260"/>
              <w:spacing w:after="0" w:line="202" w:lineRule="exact"/>
              <w:rPr>
                <w:sz w:val="20"/>
                <w:szCs w:val="20"/>
                <w:color w:val="auto"/>
              </w:rPr>
            </w:pPr>
            <w:r>
              <w:rPr>
                <w:rFonts w:ascii="Arial" w:cs="Arial" w:eastAsia="Arial" w:hAnsi="Arial"/>
                <w:sz w:val="18"/>
                <w:szCs w:val="18"/>
                <w:color w:val="auto"/>
              </w:rPr>
              <w:t>adjustment for</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260"/>
              <w:spacing w:after="0" w:line="202" w:lineRule="exact"/>
              <w:rPr>
                <w:sz w:val="20"/>
                <w:szCs w:val="20"/>
                <w:color w:val="auto"/>
              </w:rPr>
            </w:pPr>
            <w:r>
              <w:rPr>
                <w:rFonts w:ascii="Arial" w:cs="Arial" w:eastAsia="Arial" w:hAnsi="Arial"/>
                <w:sz w:val="18"/>
                <w:szCs w:val="18"/>
                <w:color w:val="auto"/>
              </w:rPr>
              <w:t>income or loss</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260"/>
              <w:spacing w:after="0" w:line="202" w:lineRule="exact"/>
              <w:rPr>
                <w:sz w:val="20"/>
                <w:szCs w:val="20"/>
                <w:color w:val="auto"/>
              </w:rPr>
            </w:pPr>
            <w:r>
              <w:rPr>
                <w:rFonts w:ascii="Arial" w:cs="Arial" w:eastAsia="Arial" w:hAnsi="Arial"/>
                <w:sz w:val="18"/>
                <w:szCs w:val="18"/>
                <w:color w:val="auto"/>
              </w:rPr>
              <w:t>from equity</w:t>
            </w:r>
          </w:p>
        </w:tc>
        <w:tc>
          <w:tcPr>
            <w:tcW w:w="32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20" w:type="dxa"/>
            <w:vAlign w:val="bottom"/>
          </w:tcPr>
          <w:p>
            <w:pPr>
              <w:ind w:left="260"/>
              <w:spacing w:after="0"/>
              <w:rPr>
                <w:sz w:val="20"/>
                <w:szCs w:val="20"/>
                <w:color w:val="auto"/>
              </w:rPr>
            </w:pPr>
            <w:r>
              <w:rPr>
                <w:rFonts w:ascii="Arial" w:cs="Arial" w:eastAsia="Arial" w:hAnsi="Arial"/>
                <w:sz w:val="18"/>
                <w:szCs w:val="18"/>
                <w:color w:val="auto"/>
              </w:rPr>
              <w:t>investees</w:t>
            </w:r>
          </w:p>
        </w:tc>
        <w:tc>
          <w:tcPr>
            <w:tcW w:w="3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1,009</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977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1,078</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1,747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1,255</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auto"/>
              </w:rPr>
              <w:t>Add:</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100"/>
              <w:spacing w:after="0" w:line="202" w:lineRule="exact"/>
              <w:rPr>
                <w:sz w:val="20"/>
                <w:szCs w:val="20"/>
                <w:color w:val="auto"/>
              </w:rPr>
            </w:pPr>
            <w:r>
              <w:rPr>
                <w:rFonts w:ascii="Arial" w:cs="Arial" w:eastAsia="Arial" w:hAnsi="Arial"/>
                <w:sz w:val="18"/>
                <w:szCs w:val="18"/>
                <w:color w:val="auto"/>
              </w:rPr>
              <w:t>Total fixed charges</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260"/>
              <w:spacing w:after="0" w:line="202" w:lineRule="exact"/>
              <w:rPr>
                <w:sz w:val="20"/>
                <w:szCs w:val="20"/>
                <w:color w:val="auto"/>
              </w:rPr>
            </w:pPr>
            <w:r>
              <w:rPr>
                <w:rFonts w:ascii="Arial" w:cs="Arial" w:eastAsia="Arial" w:hAnsi="Arial"/>
                <w:sz w:val="18"/>
                <w:szCs w:val="18"/>
                <w:color w:val="auto"/>
              </w:rPr>
              <w:t>(from above)</w:t>
            </w:r>
          </w:p>
        </w:tc>
        <w:tc>
          <w:tcPr>
            <w:tcW w:w="32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369</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470</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506</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561</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609</w:t>
            </w:r>
          </w:p>
        </w:tc>
        <w:tc>
          <w:tcPr>
            <w:tcW w:w="1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3"/>
        </w:trPr>
        <w:tc>
          <w:tcPr>
            <w:tcW w:w="2220" w:type="dxa"/>
            <w:vAlign w:val="bottom"/>
          </w:tcPr>
          <w:p>
            <w:pPr>
              <w:ind w:left="100"/>
              <w:spacing w:after="0" w:line="202" w:lineRule="exact"/>
              <w:rPr>
                <w:sz w:val="20"/>
                <w:szCs w:val="20"/>
                <w:color w:val="auto"/>
              </w:rPr>
            </w:pPr>
            <w:r>
              <w:rPr>
                <w:rFonts w:ascii="Arial" w:cs="Arial" w:eastAsia="Arial" w:hAnsi="Arial"/>
                <w:sz w:val="18"/>
                <w:szCs w:val="18"/>
                <w:color w:val="auto"/>
              </w:rPr>
              <w:t>Distributed income</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260"/>
              <w:spacing w:after="0"/>
              <w:rPr>
                <w:sz w:val="20"/>
                <w:szCs w:val="20"/>
                <w:color w:val="auto"/>
              </w:rPr>
            </w:pPr>
            <w:r>
              <w:rPr>
                <w:rFonts w:ascii="Arial" w:cs="Arial" w:eastAsia="Arial" w:hAnsi="Arial"/>
                <w:sz w:val="18"/>
                <w:szCs w:val="18"/>
                <w:color w:val="auto"/>
              </w:rPr>
              <w:t>of equity investees</w:t>
            </w:r>
          </w:p>
        </w:tc>
        <w:tc>
          <w:tcPr>
            <w:tcW w:w="3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493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96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Less:</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100"/>
              <w:spacing w:after="0" w:line="202" w:lineRule="exact"/>
              <w:rPr>
                <w:sz w:val="20"/>
                <w:szCs w:val="20"/>
                <w:color w:val="auto"/>
              </w:rPr>
            </w:pPr>
            <w:r>
              <w:rPr>
                <w:rFonts w:ascii="Arial" w:cs="Arial" w:eastAsia="Arial" w:hAnsi="Arial"/>
                <w:sz w:val="18"/>
                <w:szCs w:val="18"/>
                <w:color w:val="auto"/>
              </w:rPr>
              <w:t>Interest capitalized</w:t>
            </w:r>
          </w:p>
        </w:tc>
        <w:tc>
          <w:tcPr>
            <w:tcW w:w="32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100</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73</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74</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27</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53</w:t>
            </w:r>
          </w:p>
        </w:tc>
        <w:tc>
          <w:tcPr>
            <w:tcW w:w="1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220" w:type="dxa"/>
            <w:vAlign w:val="bottom"/>
          </w:tcPr>
          <w:p>
            <w:pPr>
              <w:ind w:left="100"/>
              <w:spacing w:after="0" w:line="202" w:lineRule="exact"/>
              <w:rPr>
                <w:sz w:val="20"/>
                <w:szCs w:val="20"/>
                <w:color w:val="auto"/>
              </w:rPr>
            </w:pPr>
            <w:r>
              <w:rPr>
                <w:rFonts w:ascii="Arial" w:cs="Arial" w:eastAsia="Arial" w:hAnsi="Arial"/>
                <w:sz w:val="18"/>
                <w:szCs w:val="18"/>
                <w:color w:val="auto"/>
              </w:rPr>
              <w:t>Preferred dividends</w:t>
            </w:r>
          </w:p>
        </w:tc>
        <w:tc>
          <w:tcPr>
            <w:tcW w:w="32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vMerge w:val="restart"/>
          </w:tcPr>
          <w:p>
            <w:pPr>
              <w:spacing w:after="0"/>
              <w:rPr>
                <w:sz w:val="17"/>
                <w:szCs w:val="17"/>
                <w:color w:val="auto"/>
              </w:rPr>
            </w:pPr>
          </w:p>
        </w:tc>
        <w:tc>
          <w:tcPr>
            <w:tcW w:w="1200" w:type="dxa"/>
            <w:vAlign w:val="bottom"/>
            <w:vMerge w:val="restart"/>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220" w:type="dxa"/>
            <w:vAlign w:val="bottom"/>
          </w:tcPr>
          <w:p>
            <w:pPr>
              <w:ind w:left="260"/>
              <w:spacing w:after="0" w:line="190" w:lineRule="exact"/>
              <w:rPr>
                <w:sz w:val="20"/>
                <w:szCs w:val="20"/>
                <w:color w:val="auto"/>
              </w:rPr>
            </w:pPr>
            <w:r>
              <w:rPr>
                <w:rFonts w:ascii="Arial" w:cs="Arial" w:eastAsia="Arial" w:hAnsi="Arial"/>
                <w:sz w:val="18"/>
                <w:szCs w:val="18"/>
                <w:color w:val="auto"/>
              </w:rPr>
              <w:t>of subsidiaries (1)</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line="190" w:lineRule="exact"/>
              <w:rPr>
                <w:sz w:val="20"/>
                <w:szCs w:val="20"/>
                <w:color w:val="auto"/>
              </w:rPr>
            </w:pPr>
            <w:r>
              <w:rPr>
                <w:rFonts w:ascii="Arial" w:cs="Arial" w:eastAsia="Arial" w:hAnsi="Arial"/>
                <w:sz w:val="18"/>
                <w:szCs w:val="18"/>
                <w:color w:val="auto"/>
              </w:rPr>
              <w:t>6</w:t>
            </w:r>
          </w:p>
        </w:tc>
        <w:tc>
          <w:tcPr>
            <w:tcW w:w="340" w:type="dxa"/>
            <w:vAlign w:val="bottom"/>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220" w:type="dxa"/>
            <w:vAlign w:val="bottom"/>
          </w:tcPr>
          <w:p>
            <w:pPr>
              <w:spacing w:after="0" w:line="189" w:lineRule="exact"/>
              <w:rPr>
                <w:sz w:val="20"/>
                <w:szCs w:val="20"/>
                <w:color w:val="auto"/>
              </w:rPr>
            </w:pPr>
            <w:r>
              <w:rPr>
                <w:rFonts w:ascii="Arial" w:cs="Arial" w:eastAsia="Arial" w:hAnsi="Arial"/>
                <w:sz w:val="18"/>
                <w:szCs w:val="18"/>
                <w:color w:val="auto"/>
              </w:rPr>
              <w:t>Total earnings for</w:t>
            </w:r>
          </w:p>
        </w:tc>
        <w:tc>
          <w:tcPr>
            <w:tcW w:w="320" w:type="dxa"/>
            <w:vAlign w:val="bottom"/>
          </w:tcPr>
          <w:p>
            <w:pPr>
              <w:spacing w:after="0"/>
              <w:rPr>
                <w:sz w:val="16"/>
                <w:szCs w:val="16"/>
                <w:color w:val="auto"/>
              </w:rPr>
            </w:pPr>
          </w:p>
        </w:tc>
        <w:tc>
          <w:tcPr>
            <w:tcW w:w="900" w:type="dxa"/>
            <w:vAlign w:val="bottom"/>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220" w:type="dxa"/>
            <w:vAlign w:val="bottom"/>
          </w:tcPr>
          <w:p>
            <w:pPr>
              <w:ind w:left="260"/>
              <w:spacing w:after="0" w:line="182" w:lineRule="exact"/>
              <w:rPr>
                <w:sz w:val="20"/>
                <w:szCs w:val="20"/>
                <w:color w:val="auto"/>
              </w:rPr>
            </w:pPr>
            <w:r>
              <w:rPr>
                <w:rFonts w:ascii="Arial" w:cs="Arial" w:eastAsia="Arial" w:hAnsi="Arial"/>
                <w:sz w:val="18"/>
                <w:szCs w:val="18"/>
                <w:color w:val="auto"/>
              </w:rPr>
              <w:t>purpose of ratio</w:t>
            </w:r>
          </w:p>
        </w:tc>
        <w:tc>
          <w:tcPr>
            <w:tcW w:w="320" w:type="dxa"/>
            <w:vAlign w:val="bottom"/>
          </w:tcPr>
          <w:p>
            <w:pPr>
              <w:spacing w:after="0"/>
              <w:rPr>
                <w:sz w:val="17"/>
                <w:szCs w:val="17"/>
                <w:color w:val="auto"/>
              </w:rPr>
            </w:pPr>
          </w:p>
        </w:tc>
        <w:tc>
          <w:tcPr>
            <w:tcW w:w="900" w:type="dxa"/>
            <w:vAlign w:val="bottom"/>
          </w:tcPr>
          <w:p>
            <w:pPr>
              <w:jc w:val="right"/>
              <w:ind w:right="30"/>
              <w:spacing w:after="0" w:line="182" w:lineRule="exact"/>
              <w:rPr>
                <w:sz w:val="20"/>
                <w:szCs w:val="20"/>
                <w:color w:val="auto"/>
              </w:rPr>
            </w:pPr>
            <w:r>
              <w:rPr>
                <w:rFonts w:ascii="Arial" w:cs="Arial" w:eastAsia="Arial" w:hAnsi="Arial"/>
                <w:sz w:val="18"/>
                <w:szCs w:val="18"/>
                <w:color w:val="auto"/>
              </w:rPr>
              <w:t>1,401</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30"/>
              <w:spacing w:after="0" w:line="182" w:lineRule="exact"/>
              <w:rPr>
                <w:sz w:val="20"/>
                <w:szCs w:val="20"/>
                <w:color w:val="auto"/>
              </w:rPr>
            </w:pPr>
            <w:r>
              <w:rPr>
                <w:rFonts w:ascii="Arial" w:cs="Arial" w:eastAsia="Arial" w:hAnsi="Arial"/>
                <w:sz w:val="18"/>
                <w:szCs w:val="18"/>
                <w:color w:val="auto"/>
              </w:rPr>
              <w:t>1,854</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30"/>
              <w:spacing w:after="0" w:line="182" w:lineRule="exact"/>
              <w:rPr>
                <w:sz w:val="20"/>
                <w:szCs w:val="20"/>
                <w:color w:val="auto"/>
              </w:rPr>
            </w:pPr>
            <w:r>
              <w:rPr>
                <w:rFonts w:ascii="Arial" w:cs="Arial" w:eastAsia="Arial" w:hAnsi="Arial"/>
                <w:sz w:val="18"/>
                <w:szCs w:val="18"/>
                <w:color w:val="auto"/>
              </w:rPr>
              <w:t>1,759</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2,367</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30"/>
              <w:spacing w:after="0" w:line="182" w:lineRule="exact"/>
              <w:rPr>
                <w:sz w:val="20"/>
                <w:szCs w:val="20"/>
                <w:color w:val="auto"/>
              </w:rPr>
            </w:pPr>
            <w:r>
              <w:rPr>
                <w:rFonts w:ascii="Arial" w:cs="Arial" w:eastAsia="Arial" w:hAnsi="Arial"/>
                <w:sz w:val="18"/>
                <w:szCs w:val="18"/>
                <w:color w:val="auto"/>
              </w:rPr>
              <w:t>1,855</w:t>
            </w:r>
          </w:p>
        </w:tc>
        <w:tc>
          <w:tcPr>
            <w:tcW w:w="1540" w:type="dxa"/>
            <w:vAlign w:val="bottom"/>
            <w:gridSpan w:val="2"/>
          </w:tcPr>
          <w:p>
            <w:pPr>
              <w:jc w:val="right"/>
              <w:ind w:right="30"/>
              <w:spacing w:after="0" w:line="182" w:lineRule="exact"/>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0"/>
        </w:trPr>
        <w:tc>
          <w:tcPr>
            <w:tcW w:w="2220" w:type="dxa"/>
            <w:vAlign w:val="bottom"/>
            <w:vMerge w:val="restart"/>
          </w:tcPr>
          <w:p>
            <w:pPr>
              <w:spacing w:after="0"/>
              <w:rPr>
                <w:sz w:val="20"/>
                <w:szCs w:val="20"/>
                <w:color w:val="auto"/>
              </w:rPr>
            </w:pPr>
            <w:r>
              <w:rPr>
                <w:rFonts w:ascii="Arial" w:cs="Arial" w:eastAsia="Arial" w:hAnsi="Arial"/>
                <w:sz w:val="18"/>
                <w:szCs w:val="18"/>
                <w:color w:val="auto"/>
              </w:rPr>
              <w:t>Ratio of earnings to</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2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260"/>
              <w:spacing w:after="0" w:line="202" w:lineRule="exact"/>
              <w:rPr>
                <w:sz w:val="20"/>
                <w:szCs w:val="20"/>
                <w:color w:val="auto"/>
              </w:rPr>
            </w:pPr>
            <w:r>
              <w:rPr>
                <w:rFonts w:ascii="Arial" w:cs="Arial" w:eastAsia="Arial" w:hAnsi="Arial"/>
                <w:sz w:val="18"/>
                <w:szCs w:val="18"/>
                <w:color w:val="auto"/>
              </w:rPr>
              <w:t>combined fixed</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260"/>
              <w:spacing w:after="0" w:line="202" w:lineRule="exact"/>
              <w:rPr>
                <w:sz w:val="20"/>
                <w:szCs w:val="20"/>
                <w:color w:val="auto"/>
              </w:rPr>
            </w:pPr>
            <w:r>
              <w:rPr>
                <w:rFonts w:ascii="Arial" w:cs="Arial" w:eastAsia="Arial" w:hAnsi="Arial"/>
                <w:sz w:val="18"/>
                <w:szCs w:val="18"/>
                <w:color w:val="auto"/>
              </w:rPr>
              <w:t>charges and</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260"/>
              <w:spacing w:after="0" w:line="202" w:lineRule="exact"/>
              <w:rPr>
                <w:sz w:val="20"/>
                <w:szCs w:val="20"/>
                <w:color w:val="auto"/>
              </w:rPr>
            </w:pPr>
            <w:r>
              <w:rPr>
                <w:rFonts w:ascii="Arial" w:cs="Arial" w:eastAsia="Arial" w:hAnsi="Arial"/>
                <w:sz w:val="18"/>
                <w:szCs w:val="18"/>
                <w:color w:val="auto"/>
              </w:rPr>
              <w:t>preferred stock</w:t>
            </w:r>
          </w:p>
        </w:tc>
        <w:tc>
          <w:tcPr>
            <w:tcW w:w="32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3.80</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3.94</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3.48</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4.22</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3.05</w:t>
            </w:r>
          </w:p>
        </w:tc>
        <w:tc>
          <w:tcPr>
            <w:tcW w:w="15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163"/>
        </w:trPr>
        <w:tc>
          <w:tcPr>
            <w:tcW w:w="2220" w:type="dxa"/>
            <w:vAlign w:val="bottom"/>
          </w:tcPr>
          <w:p>
            <w:pPr>
              <w:ind w:left="260"/>
              <w:spacing w:after="0" w:line="143" w:lineRule="exact"/>
              <w:rPr>
                <w:sz w:val="20"/>
                <w:szCs w:val="20"/>
                <w:color w:val="auto"/>
              </w:rPr>
            </w:pPr>
            <w:r>
              <w:rPr>
                <w:rFonts w:ascii="Arial" w:cs="Arial" w:eastAsia="Arial" w:hAnsi="Arial"/>
                <w:sz w:val="16"/>
                <w:szCs w:val="16"/>
                <w:color w:val="auto"/>
              </w:rPr>
              <w:t>dividends</w:t>
            </w:r>
          </w:p>
        </w:tc>
        <w:tc>
          <w:tcPr>
            <w:tcW w:w="3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20" w:type="dxa"/>
            <w:vAlign w:val="bottom"/>
            <w:vMerge w:val="restart"/>
          </w:tcPr>
          <w:p>
            <w:pPr>
              <w:spacing w:after="0"/>
              <w:rPr>
                <w:sz w:val="20"/>
                <w:szCs w:val="20"/>
                <w:color w:val="auto"/>
              </w:rPr>
            </w:pPr>
            <w:r>
              <w:rPr>
                <w:rFonts w:ascii="Arial" w:cs="Arial" w:eastAsia="Arial" w:hAnsi="Arial"/>
                <w:sz w:val="18"/>
                <w:szCs w:val="18"/>
                <w:color w:val="auto"/>
              </w:rPr>
              <w:t>Ratio of earnings to</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3.80</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3.94</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3.48</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4.22</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3.05</w:t>
            </w:r>
          </w:p>
        </w:tc>
        <w:tc>
          <w:tcPr>
            <w:tcW w:w="15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163"/>
        </w:trPr>
        <w:tc>
          <w:tcPr>
            <w:tcW w:w="2220" w:type="dxa"/>
            <w:vAlign w:val="bottom"/>
          </w:tcPr>
          <w:p>
            <w:pPr>
              <w:ind w:left="260"/>
              <w:spacing w:after="0" w:line="143" w:lineRule="exact"/>
              <w:rPr>
                <w:sz w:val="20"/>
                <w:szCs w:val="20"/>
                <w:color w:val="auto"/>
              </w:rPr>
            </w:pPr>
            <w:r>
              <w:rPr>
                <w:rFonts w:ascii="Arial" w:cs="Arial" w:eastAsia="Arial" w:hAnsi="Arial"/>
                <w:sz w:val="16"/>
                <w:szCs w:val="16"/>
                <w:color w:val="auto"/>
              </w:rPr>
              <w:t>fixed charges</w:t>
            </w:r>
          </w:p>
        </w:tc>
        <w:tc>
          <w:tcPr>
            <w:tcW w:w="3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00" w:right="540" w:hanging="492"/>
        <w:spacing w:after="0" w:line="246" w:lineRule="auto"/>
        <w:tabs>
          <w:tab w:leader="none" w:pos="5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In computing this ratio, “Preferred dividends of subsidiaries” represents the before-tax earnings necessary to pay such dividends, computed at the effective tax rates for the applicable periods.</w:t>
      </w:r>
    </w:p>
    <w:p>
      <w:pPr>
        <w:sectPr>
          <w:pgSz w:w="11900" w:h="16838" w:orient="portrait"/>
          <w:cols w:equalWidth="0" w:num="1">
            <w:col w:w="11280"/>
          </w:cols>
          <w:pgMar w:left="380" w:top="873" w:right="239" w:bottom="1440" w:gutter="0" w:footer="0" w:header="0"/>
        </w:sectPr>
      </w:pPr>
    </w:p>
    <w:bookmarkStart w:id="168" w:name="page169"/>
    <w:bookmarkEnd w:id="1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
        <w:spacing w:after="0"/>
        <w:rPr>
          <w:sz w:val="20"/>
          <w:szCs w:val="20"/>
          <w:color w:val="auto"/>
        </w:rPr>
      </w:pPr>
      <w:r>
        <w:rPr>
          <w:rFonts w:ascii="Arial" w:cs="Arial" w:eastAsia="Arial" w:hAnsi="Arial"/>
          <w:sz w:val="18"/>
          <w:szCs w:val="18"/>
          <w:color w:val="auto"/>
        </w:rPr>
        <w:t>Fixed Charges and</w:t>
      </w:r>
    </w:p>
    <w:p>
      <w:pPr>
        <w:ind w:left="262"/>
        <w:spacing w:after="0" w:line="234" w:lineRule="auto"/>
        <w:rPr>
          <w:sz w:val="20"/>
          <w:szCs w:val="20"/>
          <w:color w:val="auto"/>
        </w:rPr>
      </w:pPr>
      <w:r>
        <w:rPr>
          <w:rFonts w:ascii="Arial" w:cs="Arial" w:eastAsia="Arial" w:hAnsi="Arial"/>
          <w:sz w:val="18"/>
          <w:szCs w:val="18"/>
          <w:color w:val="auto"/>
        </w:rPr>
        <w:t>Preferred Stock</w:t>
      </w:r>
    </w:p>
    <w:p>
      <w:pPr>
        <w:spacing w:after="0" w:line="1" w:lineRule="exact"/>
        <w:rPr>
          <w:sz w:val="20"/>
          <w:szCs w:val="20"/>
          <w:color w:val="auto"/>
        </w:rPr>
      </w:pPr>
    </w:p>
    <w:p>
      <w:pPr>
        <w:ind w:left="262"/>
        <w:spacing w:after="0"/>
        <w:rPr>
          <w:sz w:val="20"/>
          <w:szCs w:val="20"/>
          <w:color w:val="auto"/>
        </w:rPr>
      </w:pPr>
      <w:r>
        <w:rPr>
          <w:rFonts w:ascii="Arial" w:cs="Arial" w:eastAsia="Arial" w:hAnsi="Arial"/>
          <w:sz w:val="18"/>
          <w:szCs w:val="18"/>
          <w:color w:val="auto"/>
        </w:rPr>
        <w:t>Dividends:</w:t>
      </w:r>
    </w:p>
    <w:p>
      <w:pPr>
        <w:spacing w:after="0" w:line="194" w:lineRule="exact"/>
        <w:rPr>
          <w:sz w:val="20"/>
          <w:szCs w:val="20"/>
          <w:color w:val="auto"/>
        </w:rPr>
      </w:pPr>
    </w:p>
    <w:p>
      <w:pPr>
        <w:ind w:left="2"/>
        <w:spacing w:after="0"/>
        <w:rPr>
          <w:sz w:val="20"/>
          <w:szCs w:val="20"/>
          <w:color w:val="auto"/>
        </w:rPr>
      </w:pPr>
      <w:r>
        <w:rPr>
          <w:rFonts w:ascii="Arial" w:cs="Arial" w:eastAsia="Arial" w:hAnsi="Arial"/>
          <w:sz w:val="18"/>
          <w:szCs w:val="18"/>
          <w:color w:val="auto"/>
        </w:rPr>
        <w:t>Interest</w:t>
      </w:r>
    </w:p>
    <w:p>
      <w:pPr>
        <w:jc w:val="right"/>
        <w:ind w:left="2" w:right="280"/>
        <w:spacing w:after="0" w:line="242" w:lineRule="auto"/>
        <w:rPr>
          <w:sz w:val="20"/>
          <w:szCs w:val="20"/>
          <w:color w:val="auto"/>
        </w:rPr>
      </w:pPr>
      <w:r>
        <w:rPr>
          <w:rFonts w:ascii="Arial" w:cs="Arial" w:eastAsia="Arial" w:hAnsi="Arial"/>
          <w:sz w:val="18"/>
          <w:szCs w:val="18"/>
          <w:color w:val="auto"/>
        </w:rPr>
        <w:t>Interest portion of annual rentals</w:t>
      </w:r>
    </w:p>
    <w:p>
      <w:pPr>
        <w:spacing w:after="0" w:line="1" w:lineRule="exact"/>
        <w:rPr>
          <w:sz w:val="20"/>
          <w:szCs w:val="20"/>
          <w:color w:val="auto"/>
        </w:rPr>
      </w:pPr>
    </w:p>
    <w:p>
      <w:pPr>
        <w:ind w:left="2" w:right="180"/>
        <w:spacing w:after="0" w:line="248" w:lineRule="auto"/>
        <w:rPr>
          <w:sz w:val="20"/>
          <w:szCs w:val="20"/>
          <w:color w:val="auto"/>
        </w:rPr>
      </w:pPr>
      <w:r>
        <w:rPr>
          <w:rFonts w:ascii="Arial" w:cs="Arial" w:eastAsia="Arial" w:hAnsi="Arial"/>
          <w:sz w:val="17"/>
          <w:szCs w:val="17"/>
          <w:color w:val="auto"/>
        </w:rPr>
        <w:t>Total fixed charges Preferred stock</w:t>
      </w:r>
    </w:p>
    <w:p>
      <w:pPr>
        <w:spacing w:after="0" w:line="1" w:lineRule="exact"/>
        <w:rPr>
          <w:sz w:val="20"/>
          <w:szCs w:val="20"/>
          <w:color w:val="auto"/>
        </w:rPr>
      </w:pPr>
    </w:p>
    <w:p>
      <w:pPr>
        <w:jc w:val="right"/>
        <w:ind w:left="2" w:right="400"/>
        <w:spacing w:after="0" w:line="234" w:lineRule="auto"/>
        <w:rPr>
          <w:sz w:val="20"/>
          <w:szCs w:val="20"/>
          <w:color w:val="auto"/>
        </w:rPr>
      </w:pPr>
      <w:r>
        <w:rPr>
          <w:rFonts w:ascii="Arial" w:cs="Arial" w:eastAsia="Arial" w:hAnsi="Arial"/>
          <w:sz w:val="18"/>
          <w:szCs w:val="18"/>
          <w:color w:val="auto"/>
        </w:rPr>
        <w:t>dividends (1) Combined fixed charges and</w:t>
      </w:r>
    </w:p>
    <w:p>
      <w:pPr>
        <w:spacing w:after="0" w:line="2" w:lineRule="exact"/>
        <w:rPr>
          <w:sz w:val="20"/>
          <w:szCs w:val="20"/>
          <w:color w:val="auto"/>
        </w:rPr>
      </w:pPr>
    </w:p>
    <w:p>
      <w:pPr>
        <w:ind w:left="262" w:right="180"/>
        <w:spacing w:after="0" w:line="254" w:lineRule="auto"/>
        <w:rPr>
          <w:sz w:val="20"/>
          <w:szCs w:val="20"/>
          <w:color w:val="auto"/>
        </w:rPr>
      </w:pPr>
      <w:r>
        <w:rPr>
          <w:rFonts w:ascii="Arial" w:cs="Arial" w:eastAsia="Arial" w:hAnsi="Arial"/>
          <w:sz w:val="17"/>
          <w:szCs w:val="17"/>
          <w:color w:val="auto"/>
        </w:rPr>
        <w:t>preferred stock dividends for purpose of ratio</w:t>
      </w:r>
    </w:p>
    <w:p>
      <w:pPr>
        <w:ind w:left="2"/>
        <w:spacing w:after="0" w:line="235" w:lineRule="auto"/>
        <w:rPr>
          <w:sz w:val="20"/>
          <w:szCs w:val="20"/>
          <w:color w:val="auto"/>
        </w:rPr>
      </w:pPr>
      <w:r>
        <w:rPr>
          <w:rFonts w:ascii="Arial" w:cs="Arial" w:eastAsia="Arial" w:hAnsi="Arial"/>
          <w:sz w:val="18"/>
          <w:szCs w:val="18"/>
          <w:color w:val="auto"/>
        </w:rPr>
        <w:t>Earnings:</w:t>
      </w:r>
    </w:p>
    <w:p>
      <w:pPr>
        <w:spacing w:after="0" w:line="1" w:lineRule="exact"/>
        <w:rPr>
          <w:sz w:val="20"/>
          <w:szCs w:val="20"/>
          <w:color w:val="auto"/>
        </w:rPr>
      </w:pPr>
    </w:p>
    <w:p>
      <w:pPr>
        <w:ind w:left="262" w:right="120" w:hanging="258"/>
        <w:spacing w:after="0" w:line="234" w:lineRule="auto"/>
        <w:rPr>
          <w:sz w:val="20"/>
          <w:szCs w:val="20"/>
          <w:color w:val="auto"/>
        </w:rPr>
      </w:pPr>
      <w:r>
        <w:rPr>
          <w:rFonts w:ascii="Arial" w:cs="Arial" w:eastAsia="Arial" w:hAnsi="Arial"/>
          <w:sz w:val="18"/>
          <w:szCs w:val="18"/>
          <w:color w:val="auto"/>
        </w:rPr>
        <w:t>Pretax income from continuing operations</w:t>
      </w:r>
    </w:p>
    <w:p>
      <w:pPr>
        <w:spacing w:after="0" w:line="2" w:lineRule="exact"/>
        <w:rPr>
          <w:sz w:val="20"/>
          <w:szCs w:val="20"/>
          <w:color w:val="auto"/>
        </w:rPr>
      </w:pPr>
    </w:p>
    <w:p>
      <w:pPr>
        <w:ind w:left="262" w:right="180" w:hanging="258"/>
        <w:spacing w:after="0" w:line="248" w:lineRule="auto"/>
        <w:rPr>
          <w:sz w:val="20"/>
          <w:szCs w:val="20"/>
          <w:color w:val="auto"/>
        </w:rPr>
      </w:pPr>
      <w:r>
        <w:rPr>
          <w:rFonts w:ascii="Arial" w:cs="Arial" w:eastAsia="Arial" w:hAnsi="Arial"/>
          <w:sz w:val="17"/>
          <w:szCs w:val="17"/>
          <w:color w:val="auto"/>
        </w:rPr>
        <w:t>Total fixed charges (from above)</w:t>
      </w:r>
    </w:p>
    <w:p>
      <w:pPr>
        <w:spacing w:after="0" w:line="1" w:lineRule="exact"/>
        <w:rPr>
          <w:sz w:val="20"/>
          <w:szCs w:val="20"/>
          <w:color w:val="auto"/>
        </w:rPr>
      </w:pPr>
    </w:p>
    <w:p>
      <w:pPr>
        <w:jc w:val="right"/>
        <w:ind w:right="600"/>
        <w:spacing w:after="0"/>
        <w:rPr>
          <w:sz w:val="20"/>
          <w:szCs w:val="20"/>
          <w:color w:val="auto"/>
        </w:rPr>
      </w:pPr>
      <w:r>
        <w:rPr>
          <w:rFonts w:ascii="Arial" w:cs="Arial" w:eastAsia="Arial" w:hAnsi="Arial"/>
          <w:sz w:val="17"/>
          <w:szCs w:val="17"/>
          <w:color w:val="auto"/>
        </w:rPr>
        <w:t>Less: Interest</w:t>
      </w:r>
    </w:p>
    <w:p>
      <w:pPr>
        <w:spacing w:after="0" w:line="7"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capitalized</w:t>
      </w:r>
    </w:p>
    <w:p>
      <w:pPr>
        <w:spacing w:after="0" w:line="36" w:lineRule="exact"/>
        <w:rPr>
          <w:sz w:val="20"/>
          <w:szCs w:val="20"/>
          <w:color w:val="auto"/>
        </w:rPr>
      </w:pPr>
    </w:p>
    <w:p>
      <w:pPr>
        <w:ind w:left="262" w:right="180" w:hanging="258"/>
        <w:spacing w:after="0" w:line="248" w:lineRule="auto"/>
        <w:rPr>
          <w:sz w:val="20"/>
          <w:szCs w:val="20"/>
          <w:color w:val="auto"/>
        </w:rPr>
      </w:pPr>
      <w:r>
        <w:rPr>
          <w:rFonts w:ascii="Arial" w:cs="Arial" w:eastAsia="Arial" w:hAnsi="Arial"/>
          <w:sz w:val="17"/>
          <w:szCs w:val="17"/>
          <w:color w:val="auto"/>
        </w:rPr>
        <w:t>Total earnings for purpose of ratio</w:t>
      </w:r>
    </w:p>
    <w:p>
      <w:pPr>
        <w:spacing w:after="0" w:line="1" w:lineRule="exact"/>
        <w:rPr>
          <w:sz w:val="20"/>
          <w:szCs w:val="20"/>
          <w:color w:val="auto"/>
        </w:rPr>
      </w:pPr>
    </w:p>
    <w:p>
      <w:pPr>
        <w:ind w:left="262" w:right="120" w:hanging="258"/>
        <w:spacing w:after="0" w:line="238" w:lineRule="auto"/>
        <w:rPr>
          <w:sz w:val="20"/>
          <w:szCs w:val="20"/>
          <w:color w:val="auto"/>
        </w:rPr>
      </w:pPr>
      <w:r>
        <w:rPr>
          <w:rFonts w:ascii="Arial" w:cs="Arial" w:eastAsia="Arial" w:hAnsi="Arial"/>
          <w:sz w:val="18"/>
          <w:szCs w:val="18"/>
          <w:color w:val="auto"/>
        </w:rPr>
        <w:t>Ratio of earnings to combined fixed charges and preferred stock dividends</w:t>
      </w:r>
    </w:p>
    <w:p>
      <w:pPr>
        <w:spacing w:after="0" w:line="203" w:lineRule="exact"/>
        <w:rPr>
          <w:sz w:val="20"/>
          <w:szCs w:val="20"/>
          <w:color w:val="auto"/>
        </w:rPr>
      </w:pPr>
    </w:p>
    <w:p>
      <w:pPr>
        <w:ind w:left="262" w:right="120" w:hanging="258"/>
        <w:spacing w:after="0" w:line="246" w:lineRule="auto"/>
        <w:rPr>
          <w:sz w:val="20"/>
          <w:szCs w:val="20"/>
          <w:color w:val="auto"/>
        </w:rPr>
      </w:pPr>
      <w:r>
        <w:rPr>
          <w:rFonts w:ascii="Arial" w:cs="Arial" w:eastAsia="Arial" w:hAnsi="Arial"/>
          <w:sz w:val="18"/>
          <w:szCs w:val="18"/>
          <w:color w:val="auto"/>
        </w:rPr>
        <w:t>Ratio of earnings to fixed charges</w:t>
      </w:r>
    </w:p>
    <w:p>
      <w:pPr>
        <w:spacing w:after="0" w:line="20" w:lineRule="exact"/>
        <w:rPr>
          <w:sz w:val="20"/>
          <w:szCs w:val="20"/>
          <w:color w:val="auto"/>
        </w:rPr>
      </w:pPr>
      <w:r>
        <w:rPr>
          <w:sz w:val="20"/>
          <w:szCs w:val="20"/>
          <w:color w:val="auto"/>
        </w:rPr>
        <w:br w:type="column"/>
      </w:r>
    </w:p>
    <w:p>
      <w:pPr>
        <w:jc w:val="center"/>
        <w:ind w:right="2520"/>
        <w:spacing w:after="0"/>
        <w:rPr>
          <w:sz w:val="20"/>
          <w:szCs w:val="20"/>
          <w:color w:val="auto"/>
        </w:rPr>
      </w:pPr>
      <w:r>
        <w:rPr>
          <w:rFonts w:ascii="Arial" w:cs="Arial" w:eastAsia="Arial" w:hAnsi="Arial"/>
          <w:sz w:val="18"/>
          <w:szCs w:val="18"/>
          <w:b w:val="1"/>
          <w:bCs w:val="1"/>
          <w:color w:val="auto"/>
        </w:rPr>
        <w:t>EXHIBIT 12.2</w:t>
      </w:r>
    </w:p>
    <w:p>
      <w:pPr>
        <w:spacing w:after="0" w:line="13" w:lineRule="exact"/>
        <w:rPr>
          <w:sz w:val="20"/>
          <w:szCs w:val="20"/>
          <w:color w:val="auto"/>
        </w:rPr>
      </w:pPr>
    </w:p>
    <w:p>
      <w:pPr>
        <w:jc w:val="center"/>
        <w:ind w:right="2520"/>
        <w:spacing w:after="0"/>
        <w:rPr>
          <w:sz w:val="20"/>
          <w:szCs w:val="20"/>
          <w:color w:val="auto"/>
        </w:rPr>
      </w:pPr>
      <w:r>
        <w:rPr>
          <w:rFonts w:ascii="Arial" w:cs="Arial" w:eastAsia="Arial" w:hAnsi="Arial"/>
          <w:sz w:val="18"/>
          <w:szCs w:val="18"/>
          <w:b w:val="1"/>
          <w:bCs w:val="1"/>
          <w:color w:val="auto"/>
        </w:rPr>
        <w:t>SAN DIEGO GAS &amp; ELECTRIC COMPANY</w:t>
      </w:r>
    </w:p>
    <w:p>
      <w:pPr>
        <w:jc w:val="center"/>
        <w:ind w:right="2520"/>
        <w:spacing w:after="0"/>
        <w:rPr>
          <w:sz w:val="20"/>
          <w:szCs w:val="20"/>
          <w:color w:val="auto"/>
        </w:rPr>
      </w:pPr>
      <w:r>
        <w:rPr>
          <w:rFonts w:ascii="Arial" w:cs="Arial" w:eastAsia="Arial" w:hAnsi="Arial"/>
          <w:sz w:val="17"/>
          <w:szCs w:val="17"/>
          <w:b w:val="1"/>
          <w:bCs w:val="1"/>
          <w:color w:val="auto"/>
        </w:rPr>
        <w:t>COMPUTATION OF RATIO OF EARNINGS TO COMBINED FIXED CHARGES</w:t>
      </w:r>
    </w:p>
    <w:p>
      <w:pPr>
        <w:spacing w:after="0" w:line="3" w:lineRule="exact"/>
        <w:rPr>
          <w:sz w:val="20"/>
          <w:szCs w:val="20"/>
          <w:color w:val="auto"/>
        </w:rPr>
      </w:pPr>
    </w:p>
    <w:p>
      <w:pPr>
        <w:jc w:val="center"/>
        <w:ind w:right="2520"/>
        <w:spacing w:after="0"/>
        <w:rPr>
          <w:sz w:val="20"/>
          <w:szCs w:val="20"/>
          <w:color w:val="auto"/>
        </w:rPr>
      </w:pPr>
      <w:r>
        <w:rPr>
          <w:rFonts w:ascii="Arial" w:cs="Arial" w:eastAsia="Arial" w:hAnsi="Arial"/>
          <w:sz w:val="18"/>
          <w:szCs w:val="18"/>
          <w:b w:val="1"/>
          <w:bCs w:val="1"/>
          <w:color w:val="auto"/>
        </w:rPr>
        <w:t>AND PREFERRED STOCK DIVIDENDS</w:t>
      </w:r>
    </w:p>
    <w:p>
      <w:pPr>
        <w:jc w:val="center"/>
        <w:ind w:right="2520"/>
        <w:spacing w:after="0"/>
        <w:rPr>
          <w:sz w:val="20"/>
          <w:szCs w:val="20"/>
          <w:color w:val="auto"/>
        </w:rPr>
      </w:pPr>
      <w:r>
        <w:rPr>
          <w:rFonts w:ascii="Arial" w:cs="Arial" w:eastAsia="Arial" w:hAnsi="Arial"/>
          <w:sz w:val="18"/>
          <w:szCs w:val="18"/>
          <w:b w:val="1"/>
          <w:bCs w:val="1"/>
          <w:color w:val="auto"/>
        </w:rPr>
        <w:t>(Dollars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March 31,</w:t>
            </w:r>
          </w:p>
        </w:tc>
      </w:tr>
      <w:tr>
        <w:trPr>
          <w:trHeight w:val="203"/>
        </w:trPr>
        <w:tc>
          <w:tcPr>
            <w:tcW w:w="118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2008</w:t>
            </w:r>
          </w:p>
        </w:tc>
        <w:tc>
          <w:tcPr>
            <w:tcW w:w="360" w:type="dxa"/>
            <w:vAlign w:val="bottom"/>
          </w:tcPr>
          <w:p>
            <w:pPr>
              <w:spacing w:after="0"/>
              <w:rPr>
                <w:sz w:val="17"/>
                <w:szCs w:val="17"/>
                <w:color w:val="auto"/>
              </w:rPr>
            </w:pPr>
          </w:p>
        </w:tc>
        <w:tc>
          <w:tcPr>
            <w:tcW w:w="118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2009</w:t>
            </w:r>
          </w:p>
        </w:tc>
        <w:tc>
          <w:tcPr>
            <w:tcW w:w="360" w:type="dxa"/>
            <w:vAlign w:val="bottom"/>
          </w:tcPr>
          <w:p>
            <w:pPr>
              <w:spacing w:after="0"/>
              <w:rPr>
                <w:sz w:val="17"/>
                <w:szCs w:val="17"/>
                <w:color w:val="auto"/>
              </w:rPr>
            </w:pPr>
          </w:p>
        </w:tc>
        <w:tc>
          <w:tcPr>
            <w:tcW w:w="118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2010</w:t>
            </w:r>
          </w:p>
        </w:tc>
        <w:tc>
          <w:tcPr>
            <w:tcW w:w="360" w:type="dxa"/>
            <w:vAlign w:val="bottom"/>
          </w:tcPr>
          <w:p>
            <w:pPr>
              <w:spacing w:after="0"/>
              <w:rPr>
                <w:sz w:val="17"/>
                <w:szCs w:val="17"/>
                <w:color w:val="auto"/>
              </w:rPr>
            </w:pPr>
          </w:p>
        </w:tc>
        <w:tc>
          <w:tcPr>
            <w:tcW w:w="118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2011</w:t>
            </w:r>
          </w:p>
        </w:tc>
        <w:tc>
          <w:tcPr>
            <w:tcW w:w="360" w:type="dxa"/>
            <w:vAlign w:val="bottom"/>
          </w:tcPr>
          <w:p>
            <w:pPr>
              <w:spacing w:after="0"/>
              <w:rPr>
                <w:sz w:val="17"/>
                <w:szCs w:val="17"/>
                <w:color w:val="auto"/>
              </w:rPr>
            </w:pPr>
          </w:p>
        </w:tc>
        <w:tc>
          <w:tcPr>
            <w:tcW w:w="118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2012</w:t>
            </w:r>
          </w:p>
        </w:tc>
        <w:tc>
          <w:tcPr>
            <w:tcW w:w="360" w:type="dxa"/>
            <w:vAlign w:val="bottom"/>
          </w:tcPr>
          <w:p>
            <w:pPr>
              <w:spacing w:after="0"/>
              <w:rPr>
                <w:sz w:val="17"/>
                <w:szCs w:val="17"/>
                <w:color w:val="auto"/>
              </w:rPr>
            </w:pPr>
          </w:p>
        </w:tc>
        <w:tc>
          <w:tcPr>
            <w:tcW w:w="118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2013</w:t>
            </w:r>
          </w:p>
        </w:tc>
      </w:tr>
      <w:tr>
        <w:trPr>
          <w:trHeight w:val="803"/>
        </w:trPr>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r>
      <w:tr>
        <w:trPr>
          <w:trHeight w:val="217"/>
        </w:trPr>
        <w:tc>
          <w:tcPr>
            <w:tcW w:w="118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118</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153</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193</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220</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57</w:t>
            </w:r>
          </w:p>
        </w:tc>
      </w:tr>
      <w:tr>
        <w:trPr>
          <w:trHeight w:val="378"/>
        </w:trPr>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118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119</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154</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194</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221</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57</w:t>
            </w:r>
          </w:p>
        </w:tc>
      </w:tr>
      <w:tr>
        <w:trPr>
          <w:trHeight w:val="378"/>
        </w:trPr>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r>
      <w:tr>
        <w:trPr>
          <w:trHeight w:val="762"/>
        </w:trPr>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r>
      <w:tr>
        <w:trPr>
          <w:trHeight w:val="203"/>
        </w:trPr>
        <w:tc>
          <w:tcPr>
            <w:tcW w:w="11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115</w:t>
            </w:r>
          </w:p>
        </w:tc>
        <w:tc>
          <w:tcPr>
            <w:tcW w:w="360" w:type="dxa"/>
            <w:vAlign w:val="bottom"/>
          </w:tcPr>
          <w:p>
            <w:pPr>
              <w:spacing w:after="0"/>
              <w:rPr>
                <w:sz w:val="17"/>
                <w:szCs w:val="17"/>
                <w:color w:val="auto"/>
              </w:rPr>
            </w:pPr>
          </w:p>
        </w:tc>
        <w:tc>
          <w:tcPr>
            <w:tcW w:w="11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126</w:t>
            </w:r>
          </w:p>
        </w:tc>
        <w:tc>
          <w:tcPr>
            <w:tcW w:w="360" w:type="dxa"/>
            <w:vAlign w:val="bottom"/>
          </w:tcPr>
          <w:p>
            <w:pPr>
              <w:spacing w:after="0"/>
              <w:rPr>
                <w:sz w:val="17"/>
                <w:szCs w:val="17"/>
                <w:color w:val="auto"/>
              </w:rPr>
            </w:pPr>
          </w:p>
        </w:tc>
        <w:tc>
          <w:tcPr>
            <w:tcW w:w="11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161</w:t>
            </w:r>
          </w:p>
        </w:tc>
        <w:tc>
          <w:tcPr>
            <w:tcW w:w="360" w:type="dxa"/>
            <w:vAlign w:val="bottom"/>
          </w:tcPr>
          <w:p>
            <w:pPr>
              <w:spacing w:after="0"/>
              <w:rPr>
                <w:sz w:val="17"/>
                <w:szCs w:val="17"/>
                <w:color w:val="auto"/>
              </w:rPr>
            </w:pPr>
          </w:p>
        </w:tc>
        <w:tc>
          <w:tcPr>
            <w:tcW w:w="11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201</w:t>
            </w:r>
          </w:p>
        </w:tc>
        <w:tc>
          <w:tcPr>
            <w:tcW w:w="360" w:type="dxa"/>
            <w:vAlign w:val="bottom"/>
          </w:tcPr>
          <w:p>
            <w:pPr>
              <w:spacing w:after="0"/>
              <w:rPr>
                <w:sz w:val="17"/>
                <w:szCs w:val="17"/>
                <w:color w:val="auto"/>
              </w:rPr>
            </w:pPr>
          </w:p>
        </w:tc>
        <w:tc>
          <w:tcPr>
            <w:tcW w:w="11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228</w:t>
            </w:r>
          </w:p>
        </w:tc>
        <w:tc>
          <w:tcPr>
            <w:tcW w:w="360" w:type="dxa"/>
            <w:vAlign w:val="bottom"/>
          </w:tcPr>
          <w:p>
            <w:pPr>
              <w:spacing w:after="0"/>
              <w:rPr>
                <w:sz w:val="17"/>
                <w:szCs w:val="17"/>
                <w:color w:val="auto"/>
              </w:rPr>
            </w:pPr>
          </w:p>
        </w:tc>
        <w:tc>
          <w:tcPr>
            <w:tcW w:w="11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59</w:t>
            </w: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01"/>
        </w:trPr>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r>
      <w:tr>
        <w:trPr>
          <w:trHeight w:val="217"/>
        </w:trPr>
        <w:tc>
          <w:tcPr>
            <w:tcW w:w="1180" w:type="dxa"/>
            <w:vAlign w:val="bottom"/>
          </w:tcPr>
          <w:p>
            <w:pPr>
              <w:jc w:val="right"/>
              <w:ind w:right="30"/>
              <w:spacing w:after="0"/>
              <w:rPr>
                <w:sz w:val="20"/>
                <w:szCs w:val="20"/>
                <w:color w:val="auto"/>
              </w:rPr>
            </w:pPr>
            <w:r>
              <w:rPr>
                <w:rFonts w:ascii="Arial" w:cs="Arial" w:eastAsia="Arial" w:hAnsi="Arial"/>
                <w:sz w:val="18"/>
                <w:szCs w:val="18"/>
                <w:color w:val="auto"/>
              </w:rPr>
              <w:t>451</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550</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531</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692</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705</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132</w:t>
            </w:r>
          </w:p>
        </w:tc>
      </w:tr>
      <w:tr>
        <w:trPr>
          <w:trHeight w:val="405"/>
        </w:trPr>
        <w:tc>
          <w:tcPr>
            <w:tcW w:w="118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119</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154</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194</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221</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57</w:t>
            </w:r>
          </w:p>
        </w:tc>
      </w:tr>
      <w:tr>
        <w:trPr>
          <w:trHeight w:val="378"/>
        </w:trPr>
        <w:tc>
          <w:tcPr>
            <w:tcW w:w="11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4</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r>
      <w:tr>
        <w:trPr>
          <w:trHeight w:val="195"/>
        </w:trPr>
        <w:tc>
          <w:tcPr>
            <w:tcW w:w="118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6"/>
                <w:szCs w:val="16"/>
                <w:color w:val="auto"/>
              </w:rPr>
            </w:pPr>
          </w:p>
        </w:tc>
        <w:tc>
          <w:tcPr>
            <w:tcW w:w="118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6"/>
                <w:szCs w:val="16"/>
                <w:color w:val="auto"/>
              </w:rPr>
            </w:pPr>
          </w:p>
        </w:tc>
        <w:tc>
          <w:tcPr>
            <w:tcW w:w="118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6"/>
                <w:szCs w:val="16"/>
                <w:color w:val="auto"/>
              </w:rPr>
            </w:pPr>
          </w:p>
        </w:tc>
        <w:tc>
          <w:tcPr>
            <w:tcW w:w="118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6"/>
                <w:szCs w:val="16"/>
                <w:color w:val="auto"/>
              </w:rPr>
            </w:pPr>
          </w:p>
        </w:tc>
        <w:tc>
          <w:tcPr>
            <w:tcW w:w="118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6"/>
                <w:szCs w:val="16"/>
                <w:color w:val="auto"/>
              </w:rPr>
            </w:pPr>
          </w:p>
        </w:tc>
        <w:tc>
          <w:tcPr>
            <w:tcW w:w="118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r>
      <w:tr>
        <w:trPr>
          <w:trHeight w:val="203"/>
        </w:trPr>
        <w:tc>
          <w:tcPr>
            <w:tcW w:w="11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546</w:t>
            </w:r>
          </w:p>
        </w:tc>
        <w:tc>
          <w:tcPr>
            <w:tcW w:w="360" w:type="dxa"/>
            <w:vAlign w:val="bottom"/>
          </w:tcPr>
          <w:p>
            <w:pPr>
              <w:spacing w:after="0"/>
              <w:rPr>
                <w:sz w:val="17"/>
                <w:szCs w:val="17"/>
                <w:color w:val="auto"/>
              </w:rPr>
            </w:pPr>
          </w:p>
        </w:tc>
        <w:tc>
          <w:tcPr>
            <w:tcW w:w="11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665</w:t>
            </w:r>
          </w:p>
        </w:tc>
        <w:tc>
          <w:tcPr>
            <w:tcW w:w="360" w:type="dxa"/>
            <w:vAlign w:val="bottom"/>
          </w:tcPr>
          <w:p>
            <w:pPr>
              <w:spacing w:after="0"/>
              <w:rPr>
                <w:sz w:val="17"/>
                <w:szCs w:val="17"/>
                <w:color w:val="auto"/>
              </w:rPr>
            </w:pPr>
          </w:p>
        </w:tc>
        <w:tc>
          <w:tcPr>
            <w:tcW w:w="11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684</w:t>
            </w:r>
          </w:p>
        </w:tc>
        <w:tc>
          <w:tcPr>
            <w:tcW w:w="360" w:type="dxa"/>
            <w:vAlign w:val="bottom"/>
          </w:tcPr>
          <w:p>
            <w:pPr>
              <w:spacing w:after="0"/>
              <w:rPr>
                <w:sz w:val="17"/>
                <w:szCs w:val="17"/>
                <w:color w:val="auto"/>
              </w:rPr>
            </w:pPr>
          </w:p>
        </w:tc>
        <w:tc>
          <w:tcPr>
            <w:tcW w:w="11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885</w:t>
            </w:r>
          </w:p>
        </w:tc>
        <w:tc>
          <w:tcPr>
            <w:tcW w:w="360" w:type="dxa"/>
            <w:vAlign w:val="bottom"/>
          </w:tcPr>
          <w:p>
            <w:pPr>
              <w:spacing w:after="0"/>
              <w:rPr>
                <w:sz w:val="17"/>
                <w:szCs w:val="17"/>
                <w:color w:val="auto"/>
              </w:rPr>
            </w:pPr>
          </w:p>
        </w:tc>
        <w:tc>
          <w:tcPr>
            <w:tcW w:w="11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926</w:t>
            </w:r>
          </w:p>
        </w:tc>
        <w:tc>
          <w:tcPr>
            <w:tcW w:w="360" w:type="dxa"/>
            <w:vAlign w:val="bottom"/>
          </w:tcPr>
          <w:p>
            <w:pPr>
              <w:spacing w:after="0"/>
              <w:rPr>
                <w:sz w:val="17"/>
                <w:szCs w:val="17"/>
                <w:color w:val="auto"/>
              </w:rPr>
            </w:pPr>
          </w:p>
        </w:tc>
        <w:tc>
          <w:tcPr>
            <w:tcW w:w="11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189</w:t>
            </w: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953"/>
        </w:trPr>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4.75</w:t>
            </w:r>
          </w:p>
        </w:tc>
        <w:tc>
          <w:tcPr>
            <w:tcW w:w="360" w:type="dxa"/>
            <w:vAlign w:val="bottom"/>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5.28</w:t>
            </w:r>
          </w:p>
        </w:tc>
        <w:tc>
          <w:tcPr>
            <w:tcW w:w="360" w:type="dxa"/>
            <w:vAlign w:val="bottom"/>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4.25</w:t>
            </w:r>
          </w:p>
        </w:tc>
        <w:tc>
          <w:tcPr>
            <w:tcW w:w="360" w:type="dxa"/>
            <w:vAlign w:val="bottom"/>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4.40</w:t>
            </w:r>
          </w:p>
        </w:tc>
        <w:tc>
          <w:tcPr>
            <w:tcW w:w="360" w:type="dxa"/>
            <w:vAlign w:val="bottom"/>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4.06</w:t>
            </w:r>
          </w:p>
        </w:tc>
        <w:tc>
          <w:tcPr>
            <w:tcW w:w="360" w:type="dxa"/>
            <w:vAlign w:val="bottom"/>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3.20</w:t>
            </w: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61"/>
        </w:trPr>
        <w:tc>
          <w:tcPr>
            <w:tcW w:w="1180" w:type="dxa"/>
            <w:vAlign w:val="bottom"/>
          </w:tcPr>
          <w:p>
            <w:pPr>
              <w:jc w:val="right"/>
              <w:ind w:right="30"/>
              <w:spacing w:after="0"/>
              <w:rPr>
                <w:sz w:val="20"/>
                <w:szCs w:val="20"/>
                <w:color w:val="auto"/>
              </w:rPr>
            </w:pPr>
            <w:r>
              <w:rPr>
                <w:rFonts w:ascii="Arial" w:cs="Arial" w:eastAsia="Arial" w:hAnsi="Arial"/>
                <w:sz w:val="18"/>
                <w:szCs w:val="18"/>
                <w:color w:val="auto"/>
              </w:rPr>
              <w:t>5.06</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5.59</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4.44</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4.56</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4.19</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3.32</w:t>
            </w:r>
          </w:p>
        </w:tc>
      </w:tr>
      <w:tr>
        <w:trPr>
          <w:trHeight w:val="20"/>
        </w:trPr>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1682" w:space="720"/>
            <w:col w:w="8880"/>
          </w:cols>
          <w:pgMar w:left="378" w:top="1089" w:right="239" w:bottom="1440" w:gutter="0" w:footer="0" w:header="0"/>
        </w:sectPr>
      </w:pPr>
    </w:p>
    <w:p>
      <w:pPr>
        <w:ind w:left="542" w:right="180" w:hanging="542"/>
        <w:spacing w:after="0" w:line="246" w:lineRule="auto"/>
        <w:tabs>
          <w:tab w:leader="none" w:pos="54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282"/>
          </w:cols>
          <w:pgMar w:left="378" w:top="1089" w:right="239" w:bottom="1440" w:gutter="0" w:footer="0" w:header="0"/>
          <w:type w:val="continuous"/>
        </w:sectPr>
      </w:pPr>
    </w:p>
    <w:bookmarkStart w:id="169" w:name="page170"/>
    <w:bookmarkEnd w:id="169"/>
    <w:p>
      <w:pPr>
        <w:jc w:val="center"/>
        <w:ind w:right="1380"/>
        <w:spacing w:after="0"/>
        <w:rPr>
          <w:sz w:val="20"/>
          <w:szCs w:val="20"/>
          <w:color w:val="auto"/>
        </w:rPr>
      </w:pPr>
      <w:r>
        <w:rPr>
          <w:rFonts w:ascii="Arial" w:cs="Arial" w:eastAsia="Arial" w:hAnsi="Arial"/>
          <w:sz w:val="18"/>
          <w:szCs w:val="18"/>
          <w:b w:val="1"/>
          <w:bCs w:val="1"/>
          <w:color w:val="auto"/>
        </w:rPr>
        <w:t>EXHIBIT 12.3</w:t>
      </w:r>
    </w:p>
    <w:p>
      <w:pPr>
        <w:spacing w:after="0" w:line="31" w:lineRule="exact"/>
        <w:rPr>
          <w:sz w:val="20"/>
          <w:szCs w:val="20"/>
          <w:color w:val="auto"/>
        </w:rPr>
      </w:pPr>
    </w:p>
    <w:p>
      <w:pPr>
        <w:jc w:val="center"/>
        <w:ind w:right="1380"/>
        <w:spacing w:after="0"/>
        <w:rPr>
          <w:sz w:val="20"/>
          <w:szCs w:val="20"/>
          <w:color w:val="auto"/>
        </w:rPr>
      </w:pPr>
      <w:r>
        <w:rPr>
          <w:rFonts w:ascii="Arial" w:cs="Arial" w:eastAsia="Arial" w:hAnsi="Arial"/>
          <w:sz w:val="18"/>
          <w:szCs w:val="18"/>
          <w:b w:val="1"/>
          <w:bCs w:val="1"/>
          <w:color w:val="auto"/>
        </w:rPr>
        <w:t>SOUTHERN CALIFORNIA GAS COMPANY</w:t>
      </w:r>
    </w:p>
    <w:p>
      <w:pPr>
        <w:spacing w:after="0" w:line="9" w:lineRule="exact"/>
        <w:rPr>
          <w:sz w:val="20"/>
          <w:szCs w:val="20"/>
          <w:color w:val="auto"/>
        </w:rPr>
      </w:pPr>
    </w:p>
    <w:p>
      <w:pPr>
        <w:jc w:val="center"/>
        <w:ind w:right="1380"/>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9" w:lineRule="exact"/>
        <w:rPr>
          <w:sz w:val="20"/>
          <w:szCs w:val="20"/>
          <w:color w:val="auto"/>
        </w:rPr>
      </w:pPr>
    </w:p>
    <w:p>
      <w:pPr>
        <w:jc w:val="center"/>
        <w:ind w:right="1380"/>
        <w:spacing w:after="0"/>
        <w:rPr>
          <w:sz w:val="20"/>
          <w:szCs w:val="20"/>
          <w:color w:val="auto"/>
        </w:rPr>
      </w:pPr>
      <w:r>
        <w:rPr>
          <w:rFonts w:ascii="Arial" w:cs="Arial" w:eastAsia="Arial" w:hAnsi="Arial"/>
          <w:sz w:val="18"/>
          <w:szCs w:val="18"/>
          <w:b w:val="1"/>
          <w:bCs w:val="1"/>
          <w:color w:val="auto"/>
        </w:rPr>
        <w:t>AND PREFERRED STOCK DIVIDENDS</w:t>
      </w:r>
    </w:p>
    <w:p>
      <w:pPr>
        <w:spacing w:after="0" w:line="9" w:lineRule="exact"/>
        <w:rPr>
          <w:sz w:val="20"/>
          <w:szCs w:val="20"/>
          <w:color w:val="auto"/>
        </w:rPr>
      </w:pPr>
    </w:p>
    <w:p>
      <w:pPr>
        <w:jc w:val="center"/>
        <w:ind w:right="1380"/>
        <w:spacing w:after="0"/>
        <w:rPr>
          <w:sz w:val="20"/>
          <w:szCs w:val="20"/>
          <w:color w:val="auto"/>
        </w:rPr>
      </w:pPr>
      <w:r>
        <w:rPr>
          <w:rFonts w:ascii="Arial" w:cs="Arial" w:eastAsia="Arial" w:hAnsi="Arial"/>
          <w:sz w:val="18"/>
          <w:szCs w:val="18"/>
          <w:b w:val="1"/>
          <w:bCs w:val="1"/>
          <w:color w:val="auto"/>
        </w:rPr>
        <w:t>(Dollars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03"/>
        </w:trPr>
        <w:tc>
          <w:tcPr>
            <w:tcW w:w="1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2008</w:t>
            </w:r>
          </w:p>
        </w:tc>
        <w:tc>
          <w:tcPr>
            <w:tcW w:w="3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2009</w:t>
            </w:r>
          </w:p>
        </w:tc>
        <w:tc>
          <w:tcPr>
            <w:tcW w:w="3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2010</w:t>
            </w:r>
          </w:p>
        </w:tc>
        <w:tc>
          <w:tcPr>
            <w:tcW w:w="3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2011</w:t>
            </w:r>
          </w:p>
        </w:tc>
        <w:tc>
          <w:tcPr>
            <w:tcW w:w="3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2012</w:t>
            </w:r>
          </w:p>
        </w:tc>
        <w:tc>
          <w:tcPr>
            <w:tcW w:w="300" w:type="dxa"/>
            <w:vAlign w:val="bottom"/>
          </w:tcPr>
          <w:p>
            <w:pPr>
              <w:spacing w:after="0"/>
              <w:rPr>
                <w:sz w:val="17"/>
                <w:szCs w:val="17"/>
                <w:color w:val="auto"/>
              </w:rPr>
            </w:pPr>
          </w:p>
        </w:tc>
        <w:tc>
          <w:tcPr>
            <w:tcW w:w="114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23"/>
        </w:trPr>
        <w:tc>
          <w:tcPr>
            <w:tcW w:w="1520" w:type="dxa"/>
            <w:vAlign w:val="bottom"/>
          </w:tcPr>
          <w:p>
            <w:pPr>
              <w:spacing w:after="0"/>
              <w:rPr>
                <w:sz w:val="20"/>
                <w:szCs w:val="20"/>
                <w:color w:val="auto"/>
              </w:rPr>
            </w:pPr>
            <w:r>
              <w:rPr>
                <w:rFonts w:ascii="Arial" w:cs="Arial" w:eastAsia="Arial" w:hAnsi="Arial"/>
                <w:sz w:val="18"/>
                <w:szCs w:val="18"/>
                <w:color w:val="auto"/>
              </w:rPr>
              <w:t>Fixed Charges:</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20" w:type="dxa"/>
            <w:vAlign w:val="bottom"/>
          </w:tcPr>
          <w:p>
            <w:pPr>
              <w:spacing w:after="0" w:line="202" w:lineRule="exact"/>
              <w:rPr>
                <w:sz w:val="20"/>
                <w:szCs w:val="20"/>
                <w:color w:val="auto"/>
              </w:rPr>
            </w:pPr>
            <w:r>
              <w:rPr>
                <w:rFonts w:ascii="Arial" w:cs="Arial" w:eastAsia="Arial" w:hAnsi="Arial"/>
                <w:sz w:val="18"/>
                <w:szCs w:val="18"/>
                <w:color w:val="auto"/>
              </w:rPr>
              <w:t>Interest</w:t>
            </w: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65</w:t>
            </w: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74</w:t>
            </w: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72</w:t>
            </w: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77</w:t>
            </w: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77</w:t>
            </w:r>
          </w:p>
        </w:tc>
        <w:tc>
          <w:tcPr>
            <w:tcW w:w="14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1520" w:type="dxa"/>
            <w:vAlign w:val="bottom"/>
          </w:tcPr>
          <w:p>
            <w:pPr>
              <w:spacing w:after="0" w:line="202" w:lineRule="exact"/>
              <w:rPr>
                <w:sz w:val="20"/>
                <w:szCs w:val="20"/>
                <w:color w:val="auto"/>
              </w:rPr>
            </w:pPr>
            <w:r>
              <w:rPr>
                <w:rFonts w:ascii="Arial" w:cs="Arial" w:eastAsia="Arial" w:hAnsi="Arial"/>
                <w:sz w:val="18"/>
                <w:szCs w:val="18"/>
                <w:color w:val="auto"/>
              </w:rPr>
              <w:t>Interest portion of</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vMerge w:val="restart"/>
          </w:tcPr>
          <w:p>
            <w:pPr>
              <w:jc w:val="right"/>
              <w:ind w:right="5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vMerge w:val="restart"/>
          </w:tcPr>
          <w:p>
            <w:pPr>
              <w:jc w:val="right"/>
              <w:ind w:right="5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vMerge w:val="restart"/>
          </w:tcPr>
          <w:p>
            <w:pPr>
              <w:jc w:val="right"/>
              <w:ind w:right="5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1</w:t>
            </w:r>
          </w:p>
        </w:tc>
        <w:tc>
          <w:tcPr>
            <w:tcW w:w="300" w:type="dxa"/>
            <w:vAlign w:val="bottom"/>
            <w:vMerge w:val="restart"/>
          </w:tcPr>
          <w:p>
            <w:pPr>
              <w:spacing w:after="0"/>
              <w:rPr>
                <w:sz w:val="17"/>
                <w:szCs w:val="17"/>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0"/>
        </w:trPr>
        <w:tc>
          <w:tcPr>
            <w:tcW w:w="1520" w:type="dxa"/>
            <w:vAlign w:val="bottom"/>
          </w:tcPr>
          <w:p>
            <w:pPr>
              <w:ind w:left="260"/>
              <w:spacing w:after="0" w:line="190" w:lineRule="exact"/>
              <w:rPr>
                <w:sz w:val="20"/>
                <w:szCs w:val="20"/>
                <w:color w:val="auto"/>
              </w:rPr>
            </w:pPr>
            <w:r>
              <w:rPr>
                <w:rFonts w:ascii="Arial" w:cs="Arial" w:eastAsia="Arial" w:hAnsi="Arial"/>
                <w:sz w:val="18"/>
                <w:szCs w:val="18"/>
                <w:color w:val="auto"/>
              </w:rPr>
              <w:t>annual rentals</w:t>
            </w:r>
          </w:p>
        </w:tc>
        <w:tc>
          <w:tcPr>
            <w:tcW w:w="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520" w:type="dxa"/>
            <w:vAlign w:val="bottom"/>
          </w:tcPr>
          <w:p>
            <w:pPr>
              <w:spacing w:after="0"/>
              <w:rPr>
                <w:sz w:val="20"/>
                <w:szCs w:val="20"/>
                <w:color w:val="auto"/>
              </w:rPr>
            </w:pPr>
            <w:r>
              <w:rPr>
                <w:rFonts w:ascii="Arial" w:cs="Arial" w:eastAsia="Arial" w:hAnsi="Arial"/>
                <w:sz w:val="18"/>
                <w:szCs w:val="18"/>
                <w:color w:val="auto"/>
                <w:w w:val="98"/>
              </w:rPr>
              <w:t>Total fixed charges</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67</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75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78</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78</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1520" w:type="dxa"/>
            <w:vAlign w:val="bottom"/>
          </w:tcPr>
          <w:p>
            <w:pPr>
              <w:spacing w:after="0" w:line="202" w:lineRule="exact"/>
              <w:rPr>
                <w:sz w:val="20"/>
                <w:szCs w:val="20"/>
                <w:color w:val="auto"/>
              </w:rPr>
            </w:pPr>
            <w:r>
              <w:rPr>
                <w:rFonts w:ascii="Arial" w:cs="Arial" w:eastAsia="Arial" w:hAnsi="Arial"/>
                <w:sz w:val="18"/>
                <w:szCs w:val="18"/>
                <w:color w:val="auto"/>
              </w:rPr>
              <w:t>Preferred stock</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vMerge w:val="restart"/>
          </w:tcPr>
          <w:p>
            <w:pPr>
              <w:jc w:val="right"/>
              <w:ind w:right="5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vMerge w:val="restart"/>
          </w:tcPr>
          <w:p>
            <w:pPr>
              <w:jc w:val="right"/>
              <w:ind w:right="5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vMerge w:val="restart"/>
          </w:tcPr>
          <w:p>
            <w:pPr>
              <w:jc w:val="right"/>
              <w:ind w:right="5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2</w:t>
            </w:r>
          </w:p>
        </w:tc>
        <w:tc>
          <w:tcPr>
            <w:tcW w:w="14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0"/>
        </w:trPr>
        <w:tc>
          <w:tcPr>
            <w:tcW w:w="1520" w:type="dxa"/>
            <w:vAlign w:val="bottom"/>
          </w:tcPr>
          <w:p>
            <w:pPr>
              <w:ind w:left="260"/>
              <w:spacing w:after="0" w:line="190" w:lineRule="exact"/>
              <w:rPr>
                <w:sz w:val="20"/>
                <w:szCs w:val="20"/>
                <w:color w:val="auto"/>
              </w:rPr>
            </w:pPr>
            <w:r>
              <w:rPr>
                <w:rFonts w:ascii="Arial" w:cs="Arial" w:eastAsia="Arial" w:hAnsi="Arial"/>
                <w:sz w:val="18"/>
                <w:szCs w:val="18"/>
                <w:color w:val="auto"/>
              </w:rPr>
              <w:t>dividends (1)</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100" w:type="dxa"/>
            <w:vAlign w:val="bottom"/>
            <w:gridSpan w:val="2"/>
          </w:tcPr>
          <w:p>
            <w:pPr>
              <w:spacing w:after="0" w:line="195" w:lineRule="exact"/>
              <w:rPr>
                <w:sz w:val="20"/>
                <w:szCs w:val="20"/>
                <w:color w:val="auto"/>
              </w:rPr>
            </w:pPr>
            <w:r>
              <w:rPr>
                <w:rFonts w:ascii="Arial" w:cs="Arial" w:eastAsia="Arial" w:hAnsi="Arial"/>
                <w:sz w:val="18"/>
                <w:szCs w:val="18"/>
                <w:color w:val="auto"/>
              </w:rPr>
              <w:t>Combined fixed charges</w:t>
            </w:r>
          </w:p>
        </w:tc>
        <w:tc>
          <w:tcPr>
            <w:tcW w:w="3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20" w:type="dxa"/>
            <w:vAlign w:val="bottom"/>
          </w:tcPr>
          <w:p>
            <w:pPr>
              <w:ind w:left="260"/>
              <w:spacing w:after="0" w:line="202" w:lineRule="exact"/>
              <w:rPr>
                <w:sz w:val="20"/>
                <w:szCs w:val="20"/>
                <w:color w:val="auto"/>
              </w:rPr>
            </w:pPr>
            <w:r>
              <w:rPr>
                <w:rFonts w:ascii="Arial" w:cs="Arial" w:eastAsia="Arial" w:hAnsi="Arial"/>
                <w:sz w:val="18"/>
                <w:szCs w:val="18"/>
                <w:color w:val="auto"/>
              </w:rPr>
              <w:t>and preferred</w:t>
            </w:r>
          </w:p>
        </w:tc>
        <w:tc>
          <w:tcPr>
            <w:tcW w:w="92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9"/>
              </w:rPr>
              <w:t>stock</w:t>
            </w: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3"/>
        </w:trPr>
        <w:tc>
          <w:tcPr>
            <w:tcW w:w="1520" w:type="dxa"/>
            <w:vAlign w:val="bottom"/>
          </w:tcPr>
          <w:p>
            <w:pPr>
              <w:ind w:left="260"/>
              <w:spacing w:after="0" w:line="163" w:lineRule="exact"/>
              <w:rPr>
                <w:sz w:val="20"/>
                <w:szCs w:val="20"/>
                <w:color w:val="auto"/>
              </w:rPr>
            </w:pPr>
            <w:r>
              <w:rPr>
                <w:rFonts w:ascii="Arial" w:cs="Arial" w:eastAsia="Arial" w:hAnsi="Arial"/>
                <w:sz w:val="18"/>
                <w:szCs w:val="18"/>
                <w:color w:val="auto"/>
              </w:rPr>
              <w:t>dividends for</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520" w:type="dxa"/>
            <w:vAlign w:val="bottom"/>
          </w:tcPr>
          <w:p>
            <w:pPr>
              <w:ind w:left="260"/>
              <w:spacing w:after="0" w:line="182" w:lineRule="exact"/>
              <w:rPr>
                <w:sz w:val="20"/>
                <w:szCs w:val="20"/>
                <w:color w:val="auto"/>
              </w:rPr>
            </w:pPr>
            <w:r>
              <w:rPr>
                <w:rFonts w:ascii="Arial" w:cs="Arial" w:eastAsia="Arial" w:hAnsi="Arial"/>
                <w:sz w:val="18"/>
                <w:szCs w:val="18"/>
                <w:color w:val="auto"/>
                <w:w w:val="99"/>
              </w:rPr>
              <w:t>purpose of ratio</w:t>
            </w:r>
          </w:p>
        </w:tc>
        <w:tc>
          <w:tcPr>
            <w:tcW w:w="92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line="182" w:lineRule="exact"/>
              <w:rPr>
                <w:sz w:val="20"/>
                <w:szCs w:val="20"/>
                <w:color w:val="auto"/>
              </w:rPr>
            </w:pPr>
            <w:r>
              <w:rPr>
                <w:rFonts w:ascii="Arial" w:cs="Arial" w:eastAsia="Arial" w:hAnsi="Arial"/>
                <w:sz w:val="18"/>
                <w:szCs w:val="18"/>
                <w:color w:val="auto"/>
              </w:rPr>
              <w:t>69</w:t>
            </w:r>
          </w:p>
        </w:tc>
        <w:tc>
          <w:tcPr>
            <w:tcW w:w="70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77</w:t>
            </w:r>
          </w:p>
        </w:tc>
        <w:tc>
          <w:tcPr>
            <w:tcW w:w="70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76</w:t>
            </w:r>
          </w:p>
        </w:tc>
        <w:tc>
          <w:tcPr>
            <w:tcW w:w="72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80</w:t>
            </w:r>
          </w:p>
        </w:tc>
        <w:tc>
          <w:tcPr>
            <w:tcW w:w="72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80</w:t>
            </w:r>
          </w:p>
        </w:tc>
        <w:tc>
          <w:tcPr>
            <w:tcW w:w="1440" w:type="dxa"/>
            <w:vAlign w:val="bottom"/>
            <w:gridSpan w:val="2"/>
          </w:tcPr>
          <w:p>
            <w:pPr>
              <w:jc w:val="right"/>
              <w:ind w:right="30"/>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52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gridSpan w:val="3"/>
          </w:tcPr>
          <w:p>
            <w:pPr>
              <w:spacing w:after="0" w:line="202" w:lineRule="exact"/>
              <w:rPr>
                <w:sz w:val="20"/>
                <w:szCs w:val="20"/>
                <w:color w:val="auto"/>
              </w:rPr>
            </w:pPr>
            <w:r>
              <w:rPr>
                <w:rFonts w:ascii="Arial" w:cs="Arial" w:eastAsia="Arial" w:hAnsi="Arial"/>
                <w:sz w:val="18"/>
                <w:szCs w:val="18"/>
                <w:color w:val="auto"/>
              </w:rPr>
              <w:t>Pretax income from</w:t>
            </w: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tcPr>
          <w:p>
            <w:pPr>
              <w:ind w:left="260"/>
              <w:spacing w:after="0" w:line="202" w:lineRule="exact"/>
              <w:rPr>
                <w:sz w:val="20"/>
                <w:szCs w:val="20"/>
                <w:color w:val="auto"/>
              </w:rPr>
            </w:pPr>
            <w:r>
              <w:rPr>
                <w:rFonts w:ascii="Arial" w:cs="Arial" w:eastAsia="Arial" w:hAnsi="Arial"/>
                <w:sz w:val="18"/>
                <w:szCs w:val="18"/>
                <w:color w:val="auto"/>
              </w:rPr>
              <w:t>continuing</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520" w:type="dxa"/>
            <w:vAlign w:val="bottom"/>
          </w:tcPr>
          <w:p>
            <w:pPr>
              <w:ind w:left="260"/>
              <w:spacing w:after="0" w:line="202" w:lineRule="exact"/>
              <w:rPr>
                <w:sz w:val="20"/>
                <w:szCs w:val="20"/>
                <w:color w:val="auto"/>
              </w:rPr>
            </w:pPr>
            <w:r>
              <w:rPr>
                <w:rFonts w:ascii="Arial" w:cs="Arial" w:eastAsia="Arial" w:hAnsi="Arial"/>
                <w:sz w:val="18"/>
                <w:szCs w:val="18"/>
                <w:color w:val="auto"/>
              </w:rPr>
              <w:t>operations</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385</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418</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463</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431</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369</w:t>
            </w:r>
          </w:p>
        </w:tc>
        <w:tc>
          <w:tcPr>
            <w:tcW w:w="14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3"/>
        </w:trPr>
        <w:tc>
          <w:tcPr>
            <w:tcW w:w="2440" w:type="dxa"/>
            <w:vAlign w:val="bottom"/>
            <w:gridSpan w:val="3"/>
          </w:tcPr>
          <w:p>
            <w:pPr>
              <w:spacing w:after="0" w:line="202" w:lineRule="exact"/>
              <w:rPr>
                <w:sz w:val="20"/>
                <w:szCs w:val="20"/>
                <w:color w:val="auto"/>
              </w:rPr>
            </w:pPr>
            <w:r>
              <w:rPr>
                <w:rFonts w:ascii="Arial" w:cs="Arial" w:eastAsia="Arial" w:hAnsi="Arial"/>
                <w:sz w:val="18"/>
                <w:szCs w:val="18"/>
                <w:color w:val="auto"/>
              </w:rPr>
              <w:t>Add: Total fixed charges</w:t>
            </w: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tcPr>
          <w:p>
            <w:pPr>
              <w:ind w:left="260"/>
              <w:spacing w:after="0" w:line="202" w:lineRule="exact"/>
              <w:rPr>
                <w:sz w:val="20"/>
                <w:szCs w:val="20"/>
                <w:color w:val="auto"/>
              </w:rPr>
            </w:pPr>
            <w:r>
              <w:rPr>
                <w:rFonts w:ascii="Arial" w:cs="Arial" w:eastAsia="Arial" w:hAnsi="Arial"/>
                <w:sz w:val="18"/>
                <w:szCs w:val="18"/>
                <w:color w:val="auto"/>
              </w:rPr>
              <w:t>(from above)</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67</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75</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74</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78</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78</w:t>
            </w:r>
          </w:p>
        </w:tc>
        <w:tc>
          <w:tcPr>
            <w:tcW w:w="14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1520" w:type="dxa"/>
            <w:vAlign w:val="bottom"/>
          </w:tcPr>
          <w:p>
            <w:pPr>
              <w:spacing w:after="0" w:line="202" w:lineRule="exact"/>
              <w:rPr>
                <w:sz w:val="20"/>
                <w:szCs w:val="20"/>
                <w:color w:val="auto"/>
              </w:rPr>
            </w:pPr>
            <w:r>
              <w:rPr>
                <w:rFonts w:ascii="Arial" w:cs="Arial" w:eastAsia="Arial" w:hAnsi="Arial"/>
                <w:sz w:val="18"/>
                <w:szCs w:val="18"/>
                <w:color w:val="auto"/>
              </w:rPr>
              <w:t>Less: Interest</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vMerge w:val="restart"/>
          </w:tcPr>
          <w:p>
            <w:pPr>
              <w:jc w:val="right"/>
              <w:ind w:right="5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vMerge w:val="restart"/>
          </w:tcPr>
          <w:p>
            <w:pPr>
              <w:jc w:val="right"/>
              <w:ind w:right="5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1</w:t>
            </w:r>
          </w:p>
        </w:tc>
        <w:tc>
          <w:tcPr>
            <w:tcW w:w="14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0"/>
        </w:trPr>
        <w:tc>
          <w:tcPr>
            <w:tcW w:w="1520" w:type="dxa"/>
            <w:vAlign w:val="bottom"/>
          </w:tcPr>
          <w:p>
            <w:pPr>
              <w:ind w:left="260"/>
              <w:spacing w:after="0" w:line="190" w:lineRule="exact"/>
              <w:rPr>
                <w:sz w:val="20"/>
                <w:szCs w:val="20"/>
                <w:color w:val="auto"/>
              </w:rPr>
            </w:pPr>
            <w:r>
              <w:rPr>
                <w:rFonts w:ascii="Arial" w:cs="Arial" w:eastAsia="Arial" w:hAnsi="Arial"/>
                <w:sz w:val="18"/>
                <w:szCs w:val="18"/>
                <w:color w:val="auto"/>
              </w:rPr>
              <w:t>capitalized</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520" w:type="dxa"/>
            <w:vAlign w:val="bottom"/>
          </w:tcPr>
          <w:p>
            <w:pPr>
              <w:spacing w:after="0" w:line="196" w:lineRule="exact"/>
              <w:rPr>
                <w:sz w:val="20"/>
                <w:szCs w:val="20"/>
                <w:color w:val="auto"/>
              </w:rPr>
            </w:pPr>
            <w:r>
              <w:rPr>
                <w:rFonts w:ascii="Arial" w:cs="Arial" w:eastAsia="Arial" w:hAnsi="Arial"/>
                <w:sz w:val="18"/>
                <w:szCs w:val="18"/>
                <w:color w:val="auto"/>
              </w:rPr>
              <w:t>Total earnings for</w:t>
            </w:r>
          </w:p>
        </w:tc>
        <w:tc>
          <w:tcPr>
            <w:tcW w:w="5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4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520" w:type="dxa"/>
            <w:vAlign w:val="bottom"/>
          </w:tcPr>
          <w:p>
            <w:pPr>
              <w:ind w:left="260"/>
              <w:spacing w:after="0" w:line="182" w:lineRule="exact"/>
              <w:rPr>
                <w:sz w:val="20"/>
                <w:szCs w:val="20"/>
                <w:color w:val="auto"/>
              </w:rPr>
            </w:pPr>
            <w:r>
              <w:rPr>
                <w:rFonts w:ascii="Arial" w:cs="Arial" w:eastAsia="Arial" w:hAnsi="Arial"/>
                <w:sz w:val="18"/>
                <w:szCs w:val="18"/>
                <w:color w:val="auto"/>
                <w:w w:val="99"/>
              </w:rPr>
              <w:t>purpose of ratio</w:t>
            </w:r>
          </w:p>
        </w:tc>
        <w:tc>
          <w:tcPr>
            <w:tcW w:w="5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452</w:t>
            </w:r>
          </w:p>
        </w:tc>
        <w:tc>
          <w:tcPr>
            <w:tcW w:w="3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492</w:t>
            </w:r>
          </w:p>
        </w:tc>
        <w:tc>
          <w:tcPr>
            <w:tcW w:w="3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536</w:t>
            </w:r>
          </w:p>
        </w:tc>
        <w:tc>
          <w:tcPr>
            <w:tcW w:w="3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508</w:t>
            </w:r>
          </w:p>
        </w:tc>
        <w:tc>
          <w:tcPr>
            <w:tcW w:w="3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446</w:t>
            </w:r>
          </w:p>
        </w:tc>
        <w:tc>
          <w:tcPr>
            <w:tcW w:w="300" w:type="dxa"/>
            <w:vAlign w:val="bottom"/>
          </w:tcPr>
          <w:p>
            <w:pPr>
              <w:spacing w:after="0"/>
              <w:rPr>
                <w:sz w:val="17"/>
                <w:szCs w:val="17"/>
                <w:color w:val="auto"/>
              </w:rPr>
            </w:pPr>
          </w:p>
        </w:tc>
        <w:tc>
          <w:tcPr>
            <w:tcW w:w="114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24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100" w:type="dxa"/>
            <w:vAlign w:val="bottom"/>
            <w:gridSpan w:val="2"/>
          </w:tcPr>
          <w:p>
            <w:pPr>
              <w:spacing w:after="0" w:line="182" w:lineRule="exact"/>
              <w:rPr>
                <w:sz w:val="20"/>
                <w:szCs w:val="20"/>
                <w:color w:val="auto"/>
              </w:rPr>
            </w:pPr>
            <w:r>
              <w:rPr>
                <w:rFonts w:ascii="Arial" w:cs="Arial" w:eastAsia="Arial" w:hAnsi="Arial"/>
                <w:sz w:val="18"/>
                <w:szCs w:val="18"/>
                <w:color w:val="auto"/>
              </w:rPr>
              <w:t>Ratio of earnings to</w:t>
            </w:r>
          </w:p>
        </w:tc>
        <w:tc>
          <w:tcPr>
            <w:tcW w:w="3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20" w:type="dxa"/>
            <w:vAlign w:val="bottom"/>
          </w:tcPr>
          <w:p>
            <w:pPr>
              <w:ind w:left="260"/>
              <w:spacing w:after="0" w:line="202" w:lineRule="exact"/>
              <w:rPr>
                <w:sz w:val="20"/>
                <w:szCs w:val="20"/>
                <w:color w:val="auto"/>
              </w:rPr>
            </w:pPr>
            <w:r>
              <w:rPr>
                <w:rFonts w:ascii="Arial" w:cs="Arial" w:eastAsia="Arial" w:hAnsi="Arial"/>
                <w:sz w:val="18"/>
                <w:szCs w:val="18"/>
                <w:color w:val="auto"/>
              </w:rPr>
              <w:t>combined fixed</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tcPr>
          <w:p>
            <w:pPr>
              <w:ind w:left="260"/>
              <w:spacing w:after="0" w:line="202" w:lineRule="exact"/>
              <w:rPr>
                <w:sz w:val="20"/>
                <w:szCs w:val="20"/>
                <w:color w:val="auto"/>
              </w:rPr>
            </w:pPr>
            <w:r>
              <w:rPr>
                <w:rFonts w:ascii="Arial" w:cs="Arial" w:eastAsia="Arial" w:hAnsi="Arial"/>
                <w:sz w:val="18"/>
                <w:szCs w:val="18"/>
                <w:color w:val="auto"/>
              </w:rPr>
              <w:t>charges and</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tcPr>
          <w:p>
            <w:pPr>
              <w:ind w:left="260"/>
              <w:spacing w:after="0" w:line="202" w:lineRule="exact"/>
              <w:rPr>
                <w:sz w:val="20"/>
                <w:szCs w:val="20"/>
                <w:color w:val="auto"/>
              </w:rPr>
            </w:pPr>
            <w:r>
              <w:rPr>
                <w:rFonts w:ascii="Arial" w:cs="Arial" w:eastAsia="Arial" w:hAnsi="Arial"/>
                <w:sz w:val="18"/>
                <w:szCs w:val="18"/>
                <w:color w:val="auto"/>
              </w:rPr>
              <w:t>preferred stock</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vMerge w:val="restart"/>
          </w:tcPr>
          <w:p>
            <w:pPr>
              <w:jc w:val="right"/>
              <w:ind w:right="50"/>
              <w:spacing w:after="0"/>
              <w:rPr>
                <w:sz w:val="20"/>
                <w:szCs w:val="20"/>
                <w:color w:val="auto"/>
              </w:rPr>
            </w:pPr>
            <w:r>
              <w:rPr>
                <w:rFonts w:ascii="Arial" w:cs="Arial" w:eastAsia="Arial" w:hAnsi="Arial"/>
                <w:sz w:val="18"/>
                <w:szCs w:val="18"/>
                <w:color w:val="auto"/>
              </w:rPr>
              <w:t>6.55</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vMerge w:val="restart"/>
          </w:tcPr>
          <w:p>
            <w:pPr>
              <w:jc w:val="right"/>
              <w:ind w:right="50"/>
              <w:spacing w:after="0"/>
              <w:rPr>
                <w:sz w:val="20"/>
                <w:szCs w:val="20"/>
                <w:color w:val="auto"/>
              </w:rPr>
            </w:pPr>
            <w:r>
              <w:rPr>
                <w:rFonts w:ascii="Arial" w:cs="Arial" w:eastAsia="Arial" w:hAnsi="Arial"/>
                <w:sz w:val="18"/>
                <w:szCs w:val="18"/>
                <w:color w:val="auto"/>
              </w:rPr>
              <w:t>6.39</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vMerge w:val="restart"/>
          </w:tcPr>
          <w:p>
            <w:pPr>
              <w:jc w:val="right"/>
              <w:ind w:right="50"/>
              <w:spacing w:after="0"/>
              <w:rPr>
                <w:sz w:val="20"/>
                <w:szCs w:val="20"/>
                <w:color w:val="auto"/>
              </w:rPr>
            </w:pPr>
            <w:r>
              <w:rPr>
                <w:rFonts w:ascii="Arial" w:cs="Arial" w:eastAsia="Arial" w:hAnsi="Arial"/>
                <w:sz w:val="18"/>
                <w:szCs w:val="18"/>
                <w:color w:val="auto"/>
              </w:rPr>
              <w:t>7.05</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6.35</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5.58</w:t>
            </w:r>
          </w:p>
        </w:tc>
        <w:tc>
          <w:tcPr>
            <w:tcW w:w="300" w:type="dxa"/>
            <w:vAlign w:val="bottom"/>
            <w:vMerge w:val="restart"/>
          </w:tcPr>
          <w:p>
            <w:pPr>
              <w:spacing w:after="0"/>
              <w:rPr>
                <w:sz w:val="17"/>
                <w:szCs w:val="17"/>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163"/>
        </w:trPr>
        <w:tc>
          <w:tcPr>
            <w:tcW w:w="1520" w:type="dxa"/>
            <w:vAlign w:val="bottom"/>
          </w:tcPr>
          <w:p>
            <w:pPr>
              <w:ind w:left="260"/>
              <w:spacing w:after="0" w:line="143" w:lineRule="exact"/>
              <w:rPr>
                <w:sz w:val="20"/>
                <w:szCs w:val="20"/>
                <w:color w:val="auto"/>
              </w:rPr>
            </w:pPr>
            <w:r>
              <w:rPr>
                <w:rFonts w:ascii="Arial" w:cs="Arial" w:eastAsia="Arial" w:hAnsi="Arial"/>
                <w:sz w:val="16"/>
                <w:szCs w:val="16"/>
                <w:color w:val="auto"/>
              </w:rPr>
              <w:t>dividends</w:t>
            </w:r>
          </w:p>
        </w:tc>
        <w:tc>
          <w:tcPr>
            <w:tcW w:w="5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0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440" w:type="dxa"/>
            <w:vAlign w:val="bottom"/>
            <w:gridSpan w:val="3"/>
          </w:tcPr>
          <w:p>
            <w:pPr>
              <w:spacing w:after="0"/>
              <w:rPr>
                <w:sz w:val="20"/>
                <w:szCs w:val="20"/>
                <w:color w:val="auto"/>
              </w:rPr>
            </w:pPr>
            <w:r>
              <w:rPr>
                <w:rFonts w:ascii="Arial" w:cs="Arial" w:eastAsia="Arial" w:hAnsi="Arial"/>
                <w:sz w:val="18"/>
                <w:szCs w:val="18"/>
                <w:color w:val="auto"/>
              </w:rPr>
              <w:t>Ratio of earnings to</w:t>
            </w:r>
          </w:p>
        </w:tc>
        <w:tc>
          <w:tcPr>
            <w:tcW w:w="920" w:type="dxa"/>
            <w:vAlign w:val="bottom"/>
            <w:vMerge w:val="restart"/>
          </w:tcPr>
          <w:p>
            <w:pPr>
              <w:jc w:val="right"/>
              <w:ind w:right="50"/>
              <w:spacing w:after="0"/>
              <w:rPr>
                <w:sz w:val="20"/>
                <w:szCs w:val="20"/>
                <w:color w:val="auto"/>
              </w:rPr>
            </w:pPr>
            <w:r>
              <w:rPr>
                <w:rFonts w:ascii="Arial" w:cs="Arial" w:eastAsia="Arial" w:hAnsi="Arial"/>
                <w:sz w:val="18"/>
                <w:szCs w:val="18"/>
                <w:color w:val="auto"/>
              </w:rPr>
              <w:t>6.75</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vMerge w:val="restart"/>
          </w:tcPr>
          <w:p>
            <w:pPr>
              <w:jc w:val="right"/>
              <w:ind w:right="50"/>
              <w:spacing w:after="0"/>
              <w:rPr>
                <w:sz w:val="20"/>
                <w:szCs w:val="20"/>
                <w:color w:val="auto"/>
              </w:rPr>
            </w:pPr>
            <w:r>
              <w:rPr>
                <w:rFonts w:ascii="Arial" w:cs="Arial" w:eastAsia="Arial" w:hAnsi="Arial"/>
                <w:sz w:val="18"/>
                <w:szCs w:val="18"/>
                <w:color w:val="auto"/>
              </w:rPr>
              <w:t>6.56</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vMerge w:val="restart"/>
          </w:tcPr>
          <w:p>
            <w:pPr>
              <w:jc w:val="right"/>
              <w:ind w:right="50"/>
              <w:spacing w:after="0"/>
              <w:rPr>
                <w:sz w:val="20"/>
                <w:szCs w:val="20"/>
                <w:color w:val="auto"/>
              </w:rPr>
            </w:pPr>
            <w:r>
              <w:rPr>
                <w:rFonts w:ascii="Arial" w:cs="Arial" w:eastAsia="Arial" w:hAnsi="Arial"/>
                <w:sz w:val="18"/>
                <w:szCs w:val="18"/>
                <w:color w:val="auto"/>
              </w:rPr>
              <w:t>7.24</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6.51</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5.72</w:t>
            </w:r>
          </w:p>
        </w:tc>
        <w:tc>
          <w:tcPr>
            <w:tcW w:w="14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163"/>
        </w:trPr>
        <w:tc>
          <w:tcPr>
            <w:tcW w:w="1520" w:type="dxa"/>
            <w:vAlign w:val="bottom"/>
          </w:tcPr>
          <w:p>
            <w:pPr>
              <w:ind w:left="260"/>
              <w:spacing w:after="0" w:line="143" w:lineRule="exact"/>
              <w:rPr>
                <w:sz w:val="20"/>
                <w:szCs w:val="20"/>
                <w:color w:val="auto"/>
              </w:rPr>
            </w:pPr>
            <w:r>
              <w:rPr>
                <w:rFonts w:ascii="Arial" w:cs="Arial" w:eastAsia="Arial" w:hAnsi="Arial"/>
                <w:sz w:val="16"/>
                <w:szCs w:val="16"/>
                <w:color w:val="auto"/>
              </w:rPr>
              <w:t>fixed charges</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20" w:right="300" w:hanging="551"/>
        <w:spacing w:after="0" w:line="246" w:lineRule="auto"/>
        <w:tabs>
          <w:tab w:leader="none" w:pos="6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280"/>
          </w:cols>
          <w:pgMar w:left="380" w:top="886" w:right="239" w:bottom="1440" w:gutter="0" w:footer="0" w:header="0"/>
        </w:sectPr>
      </w:pPr>
    </w:p>
    <w:bookmarkStart w:id="170" w:name="page171"/>
    <w:bookmarkEnd w:id="170"/>
    <w:p>
      <w:pPr>
        <w:ind w:left="10120"/>
        <w:spacing w:after="0"/>
        <w:rPr>
          <w:sz w:val="20"/>
          <w:szCs w:val="20"/>
          <w:color w:val="auto"/>
        </w:rPr>
      </w:pPr>
      <w:r>
        <w:rPr>
          <w:rFonts w:ascii="Arial" w:cs="Arial" w:eastAsia="Arial" w:hAnsi="Arial"/>
          <w:sz w:val="21"/>
          <w:szCs w:val="21"/>
          <w:color w:val="auto"/>
        </w:rPr>
        <w:t>EXHIBIT 31.1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Debra L. Reed, certify that:</w:t>
      </w:r>
    </w:p>
    <w:p>
      <w:pPr>
        <w:spacing w:after="0" w:line="260" w:lineRule="exact"/>
        <w:rPr>
          <w:sz w:val="20"/>
          <w:szCs w:val="20"/>
          <w:color w:val="auto"/>
        </w:rPr>
      </w:pPr>
    </w:p>
    <w:p>
      <w:pPr>
        <w:ind w:left="340" w:hanging="332"/>
        <w:spacing w:after="0"/>
        <w:tabs>
          <w:tab w:leader="none" w:pos="340" w:val="left"/>
        </w:tabs>
        <w:numPr>
          <w:ilvl w:val="0"/>
          <w:numId w:val="235"/>
        </w:numPr>
        <w:rPr>
          <w:rFonts w:ascii="Arial" w:cs="Arial" w:eastAsia="Arial" w:hAnsi="Arial"/>
          <w:sz w:val="22"/>
          <w:szCs w:val="22"/>
          <w:color w:val="auto"/>
        </w:rPr>
      </w:pPr>
      <w:r>
        <w:rPr>
          <w:rFonts w:ascii="Arial" w:cs="Arial" w:eastAsia="Arial" w:hAnsi="Arial"/>
          <w:sz w:val="22"/>
          <w:szCs w:val="22"/>
          <w:color w:val="auto"/>
        </w:rPr>
        <w:t>I have reviewed this report on Form 10-Q of Sempra Energy;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235"/>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235"/>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235"/>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235"/>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235"/>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235"/>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235"/>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235"/>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235"/>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235"/>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May 2, 2013</w:t>
      </w:r>
    </w:p>
    <w:p>
      <w:pPr>
        <w:spacing w:after="0" w:line="267" w:lineRule="exact"/>
        <w:rPr>
          <w:sz w:val="20"/>
          <w:szCs w:val="20"/>
          <w:color w:val="auto"/>
        </w:rPr>
      </w:pPr>
    </w:p>
    <w:p>
      <w:pPr>
        <w:ind w:left="9940"/>
        <w:spacing w:after="0"/>
        <w:rPr>
          <w:sz w:val="20"/>
          <w:szCs w:val="20"/>
          <w:color w:val="auto"/>
        </w:rPr>
      </w:pPr>
      <w:r>
        <w:rPr>
          <w:rFonts w:ascii="Arial" w:cs="Arial" w:eastAsia="Arial" w:hAnsi="Arial"/>
          <w:sz w:val="18"/>
          <w:szCs w:val="18"/>
          <w:color w:val="auto"/>
        </w:rPr>
        <w:t>/S/ Debra L. Reed</w:t>
      </w:r>
    </w:p>
    <w:p>
      <w:pPr>
        <w:spacing w:after="0" w:line="23"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-130810</wp:posOffset>
            </wp:positionV>
            <wp:extent cx="27012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171" w:name="page172"/>
    <w:bookmarkEnd w:id="171"/>
    <w:p>
      <w:pPr>
        <w:ind w:left="10120"/>
        <w:spacing w:after="0"/>
        <w:rPr>
          <w:sz w:val="20"/>
          <w:szCs w:val="20"/>
          <w:color w:val="auto"/>
        </w:rPr>
      </w:pPr>
      <w:r>
        <w:rPr>
          <w:rFonts w:ascii="Arial" w:cs="Arial" w:eastAsia="Arial" w:hAnsi="Arial"/>
          <w:sz w:val="21"/>
          <w:szCs w:val="21"/>
          <w:color w:val="auto"/>
        </w:rPr>
        <w:t>EXHIBIT 31.2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Joseph A. Householder, certify that:</w:t>
      </w:r>
    </w:p>
    <w:p>
      <w:pPr>
        <w:spacing w:after="0" w:line="260" w:lineRule="exact"/>
        <w:rPr>
          <w:sz w:val="20"/>
          <w:szCs w:val="20"/>
          <w:color w:val="auto"/>
        </w:rPr>
      </w:pPr>
    </w:p>
    <w:p>
      <w:pPr>
        <w:ind w:left="340" w:hanging="332"/>
        <w:spacing w:after="0"/>
        <w:tabs>
          <w:tab w:leader="none" w:pos="340" w:val="left"/>
        </w:tabs>
        <w:numPr>
          <w:ilvl w:val="0"/>
          <w:numId w:val="236"/>
        </w:numPr>
        <w:rPr>
          <w:rFonts w:ascii="Arial" w:cs="Arial" w:eastAsia="Arial" w:hAnsi="Arial"/>
          <w:sz w:val="22"/>
          <w:szCs w:val="22"/>
          <w:color w:val="auto"/>
        </w:rPr>
      </w:pPr>
      <w:r>
        <w:rPr>
          <w:rFonts w:ascii="Arial" w:cs="Arial" w:eastAsia="Arial" w:hAnsi="Arial"/>
          <w:sz w:val="22"/>
          <w:szCs w:val="22"/>
          <w:color w:val="auto"/>
        </w:rPr>
        <w:t>I have reviewed this report on Form 10-Q of Sempra Energy;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236"/>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236"/>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236"/>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236"/>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236"/>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236"/>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236"/>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236"/>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236"/>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236"/>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May 2, 2013</w:t>
      </w:r>
    </w:p>
    <w:p>
      <w:pPr>
        <w:spacing w:after="0" w:line="267" w:lineRule="exact"/>
        <w:rPr>
          <w:sz w:val="20"/>
          <w:szCs w:val="20"/>
          <w:color w:val="auto"/>
        </w:rPr>
      </w:pPr>
    </w:p>
    <w:p>
      <w:pPr>
        <w:ind w:left="9320"/>
        <w:spacing w:after="0"/>
        <w:rPr>
          <w:sz w:val="20"/>
          <w:szCs w:val="20"/>
          <w:color w:val="auto"/>
        </w:rPr>
      </w:pPr>
      <w:r>
        <w:rPr>
          <w:rFonts w:ascii="Arial" w:cs="Arial" w:eastAsia="Arial" w:hAnsi="Arial"/>
          <w:sz w:val="17"/>
          <w:szCs w:val="17"/>
          <w:color w:val="auto"/>
        </w:rPr>
        <w:t>/S/ Joseph A. Householder</w:t>
      </w:r>
    </w:p>
    <w:p>
      <w:pPr>
        <w:spacing w:after="0" w:line="35" w:lineRule="exact"/>
        <w:rPr>
          <w:sz w:val="20"/>
          <w:szCs w:val="20"/>
          <w:color w:val="auto"/>
        </w:rPr>
      </w:pPr>
    </w:p>
    <w:p>
      <w:pPr>
        <w:ind w:left="9620"/>
        <w:spacing w:after="0"/>
        <w:rPr>
          <w:sz w:val="20"/>
          <w:szCs w:val="20"/>
          <w:color w:val="auto"/>
        </w:rPr>
      </w:pPr>
      <w:r>
        <w:rPr>
          <w:rFonts w:ascii="Arial" w:cs="Arial" w:eastAsia="Arial" w:hAnsi="Arial"/>
          <w:sz w:val="17"/>
          <w:szCs w:val="17"/>
          <w:color w:val="auto"/>
        </w:rPr>
        <w:t>Joseph A. Householder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-123190</wp:posOffset>
            </wp:positionV>
            <wp:extent cx="26498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4"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172" w:name="page173"/>
    <w:bookmarkEnd w:id="172"/>
    <w:p>
      <w:pPr>
        <w:ind w:left="10120"/>
        <w:spacing w:after="0"/>
        <w:rPr>
          <w:sz w:val="20"/>
          <w:szCs w:val="20"/>
          <w:color w:val="auto"/>
        </w:rPr>
      </w:pPr>
      <w:r>
        <w:rPr>
          <w:rFonts w:ascii="Arial" w:cs="Arial" w:eastAsia="Arial" w:hAnsi="Arial"/>
          <w:sz w:val="21"/>
          <w:szCs w:val="21"/>
          <w:color w:val="auto"/>
        </w:rPr>
        <w:t>EXHIBIT 31.3</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Jessie J. Knight, Jr., certify that:</w:t>
      </w:r>
    </w:p>
    <w:p>
      <w:pPr>
        <w:spacing w:after="0" w:line="260" w:lineRule="exact"/>
        <w:rPr>
          <w:sz w:val="20"/>
          <w:szCs w:val="20"/>
          <w:color w:val="auto"/>
        </w:rPr>
      </w:pPr>
    </w:p>
    <w:p>
      <w:pPr>
        <w:ind w:left="340" w:hanging="332"/>
        <w:spacing w:after="0"/>
        <w:tabs>
          <w:tab w:leader="none" w:pos="340" w:val="left"/>
        </w:tabs>
        <w:numPr>
          <w:ilvl w:val="0"/>
          <w:numId w:val="237"/>
        </w:numPr>
        <w:rPr>
          <w:rFonts w:ascii="Arial" w:cs="Arial" w:eastAsia="Arial" w:hAnsi="Arial"/>
          <w:sz w:val="22"/>
          <w:szCs w:val="22"/>
          <w:color w:val="auto"/>
        </w:rPr>
      </w:pPr>
      <w:r>
        <w:rPr>
          <w:rFonts w:ascii="Arial" w:cs="Arial" w:eastAsia="Arial" w:hAnsi="Arial"/>
          <w:sz w:val="22"/>
          <w:szCs w:val="22"/>
          <w:color w:val="auto"/>
        </w:rPr>
        <w:t>I have reviewed this report on Form 10-Q of San Diego Gas &amp; Electric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237"/>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237"/>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237"/>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237"/>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237"/>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237"/>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237"/>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237"/>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237"/>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237"/>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May 2, 2013</w:t>
      </w:r>
    </w:p>
    <w:p>
      <w:pPr>
        <w:spacing w:after="0" w:line="267" w:lineRule="exact"/>
        <w:rPr>
          <w:sz w:val="20"/>
          <w:szCs w:val="20"/>
          <w:color w:val="auto"/>
        </w:rPr>
      </w:pPr>
    </w:p>
    <w:p>
      <w:pPr>
        <w:ind w:left="9620"/>
        <w:spacing w:after="0"/>
        <w:rPr>
          <w:sz w:val="20"/>
          <w:szCs w:val="20"/>
          <w:color w:val="auto"/>
        </w:rPr>
      </w:pPr>
      <w:r>
        <w:rPr>
          <w:rFonts w:ascii="Arial" w:cs="Arial" w:eastAsia="Arial" w:hAnsi="Arial"/>
          <w:sz w:val="17"/>
          <w:szCs w:val="17"/>
          <w:color w:val="auto"/>
        </w:rPr>
        <w:t>/S/ Jessie J. Knight, Jr</w:t>
      </w:r>
      <w:r>
        <w:rPr>
          <w:rFonts w:ascii="Arial" w:cs="Arial" w:eastAsia="Arial" w:hAnsi="Arial"/>
          <w:sz w:val="17"/>
          <w:szCs w:val="17"/>
          <w:i w:val="1"/>
          <w:iCs w:val="1"/>
          <w:color w:val="auto"/>
        </w:rPr>
        <w:t>.</w:t>
      </w:r>
    </w:p>
    <w:p>
      <w:pPr>
        <w:spacing w:after="0" w:line="35" w:lineRule="exact"/>
        <w:rPr>
          <w:sz w:val="20"/>
          <w:szCs w:val="20"/>
          <w:color w:val="auto"/>
        </w:rPr>
      </w:pPr>
    </w:p>
    <w:p>
      <w:pPr>
        <w:ind w:left="9920"/>
        <w:spacing w:after="0"/>
        <w:rPr>
          <w:sz w:val="20"/>
          <w:szCs w:val="20"/>
          <w:color w:val="auto"/>
        </w:rPr>
      </w:pPr>
      <w:r>
        <w:rPr>
          <w:rFonts w:ascii="Arial" w:cs="Arial" w:eastAsia="Arial" w:hAnsi="Arial"/>
          <w:sz w:val="17"/>
          <w:szCs w:val="17"/>
          <w:color w:val="auto"/>
        </w:rPr>
        <w:t>Jessie J. Knight,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-123190</wp:posOffset>
            </wp:positionV>
            <wp:extent cx="27527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4"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173" w:name="page174"/>
    <w:bookmarkEnd w:id="173"/>
    <w:p>
      <w:pPr>
        <w:ind w:left="10120"/>
        <w:spacing w:after="0"/>
        <w:rPr>
          <w:sz w:val="20"/>
          <w:szCs w:val="20"/>
          <w:color w:val="auto"/>
        </w:rPr>
      </w:pPr>
      <w:r>
        <w:rPr>
          <w:rFonts w:ascii="Arial" w:cs="Arial" w:eastAsia="Arial" w:hAnsi="Arial"/>
          <w:sz w:val="21"/>
          <w:szCs w:val="21"/>
          <w:color w:val="auto"/>
        </w:rPr>
        <w:t>EXHIBIT 31.4</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Robert M. Schlax, certify that:</w:t>
      </w:r>
    </w:p>
    <w:p>
      <w:pPr>
        <w:spacing w:after="0" w:line="260" w:lineRule="exact"/>
        <w:rPr>
          <w:sz w:val="20"/>
          <w:szCs w:val="20"/>
          <w:color w:val="auto"/>
        </w:rPr>
      </w:pPr>
    </w:p>
    <w:p>
      <w:pPr>
        <w:ind w:left="340" w:hanging="332"/>
        <w:spacing w:after="0"/>
        <w:tabs>
          <w:tab w:leader="none" w:pos="340" w:val="left"/>
        </w:tabs>
        <w:numPr>
          <w:ilvl w:val="0"/>
          <w:numId w:val="238"/>
        </w:numPr>
        <w:rPr>
          <w:rFonts w:ascii="Arial" w:cs="Arial" w:eastAsia="Arial" w:hAnsi="Arial"/>
          <w:sz w:val="22"/>
          <w:szCs w:val="22"/>
          <w:color w:val="auto"/>
        </w:rPr>
      </w:pPr>
      <w:r>
        <w:rPr>
          <w:rFonts w:ascii="Arial" w:cs="Arial" w:eastAsia="Arial" w:hAnsi="Arial"/>
          <w:sz w:val="22"/>
          <w:szCs w:val="22"/>
          <w:color w:val="auto"/>
        </w:rPr>
        <w:t>I have reviewed this report on Form 10-Q of San Diego Gas &amp; Electric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238"/>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238"/>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238"/>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238"/>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238"/>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238"/>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238"/>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238"/>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238"/>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238"/>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May 2, 2013</w:t>
      </w:r>
    </w:p>
    <w:p>
      <w:pPr>
        <w:spacing w:after="0" w:line="267"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/S/ Robert M. Schlax</w:t>
      </w:r>
    </w:p>
    <w:p>
      <w:pPr>
        <w:spacing w:after="0" w:line="23"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-130810</wp:posOffset>
            </wp:positionV>
            <wp:extent cx="25984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174" w:name="page175"/>
    <w:bookmarkEnd w:id="174"/>
    <w:p>
      <w:pPr>
        <w:ind w:left="10120"/>
        <w:spacing w:after="0"/>
        <w:rPr>
          <w:sz w:val="20"/>
          <w:szCs w:val="20"/>
          <w:color w:val="auto"/>
        </w:rPr>
      </w:pPr>
      <w:r>
        <w:rPr>
          <w:rFonts w:ascii="Arial" w:cs="Arial" w:eastAsia="Arial" w:hAnsi="Arial"/>
          <w:sz w:val="21"/>
          <w:szCs w:val="21"/>
          <w:color w:val="auto"/>
        </w:rPr>
        <w:t>EXHIBIT 31.5</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Anne S. Smith, certify that:</w:t>
      </w:r>
    </w:p>
    <w:p>
      <w:pPr>
        <w:spacing w:after="0" w:line="260" w:lineRule="exact"/>
        <w:rPr>
          <w:sz w:val="20"/>
          <w:szCs w:val="20"/>
          <w:color w:val="auto"/>
        </w:rPr>
      </w:pPr>
    </w:p>
    <w:p>
      <w:pPr>
        <w:ind w:left="340" w:hanging="332"/>
        <w:spacing w:after="0"/>
        <w:tabs>
          <w:tab w:leader="none" w:pos="34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I have reviewed this report on Form 10-Q of Southern California Gas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239"/>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239"/>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239"/>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239"/>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239"/>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239"/>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May 2, 2013</w:t>
      </w:r>
    </w:p>
    <w:p>
      <w:pPr>
        <w:spacing w:after="0" w:line="267" w:lineRule="exact"/>
        <w:rPr>
          <w:sz w:val="20"/>
          <w:szCs w:val="20"/>
          <w:color w:val="auto"/>
        </w:rPr>
      </w:pPr>
    </w:p>
    <w:p>
      <w:pPr>
        <w:ind w:left="9960"/>
        <w:spacing w:after="0"/>
        <w:rPr>
          <w:sz w:val="20"/>
          <w:szCs w:val="20"/>
          <w:color w:val="auto"/>
        </w:rPr>
      </w:pPr>
      <w:r>
        <w:rPr>
          <w:rFonts w:ascii="Arial" w:cs="Arial" w:eastAsia="Arial" w:hAnsi="Arial"/>
          <w:sz w:val="18"/>
          <w:szCs w:val="18"/>
          <w:color w:val="auto"/>
        </w:rPr>
        <w:t>/S/ Anne S. Smith</w:t>
      </w:r>
    </w:p>
    <w:p>
      <w:pPr>
        <w:spacing w:after="0" w:line="23"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Anne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-130810</wp:posOffset>
            </wp:positionV>
            <wp:extent cx="25469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175" w:name="page176"/>
    <w:bookmarkEnd w:id="175"/>
    <w:p>
      <w:pPr>
        <w:ind w:left="10120"/>
        <w:spacing w:after="0"/>
        <w:rPr>
          <w:sz w:val="20"/>
          <w:szCs w:val="20"/>
          <w:color w:val="auto"/>
        </w:rPr>
      </w:pPr>
      <w:r>
        <w:rPr>
          <w:rFonts w:ascii="Arial" w:cs="Arial" w:eastAsia="Arial" w:hAnsi="Arial"/>
          <w:sz w:val="21"/>
          <w:szCs w:val="21"/>
          <w:color w:val="auto"/>
        </w:rPr>
        <w:t>EXHIBIT 31.6</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Robert M. Schlax, certify that:</w:t>
      </w:r>
    </w:p>
    <w:p>
      <w:pPr>
        <w:spacing w:after="0" w:line="260" w:lineRule="exact"/>
        <w:rPr>
          <w:sz w:val="20"/>
          <w:szCs w:val="20"/>
          <w:color w:val="auto"/>
        </w:rPr>
      </w:pPr>
    </w:p>
    <w:p>
      <w:pPr>
        <w:ind w:left="340" w:hanging="332"/>
        <w:spacing w:after="0"/>
        <w:tabs>
          <w:tab w:leader="none" w:pos="34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I have reviewed this report on Form 10-Q of Southern California Gas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240"/>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240"/>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240"/>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240"/>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240"/>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240"/>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May 2, 2013</w:t>
      </w:r>
    </w:p>
    <w:p>
      <w:pPr>
        <w:spacing w:after="0" w:line="267"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/S/ Robert M. Schlax</w:t>
      </w:r>
    </w:p>
    <w:p>
      <w:pPr>
        <w:spacing w:after="0" w:line="23"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-130810</wp:posOffset>
            </wp:positionV>
            <wp:extent cx="244411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22"/>
          <w:szCs w:val="22"/>
          <w:color w:val="auto"/>
        </w:rPr>
        <w:t>Exhibit 32.1</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Sempra Energy (the "Company") certifies that:</w:t>
      </w:r>
    </w:p>
    <w:p>
      <w:pPr>
        <w:spacing w:after="0" w:line="227" w:lineRule="exact"/>
        <w:rPr>
          <w:sz w:val="20"/>
          <w:szCs w:val="20"/>
          <w:color w:val="auto"/>
        </w:rPr>
      </w:pPr>
    </w:p>
    <w:p>
      <w:pPr>
        <w:jc w:val="both"/>
        <w:ind w:left="1300" w:right="420" w:hanging="644"/>
        <w:spacing w:after="0" w:line="258" w:lineRule="auto"/>
        <w:tabs>
          <w:tab w:leader="none" w:pos="1300" w:val="left"/>
        </w:tabs>
        <w:numPr>
          <w:ilvl w:val="0"/>
          <w:numId w:val="241"/>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March 31, 2013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241"/>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May 2, 2013</w:t>
      </w:r>
    </w:p>
    <w:p>
      <w:pPr>
        <w:spacing w:after="0" w:line="362" w:lineRule="exact"/>
        <w:rPr>
          <w:sz w:val="20"/>
          <w:szCs w:val="20"/>
          <w:color w:val="auto"/>
        </w:rPr>
      </w:pPr>
    </w:p>
    <w:p>
      <w:pPr>
        <w:ind w:left="9940"/>
        <w:spacing w:after="0"/>
        <w:rPr>
          <w:sz w:val="20"/>
          <w:szCs w:val="20"/>
          <w:color w:val="auto"/>
        </w:rPr>
      </w:pPr>
      <w:r>
        <w:rPr>
          <w:rFonts w:ascii="Arial" w:cs="Arial" w:eastAsia="Arial" w:hAnsi="Arial"/>
          <w:sz w:val="18"/>
          <w:szCs w:val="18"/>
          <w:color w:val="auto"/>
        </w:rPr>
        <w:t>/S/ Debra L. Reed</w:t>
      </w:r>
    </w:p>
    <w:p>
      <w:pPr>
        <w:spacing w:after="0" w:line="23"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-130810</wp:posOffset>
            </wp:positionV>
            <wp:extent cx="23926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22"/>
          <w:szCs w:val="22"/>
          <w:color w:val="auto"/>
        </w:rPr>
        <w:t>Exhibit 32.2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Sempra Energy (the "Company") certifies that:</w:t>
      </w:r>
    </w:p>
    <w:p>
      <w:pPr>
        <w:spacing w:after="0" w:line="227" w:lineRule="exact"/>
        <w:rPr>
          <w:sz w:val="20"/>
          <w:szCs w:val="20"/>
          <w:color w:val="auto"/>
        </w:rPr>
      </w:pPr>
    </w:p>
    <w:p>
      <w:pPr>
        <w:jc w:val="both"/>
        <w:ind w:left="1300" w:right="420" w:hanging="644"/>
        <w:spacing w:after="0" w:line="258" w:lineRule="auto"/>
        <w:tabs>
          <w:tab w:leader="none" w:pos="1300" w:val="left"/>
        </w:tabs>
        <w:numPr>
          <w:ilvl w:val="0"/>
          <w:numId w:val="242"/>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March 31, 2013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242"/>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May 2, 2013</w:t>
      </w:r>
    </w:p>
    <w:p>
      <w:pPr>
        <w:spacing w:after="0" w:line="362" w:lineRule="exact"/>
        <w:rPr>
          <w:sz w:val="20"/>
          <w:szCs w:val="20"/>
          <w:color w:val="auto"/>
        </w:rPr>
      </w:pPr>
    </w:p>
    <w:p>
      <w:pPr>
        <w:ind w:left="9320"/>
        <w:spacing w:after="0"/>
        <w:rPr>
          <w:sz w:val="20"/>
          <w:szCs w:val="20"/>
          <w:color w:val="auto"/>
        </w:rPr>
      </w:pPr>
      <w:r>
        <w:rPr>
          <w:rFonts w:ascii="Arial" w:cs="Arial" w:eastAsia="Arial" w:hAnsi="Arial"/>
          <w:sz w:val="17"/>
          <w:szCs w:val="17"/>
          <w:color w:val="auto"/>
        </w:rPr>
        <w:t>/S/ Joseph A. Householder</w:t>
      </w:r>
    </w:p>
    <w:p>
      <w:pPr>
        <w:spacing w:after="0" w:line="35" w:lineRule="exact"/>
        <w:rPr>
          <w:sz w:val="20"/>
          <w:szCs w:val="20"/>
          <w:color w:val="auto"/>
        </w:rPr>
      </w:pPr>
    </w:p>
    <w:p>
      <w:pPr>
        <w:ind w:left="9620"/>
        <w:spacing w:after="0"/>
        <w:rPr>
          <w:sz w:val="20"/>
          <w:szCs w:val="20"/>
          <w:color w:val="auto"/>
        </w:rPr>
      </w:pPr>
      <w:r>
        <w:rPr>
          <w:rFonts w:ascii="Arial" w:cs="Arial" w:eastAsia="Arial" w:hAnsi="Arial"/>
          <w:sz w:val="17"/>
          <w:szCs w:val="17"/>
          <w:color w:val="auto"/>
        </w:rPr>
        <w:t>Joseph A. Householder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-123190</wp:posOffset>
            </wp:positionV>
            <wp:extent cx="249555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4"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22"/>
          <w:szCs w:val="22"/>
          <w:color w:val="auto"/>
        </w:rPr>
        <w:t>Exhibit 32.3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San Diego Gas &amp; Electric Company (the "Company") certifies that:</w:t>
      </w:r>
    </w:p>
    <w:p>
      <w:pPr>
        <w:spacing w:after="0" w:line="227" w:lineRule="exact"/>
        <w:rPr>
          <w:sz w:val="20"/>
          <w:szCs w:val="20"/>
          <w:color w:val="auto"/>
        </w:rPr>
      </w:pPr>
    </w:p>
    <w:p>
      <w:pPr>
        <w:jc w:val="both"/>
        <w:ind w:left="1300" w:right="420" w:hanging="644"/>
        <w:spacing w:after="0" w:line="258" w:lineRule="auto"/>
        <w:tabs>
          <w:tab w:leader="none" w:pos="1300" w:val="left"/>
        </w:tabs>
        <w:numPr>
          <w:ilvl w:val="0"/>
          <w:numId w:val="243"/>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March 31, 2013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243"/>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May 2, 2013</w:t>
      </w:r>
    </w:p>
    <w:p>
      <w:pPr>
        <w:spacing w:after="0" w:line="362" w:lineRule="exact"/>
        <w:rPr>
          <w:sz w:val="20"/>
          <w:szCs w:val="20"/>
          <w:color w:val="auto"/>
        </w:rPr>
      </w:pPr>
    </w:p>
    <w:p>
      <w:pPr>
        <w:ind w:left="9620"/>
        <w:spacing w:after="0"/>
        <w:rPr>
          <w:sz w:val="20"/>
          <w:szCs w:val="20"/>
          <w:color w:val="auto"/>
        </w:rPr>
      </w:pPr>
      <w:r>
        <w:rPr>
          <w:rFonts w:ascii="Arial" w:cs="Arial" w:eastAsia="Arial" w:hAnsi="Arial"/>
          <w:sz w:val="17"/>
          <w:szCs w:val="17"/>
          <w:color w:val="auto"/>
        </w:rPr>
        <w:t>/S/ Jessie J. Knight, Jr.</w:t>
      </w:r>
    </w:p>
    <w:p>
      <w:pPr>
        <w:spacing w:after="0" w:line="35" w:lineRule="exact"/>
        <w:rPr>
          <w:sz w:val="20"/>
          <w:szCs w:val="20"/>
          <w:color w:val="auto"/>
        </w:rPr>
      </w:pPr>
    </w:p>
    <w:p>
      <w:pPr>
        <w:ind w:left="9920"/>
        <w:spacing w:after="0"/>
        <w:rPr>
          <w:sz w:val="20"/>
          <w:szCs w:val="20"/>
          <w:color w:val="auto"/>
        </w:rPr>
      </w:pPr>
      <w:r>
        <w:rPr>
          <w:rFonts w:ascii="Arial" w:cs="Arial" w:eastAsia="Arial" w:hAnsi="Arial"/>
          <w:sz w:val="17"/>
          <w:szCs w:val="17"/>
          <w:color w:val="auto"/>
        </w:rPr>
        <w:t>Jessie J. Knight,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-123190</wp:posOffset>
            </wp:positionV>
            <wp:extent cx="254698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4"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22"/>
          <w:szCs w:val="22"/>
          <w:color w:val="auto"/>
        </w:rPr>
        <w:t>Exhibit 32.4</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San Diego Gas &amp; Electric Company (the "Company") certifies that:</w:t>
      </w:r>
    </w:p>
    <w:p>
      <w:pPr>
        <w:spacing w:after="0" w:line="227" w:lineRule="exact"/>
        <w:rPr>
          <w:sz w:val="20"/>
          <w:szCs w:val="20"/>
          <w:color w:val="auto"/>
        </w:rPr>
      </w:pPr>
    </w:p>
    <w:p>
      <w:pPr>
        <w:jc w:val="both"/>
        <w:ind w:left="1300" w:right="420" w:hanging="644"/>
        <w:spacing w:after="0" w:line="258" w:lineRule="auto"/>
        <w:tabs>
          <w:tab w:leader="none" w:pos="1300" w:val="left"/>
        </w:tabs>
        <w:numPr>
          <w:ilvl w:val="0"/>
          <w:numId w:val="244"/>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March 31, 2013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244"/>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May 2, 2013</w:t>
      </w:r>
    </w:p>
    <w:p>
      <w:pPr>
        <w:spacing w:after="0" w:line="362"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/S/ Robert M. Schlax</w:t>
      </w:r>
    </w:p>
    <w:p>
      <w:pPr>
        <w:spacing w:after="0" w:line="23"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-130810</wp:posOffset>
            </wp:positionV>
            <wp:extent cx="249555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22"/>
          <w:szCs w:val="22"/>
          <w:color w:val="auto"/>
        </w:rPr>
        <w:t>Exhibit 32.5</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Southern California Gas Company (the "Company") certifies that:</w:t>
      </w:r>
    </w:p>
    <w:p>
      <w:pPr>
        <w:spacing w:after="0" w:line="227" w:lineRule="exact"/>
        <w:rPr>
          <w:sz w:val="20"/>
          <w:szCs w:val="20"/>
          <w:color w:val="auto"/>
        </w:rPr>
      </w:pPr>
    </w:p>
    <w:p>
      <w:pPr>
        <w:jc w:val="both"/>
        <w:ind w:left="1300" w:right="420" w:hanging="644"/>
        <w:spacing w:after="0" w:line="258" w:lineRule="auto"/>
        <w:tabs>
          <w:tab w:leader="none" w:pos="1300" w:val="left"/>
        </w:tabs>
        <w:numPr>
          <w:ilvl w:val="0"/>
          <w:numId w:val="245"/>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March 31, 2013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245"/>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May 2, 2013</w:t>
      </w:r>
    </w:p>
    <w:p>
      <w:pPr>
        <w:spacing w:after="0" w:line="362" w:lineRule="exact"/>
        <w:rPr>
          <w:sz w:val="20"/>
          <w:szCs w:val="20"/>
          <w:color w:val="auto"/>
        </w:rPr>
      </w:pPr>
    </w:p>
    <w:p>
      <w:pPr>
        <w:ind w:left="9960"/>
        <w:spacing w:after="0"/>
        <w:rPr>
          <w:sz w:val="20"/>
          <w:szCs w:val="20"/>
          <w:color w:val="auto"/>
        </w:rPr>
      </w:pPr>
      <w:r>
        <w:rPr>
          <w:rFonts w:ascii="Arial" w:cs="Arial" w:eastAsia="Arial" w:hAnsi="Arial"/>
          <w:sz w:val="18"/>
          <w:szCs w:val="18"/>
          <w:color w:val="auto"/>
        </w:rPr>
        <w:t>/S/ Anne S. Smith</w:t>
      </w:r>
    </w:p>
    <w:p>
      <w:pPr>
        <w:spacing w:after="0" w:line="23"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Anne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-130810</wp:posOffset>
            </wp:positionV>
            <wp:extent cx="24441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22"/>
          <w:szCs w:val="22"/>
          <w:color w:val="auto"/>
        </w:rPr>
        <w:t>Exhibit 32.6</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Southern California Gas Company (the "Company") certifies that:</w:t>
      </w:r>
    </w:p>
    <w:p>
      <w:pPr>
        <w:spacing w:after="0" w:line="227" w:lineRule="exact"/>
        <w:rPr>
          <w:sz w:val="20"/>
          <w:szCs w:val="20"/>
          <w:color w:val="auto"/>
        </w:rPr>
      </w:pPr>
    </w:p>
    <w:p>
      <w:pPr>
        <w:jc w:val="both"/>
        <w:ind w:left="1300" w:right="420" w:hanging="644"/>
        <w:spacing w:after="0" w:line="258" w:lineRule="auto"/>
        <w:tabs>
          <w:tab w:leader="none" w:pos="1300" w:val="left"/>
        </w:tabs>
        <w:numPr>
          <w:ilvl w:val="0"/>
          <w:numId w:val="246"/>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March 31, 2013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246"/>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May 2, 2013</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/S/ Robert M. Schlax</w:t>
      </w:r>
    </w:p>
    <w:p>
      <w:pPr>
        <w:spacing w:after="0" w:line="23"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-130810</wp:posOffset>
            </wp:positionV>
            <wp:extent cx="24441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F97E3E4"/>
    <w:multiLevelType w:val="hybridMultilevel"/>
    <w:lvl w:ilvl="0">
      <w:lvlJc w:val="left"/>
      <w:lvlText w:val="[%1]"/>
      <w:numFmt w:val="upperLetter"/>
      <w:start w:val="24"/>
    </w:lvl>
  </w:abstractNum>
  <w:abstractNum w:abstractNumId="1">
    <w:nsid w:val="53B0A9E"/>
    <w:multiLevelType w:val="hybridMultilevel"/>
    <w:lvl w:ilvl="0">
      <w:lvlJc w:val="left"/>
      <w:lvlText w:val="["/>
      <w:numFmt w:val="bullet"/>
      <w:start w:val="1"/>
    </w:lvl>
  </w:abstractNum>
  <w:abstractNum w:abstractNumId="2">
    <w:nsid w:val="34FD6B4F"/>
    <w:multiLevelType w:val="hybridMultilevel"/>
    <w:lvl w:ilvl="0">
      <w:lvlJc w:val="left"/>
      <w:lvlText w:val="§"/>
      <w:numFmt w:val="bullet"/>
      <w:start w:val="1"/>
    </w:lvl>
  </w:abstractNum>
  <w:abstractNum w:abstractNumId="3">
    <w:nsid w:val="5915FF32"/>
    <w:multiLevelType w:val="hybridMultilevel"/>
    <w:lvl w:ilvl="0">
      <w:lvlJc w:val="left"/>
      <w:lvlText w:val="§"/>
      <w:numFmt w:val="bullet"/>
      <w:start w:val="1"/>
    </w:lvl>
  </w:abstractNum>
  <w:abstractNum w:abstractNumId="4">
    <w:nsid w:val="56438D15"/>
    <w:multiLevelType w:val="hybridMultilevel"/>
    <w:lvl w:ilvl="0">
      <w:lvlJc w:val="left"/>
      <w:lvlText w:val="(%1)"/>
      <w:numFmt w:val="decimal"/>
      <w:start w:val="1"/>
    </w:lvl>
  </w:abstractNum>
  <w:abstractNum w:abstractNumId="5">
    <w:nsid w:val="519E3149"/>
    <w:multiLevelType w:val="hybridMultilevel"/>
    <w:lvl w:ilvl="0">
      <w:lvlJc w:val="left"/>
      <w:lvlText w:val="(%1)"/>
      <w:numFmt w:val="decimal"/>
      <w:start w:val="1"/>
    </w:lvl>
  </w:abstractNum>
  <w:abstractNum w:abstractNumId="6">
    <w:nsid w:val="2C6E4AFD"/>
    <w:multiLevelType w:val="hybridMultilevel"/>
    <w:lvl w:ilvl="0">
      <w:lvlJc w:val="left"/>
      <w:lvlText w:val="(%1)"/>
      <w:numFmt w:val="decimal"/>
      <w:start w:val="237"/>
    </w:lvl>
  </w:abstractNum>
  <w:abstractNum w:abstractNumId="7">
    <w:nsid w:val="17A1B582"/>
    <w:multiLevelType w:val="hybridMultilevel"/>
    <w:lvl w:ilvl="0">
      <w:lvlJc w:val="left"/>
      <w:lvlText w:val="(%1)"/>
      <w:numFmt w:val="decimal"/>
      <w:start w:val="135"/>
    </w:lvl>
  </w:abstractNum>
  <w:abstractNum w:abstractNumId="8">
    <w:nsid w:val="4DF72E4E"/>
    <w:multiLevelType w:val="hybridMultilevel"/>
    <w:lvl w:ilvl="0">
      <w:lvlJc w:val="left"/>
      <w:lvlText w:val="(%1)"/>
      <w:numFmt w:val="decimal"/>
      <w:start w:val="19"/>
    </w:lvl>
  </w:abstractNum>
  <w:abstractNum w:abstractNumId="9">
    <w:nsid w:val="5046B5A9"/>
    <w:multiLevelType w:val="hybridMultilevel"/>
    <w:lvl w:ilvl="0">
      <w:lvlJc w:val="left"/>
      <w:lvlText w:val="(%1)"/>
      <w:numFmt w:val="decimal"/>
      <w:start w:val="240"/>
    </w:lvl>
  </w:abstractNum>
  <w:abstractNum w:abstractNumId="10">
    <w:nsid w:val="5D888A08"/>
    <w:multiLevelType w:val="hybridMultilevel"/>
    <w:lvl w:ilvl="0">
      <w:lvlJc w:val="left"/>
      <w:lvlText w:val="―"/>
      <w:numFmt w:val="bullet"/>
      <w:start w:val="1"/>
    </w:lvl>
    <w:lvl w:ilvl="1">
      <w:lvlJc w:val="left"/>
      <w:lvlText w:val="(%2)"/>
      <w:numFmt w:val="decimal"/>
      <w:start w:val="1"/>
    </w:lvl>
  </w:abstractNum>
  <w:abstractNum w:abstractNumId="11">
    <w:nsid w:val="2A082C70"/>
    <w:multiLevelType w:val="hybridMultilevel"/>
    <w:lvl w:ilvl="0">
      <w:lvlJc w:val="left"/>
      <w:lvlText w:val="―"/>
      <w:numFmt w:val="bullet"/>
      <w:start w:val="1"/>
    </w:lvl>
    <w:lvl w:ilvl="1">
      <w:lvlJc w:val="left"/>
      <w:lvlText w:val="(%2)"/>
      <w:numFmt w:val="decimal"/>
      <w:start w:val="3"/>
    </w:lvl>
  </w:abstractNum>
  <w:abstractNum w:abstractNumId="12">
    <w:nsid w:val="5EC6AFD4"/>
    <w:multiLevelType w:val="hybridMultilevel"/>
    <w:lvl w:ilvl="0">
      <w:lvlJc w:val="left"/>
      <w:lvlText w:val="―"/>
      <w:numFmt w:val="bullet"/>
      <w:start w:val="1"/>
    </w:lvl>
    <w:lvl w:ilvl="1">
      <w:lvlJc w:val="left"/>
      <w:lvlText w:val="(%2)"/>
      <w:numFmt w:val="decimal"/>
      <w:start w:val="1"/>
    </w:lvl>
  </w:abstractNum>
  <w:abstractNum w:abstractNumId="13">
    <w:nsid w:val="19E21BB2"/>
    <w:multiLevelType w:val="hybridMultilevel"/>
    <w:lvl w:ilvl="0">
      <w:lvlJc w:val="left"/>
      <w:lvlText w:val="―"/>
      <w:numFmt w:val="bullet"/>
      <w:start w:val="1"/>
    </w:lvl>
    <w:lvl w:ilvl="1">
      <w:lvlJc w:val="left"/>
      <w:lvlText w:val="(%2)"/>
      <w:numFmt w:val="decimal"/>
      <w:start w:val="5"/>
    </w:lvl>
  </w:abstractNum>
  <w:abstractNum w:abstractNumId="14">
    <w:nsid w:val="75E0858A"/>
    <w:multiLevelType w:val="hybridMultilevel"/>
    <w:lvl w:ilvl="0">
      <w:lvlJc w:val="left"/>
      <w:lvlText w:val="(%1)"/>
      <w:numFmt w:val="decimal"/>
      <w:start w:val="1"/>
    </w:lvl>
  </w:abstractNum>
  <w:abstractNum w:abstractNumId="15">
    <w:nsid w:val="57A61A29"/>
    <w:multiLevelType w:val="hybridMultilevel"/>
    <w:lvl w:ilvl="0">
      <w:lvlJc w:val="left"/>
      <w:lvlText w:val="(%1)"/>
      <w:numFmt w:val="decimal"/>
      <w:start w:val="1"/>
    </w:lvl>
  </w:abstractNum>
  <w:abstractNum w:abstractNumId="16">
    <w:nsid w:val="5399C654"/>
    <w:multiLevelType w:val="hybridMultilevel"/>
    <w:lvl w:ilvl="0">
      <w:lvlJc w:val="left"/>
      <w:lvlText w:val="%1"/>
      <w:numFmt w:val="decimal"/>
      <w:start w:val="18"/>
    </w:lvl>
    <w:lvl w:ilvl="1">
      <w:lvlJc w:val="left"/>
      <w:lvlText w:val="―"/>
      <w:numFmt w:val="bullet"/>
      <w:start w:val="1"/>
    </w:lvl>
  </w:abstractNum>
  <w:abstractNum w:abstractNumId="17">
    <w:nsid w:val="20EE1348"/>
    <w:multiLevelType w:val="hybridMultilevel"/>
    <w:lvl w:ilvl="0">
      <w:lvlJc w:val="left"/>
      <w:lvlText w:val="(%1)"/>
      <w:numFmt w:val="decimal"/>
      <w:start w:val="6"/>
    </w:lvl>
  </w:abstractNum>
  <w:abstractNum w:abstractNumId="18">
    <w:nsid w:val="4427069A"/>
    <w:multiLevelType w:val="hybridMultilevel"/>
    <w:lvl w:ilvl="0">
      <w:lvlJc w:val="left"/>
      <w:lvlText w:val="(%1)"/>
      <w:numFmt w:val="decimal"/>
      <w:start w:val="179"/>
    </w:lvl>
  </w:abstractNum>
  <w:abstractNum w:abstractNumId="19">
    <w:nsid w:val="B37E80A"/>
    <w:multiLevelType w:val="hybridMultilevel"/>
    <w:lvl w:ilvl="0">
      <w:lvlJc w:val="left"/>
      <w:lvlText w:val="(%1)"/>
      <w:numFmt w:val="decimal"/>
      <w:start w:val="243"/>
    </w:lvl>
  </w:abstractNum>
  <w:abstractNum w:abstractNumId="20">
    <w:nsid w:val="2157F6BC"/>
    <w:multiLevelType w:val="hybridMultilevel"/>
    <w:lvl w:ilvl="0">
      <w:lvlJc w:val="left"/>
      <w:lvlText w:val="(%1)"/>
      <w:numFmt w:val="decimal"/>
      <w:start w:val="422"/>
    </w:lvl>
  </w:abstractNum>
  <w:abstractNum w:abstractNumId="21">
    <w:nsid w:val="704E1DD5"/>
    <w:multiLevelType w:val="hybridMultilevel"/>
    <w:lvl w:ilvl="0">
      <w:lvlJc w:val="left"/>
      <w:lvlText w:val="―"/>
      <w:numFmt w:val="bullet"/>
      <w:start w:val="1"/>
    </w:lvl>
  </w:abstractNum>
  <w:abstractNum w:abstractNumId="22">
    <w:nsid w:val="57D2F10E"/>
    <w:multiLevelType w:val="hybridMultilevel"/>
    <w:lvl w:ilvl="0">
      <w:lvlJc w:val="left"/>
      <w:lvlText w:val="§"/>
      <w:numFmt w:val="bullet"/>
      <w:start w:val="1"/>
    </w:lvl>
  </w:abstractNum>
  <w:abstractNum w:abstractNumId="23">
    <w:nsid w:val="BFFAE18"/>
    <w:multiLevelType w:val="hybridMultilevel"/>
    <w:lvl w:ilvl="0">
      <w:lvlJc w:val="left"/>
      <w:lvlText w:val="&amp;"/>
      <w:numFmt w:val="bullet"/>
      <w:start w:val="1"/>
    </w:lvl>
  </w:abstractNum>
  <w:abstractNum w:abstractNumId="24">
    <w:nsid w:val="E3E47A8"/>
    <w:multiLevelType w:val="hybridMultilevel"/>
    <w:lvl w:ilvl="0">
      <w:lvlJc w:val="left"/>
      <w:lvlText w:val="(%1)"/>
      <w:numFmt w:val="decimal"/>
      <w:start w:val="1"/>
    </w:lvl>
  </w:abstractNum>
  <w:abstractNum w:abstractNumId="25">
    <w:nsid w:val="2E48F044"/>
    <w:multiLevelType w:val="hybridMultilevel"/>
    <w:lvl w:ilvl="0">
      <w:lvlJc w:val="left"/>
      <w:lvlText w:val="§"/>
      <w:numFmt w:val="bullet"/>
      <w:start w:val="1"/>
    </w:lvl>
  </w:abstractNum>
  <w:abstractNum w:abstractNumId="26">
    <w:nsid w:val="49D0FEAC"/>
    <w:multiLevelType w:val="hybridMultilevel"/>
    <w:lvl w:ilvl="0">
      <w:lvlJc w:val="left"/>
      <w:lvlText w:val="(%1)"/>
      <w:numFmt w:val="decimal"/>
      <w:start w:val="1"/>
    </w:lvl>
  </w:abstractNum>
  <w:abstractNum w:abstractNumId="27">
    <w:nsid w:val="4BEE5A5B"/>
    <w:multiLevelType w:val="hybridMultilevel"/>
    <w:lvl w:ilvl="0">
      <w:lvlJc w:val="left"/>
      <w:lvlText w:val="(%1)"/>
      <w:numFmt w:val="decimal"/>
      <w:start w:val="1"/>
    </w:lvl>
  </w:abstractNum>
  <w:abstractNum w:abstractNumId="28">
    <w:nsid w:val="5551B9F3"/>
    <w:multiLevelType w:val="hybridMultilevel"/>
    <w:lvl w:ilvl="0">
      <w:lvlJc w:val="left"/>
      <w:lvlText w:val="(%1)"/>
      <w:numFmt w:val="decimal"/>
    </w:lvl>
    <w:lvl w:ilvl="1">
      <w:lvlJc w:val="left"/>
      <w:lvlText w:val="$"/>
      <w:numFmt w:val="bullet"/>
      <w:start w:val="1"/>
    </w:lvl>
  </w:abstractNum>
  <w:abstractNum w:abstractNumId="29">
    <w:nsid w:val="24F6AB8E"/>
    <w:multiLevelType w:val="hybridMultilevel"/>
    <w:lvl w:ilvl="0">
      <w:lvlJc w:val="left"/>
      <w:lvlText w:val="(%1)"/>
      <w:numFmt w:val="decimal"/>
      <w:start w:val="1"/>
    </w:lvl>
  </w:abstractNum>
  <w:abstractNum w:abstractNumId="30">
    <w:nsid w:val="634C574C"/>
    <w:multiLevelType w:val="hybridMultilevel"/>
    <w:lvl w:ilvl="0">
      <w:lvlJc w:val="left"/>
      <w:lvlText w:val="(%1)"/>
      <w:numFmt w:val="decimal"/>
      <w:start w:val="1"/>
    </w:lvl>
  </w:abstractNum>
  <w:abstractNum w:abstractNumId="31">
    <w:nsid w:val="24E99DD7"/>
    <w:multiLevelType w:val="hybridMultilevel"/>
    <w:lvl w:ilvl="0">
      <w:lvlJc w:val="left"/>
      <w:lvlText w:val="§"/>
      <w:numFmt w:val="bullet"/>
      <w:start w:val="1"/>
    </w:lvl>
  </w:abstractNum>
  <w:abstractNum w:abstractNumId="32">
    <w:nsid w:val="2A31B62D"/>
    <w:multiLevelType w:val="hybridMultilevel"/>
    <w:lvl w:ilvl="0">
      <w:lvlJc w:val="left"/>
      <w:lvlText w:val="§"/>
      <w:numFmt w:val="bullet"/>
      <w:start w:val="1"/>
    </w:lvl>
  </w:abstractNum>
  <w:abstractNum w:abstractNumId="33">
    <w:nsid w:val="1849C29B"/>
    <w:multiLevelType w:val="hybridMultilevel"/>
    <w:lvl w:ilvl="0">
      <w:lvlJc w:val="left"/>
      <w:lvlText w:val="§"/>
      <w:numFmt w:val="bullet"/>
      <w:start w:val="1"/>
    </w:lvl>
  </w:abstractNum>
  <w:abstractNum w:abstractNumId="34">
    <w:nsid w:val="7DFF9D09"/>
    <w:multiLevelType w:val="hybridMultilevel"/>
    <w:lvl w:ilvl="0">
      <w:lvlJc w:val="left"/>
      <w:lvlText w:val="§"/>
      <w:numFmt w:val="bullet"/>
      <w:start w:val="1"/>
    </w:lvl>
  </w:abstractNum>
  <w:abstractNum w:abstractNumId="35">
    <w:nsid w:val="754342"/>
    <w:multiLevelType w:val="hybridMultilevel"/>
    <w:lvl w:ilvl="0">
      <w:lvlJc w:val="left"/>
      <w:lvlText w:val="(%1)"/>
      <w:numFmt w:val="decimal"/>
      <w:start w:val="1"/>
    </w:lvl>
  </w:abstractNum>
  <w:abstractNum w:abstractNumId="36">
    <w:nsid w:val="69E7F3E5"/>
    <w:multiLevelType w:val="hybridMultilevel"/>
    <w:lvl w:ilvl="0">
      <w:lvlJc w:val="left"/>
      <w:lvlText w:val="§"/>
      <w:numFmt w:val="bullet"/>
      <w:start w:val="1"/>
    </w:lvl>
  </w:abstractNum>
  <w:abstractNum w:abstractNumId="37">
    <w:nsid w:val="2A6DE806"/>
    <w:multiLevelType w:val="hybridMultilevel"/>
    <w:lvl w:ilvl="0">
      <w:lvlJc w:val="left"/>
      <w:lvlText w:val="(%1)"/>
      <w:numFmt w:val="decimal"/>
      <w:start w:val="1"/>
    </w:lvl>
  </w:abstractNum>
  <w:abstractNum w:abstractNumId="38">
    <w:nsid w:val="1816F8C4"/>
    <w:multiLevelType w:val="hybridMultilevel"/>
    <w:lvl w:ilvl="0">
      <w:lvlJc w:val="left"/>
      <w:lvlText w:val="(%1)"/>
      <w:numFmt w:val="decimal"/>
      <w:start w:val="1"/>
    </w:lvl>
  </w:abstractNum>
  <w:abstractNum w:abstractNumId="39">
    <w:nsid w:val="37DF2233"/>
    <w:multiLevelType w:val="hybridMultilevel"/>
    <w:lvl w:ilvl="0">
      <w:lvlJc w:val="left"/>
      <w:lvlText w:val="(%1)"/>
      <w:numFmt w:val="decimal"/>
      <w:start w:val="1"/>
    </w:lvl>
  </w:abstractNum>
  <w:abstractNum w:abstractNumId="40">
    <w:nsid w:val="7AB49DAF"/>
    <w:multiLevelType w:val="hybridMultilevel"/>
    <w:lvl w:ilvl="0">
      <w:lvlJc w:val="left"/>
      <w:lvlText w:val="(%1)"/>
      <w:numFmt w:val="decimal"/>
      <w:start w:val="1"/>
    </w:lvl>
  </w:abstractNum>
  <w:abstractNum w:abstractNumId="41">
    <w:nsid w:val="759F82CD"/>
    <w:multiLevelType w:val="hybridMultilevel"/>
    <w:lvl w:ilvl="0">
      <w:lvlJc w:val="left"/>
      <w:lvlText w:val="(%1)"/>
      <w:numFmt w:val="decimal"/>
      <w:start w:val="1"/>
    </w:lvl>
  </w:abstractNum>
  <w:abstractNum w:abstractNumId="42">
    <w:nsid w:val="61E74EA3"/>
    <w:multiLevelType w:val="hybridMultilevel"/>
    <w:lvl w:ilvl="0">
      <w:lvlJc w:val="left"/>
      <w:lvlText w:val="(%1)"/>
      <w:numFmt w:val="decimal"/>
      <w:start w:val="1"/>
    </w:lvl>
  </w:abstractNum>
  <w:abstractNum w:abstractNumId="43">
    <w:nsid w:val="597B4D84"/>
    <w:multiLevelType w:val="hybridMultilevel"/>
    <w:lvl w:ilvl="0">
      <w:lvlJc w:val="left"/>
      <w:lvlText w:val="§"/>
      <w:numFmt w:val="bullet"/>
      <w:start w:val="1"/>
    </w:lvl>
  </w:abstractNum>
  <w:abstractNum w:abstractNumId="44">
    <w:nsid w:val="F819E7F"/>
    <w:multiLevelType w:val="hybridMultilevel"/>
    <w:lvl w:ilvl="0">
      <w:lvlJc w:val="left"/>
      <w:lvlText w:val="(%1)"/>
      <w:numFmt w:val="decimal"/>
      <w:start w:val="1"/>
    </w:lvl>
  </w:abstractNum>
  <w:abstractNum w:abstractNumId="45">
    <w:nsid w:val="57C7D42D"/>
    <w:multiLevelType w:val="hybridMultilevel"/>
    <w:lvl w:ilvl="0">
      <w:lvlJc w:val="left"/>
      <w:lvlText w:val="(%1)"/>
      <w:numFmt w:val="decimal"/>
      <w:start w:val="1"/>
    </w:lvl>
  </w:abstractNum>
  <w:abstractNum w:abstractNumId="46">
    <w:nsid w:val="312167AD"/>
    <w:multiLevelType w:val="hybridMultilevel"/>
    <w:lvl w:ilvl="0">
      <w:lvlJc w:val="left"/>
      <w:lvlText w:val="(%1)"/>
      <w:numFmt w:val="decimal"/>
      <w:start w:val="1"/>
    </w:lvl>
  </w:abstractNum>
  <w:abstractNum w:abstractNumId="47">
    <w:nsid w:val="631B64D4"/>
    <w:multiLevelType w:val="hybridMultilevel"/>
    <w:lvl w:ilvl="0">
      <w:lvlJc w:val="left"/>
      <w:lvlText w:val="(%1)"/>
      <w:numFmt w:val="decimal"/>
      <w:start w:val="1"/>
    </w:lvl>
  </w:abstractNum>
  <w:abstractNum w:abstractNumId="48">
    <w:nsid w:val="78B5E776"/>
    <w:multiLevelType w:val="hybridMultilevel"/>
    <w:lvl w:ilvl="0">
      <w:lvlJc w:val="left"/>
      <w:lvlText w:val="%1."/>
      <w:numFmt w:val="decimal"/>
      <w:start w:val="1"/>
    </w:lvl>
  </w:abstractNum>
  <w:abstractNum w:abstractNumId="49">
    <w:nsid w:val="75486E47"/>
    <w:multiLevelType w:val="hybridMultilevel"/>
    <w:lvl w:ilvl="0">
      <w:lvlJc w:val="left"/>
      <w:lvlText w:val="%1."/>
      <w:numFmt w:val="decimal"/>
      <w:start w:val="6"/>
    </w:lvl>
  </w:abstractNum>
  <w:abstractNum w:abstractNumId="50">
    <w:nsid w:val="6E534CDE"/>
    <w:multiLevelType w:val="hybridMultilevel"/>
    <w:lvl w:ilvl="0">
      <w:lvlJc w:val="left"/>
      <w:lvlText w:val="(%1)"/>
      <w:numFmt w:val="decimal"/>
      <w:start w:val="1"/>
    </w:lvl>
  </w:abstractNum>
  <w:abstractNum w:abstractNumId="51">
    <w:nsid w:val="1A0DDE32"/>
    <w:multiLevelType w:val="hybridMultilevel"/>
    <w:lvl w:ilvl="0">
      <w:lvlJc w:val="left"/>
      <w:lvlText w:val="§"/>
      <w:numFmt w:val="bullet"/>
      <w:start w:val="1"/>
    </w:lvl>
  </w:abstractNum>
  <w:abstractNum w:abstractNumId="52">
    <w:nsid w:val="65968C1C"/>
    <w:multiLevelType w:val="hybridMultilevel"/>
    <w:lvl w:ilvl="0">
      <w:lvlJc w:val="left"/>
      <w:lvlText w:val="§"/>
      <w:numFmt w:val="bullet"/>
      <w:start w:val="1"/>
    </w:lvl>
  </w:abstractNum>
  <w:abstractNum w:abstractNumId="53">
    <w:nsid w:val="46263DEC"/>
    <w:multiLevelType w:val="hybridMultilevel"/>
    <w:lvl w:ilvl="0">
      <w:lvlJc w:val="left"/>
      <w:lvlText w:val="§"/>
      <w:numFmt w:val="bullet"/>
      <w:start w:val="1"/>
    </w:lvl>
  </w:abstractNum>
  <w:abstractNum w:abstractNumId="54">
    <w:nsid w:val="260D8C4A"/>
    <w:multiLevelType w:val="hybridMultilevel"/>
    <w:lvl w:ilvl="0">
      <w:lvlJc w:val="left"/>
      <w:lvlText w:val="(%1)"/>
      <w:numFmt w:val="decimal"/>
      <w:start w:val="1"/>
    </w:lvl>
  </w:abstractNum>
  <w:abstractNum w:abstractNumId="55">
    <w:nsid w:val="73D4D3C4"/>
    <w:multiLevelType w:val="hybridMultilevel"/>
    <w:lvl w:ilvl="0">
      <w:lvlJc w:val="left"/>
      <w:lvlText w:val="§"/>
      <w:numFmt w:val="bullet"/>
      <w:start w:val="1"/>
    </w:lvl>
  </w:abstractNum>
  <w:abstractNum w:abstractNumId="56">
    <w:nsid w:val="746F2E30"/>
    <w:multiLevelType w:val="hybridMultilevel"/>
    <w:lvl w:ilvl="0">
      <w:lvlJc w:val="left"/>
      <w:lvlText w:val="§"/>
      <w:numFmt w:val="bullet"/>
      <w:start w:val="1"/>
    </w:lvl>
  </w:abstractNum>
  <w:abstractNum w:abstractNumId="57">
    <w:nsid w:val="6FDE8AF6"/>
    <w:multiLevelType w:val="hybridMultilevel"/>
    <w:lvl w:ilvl="0">
      <w:lvlJc w:val="left"/>
      <w:lvlText w:val="§"/>
      <w:numFmt w:val="bullet"/>
      <w:start w:val="1"/>
    </w:lvl>
  </w:abstractNum>
  <w:abstractNum w:abstractNumId="58">
    <w:nsid w:val="3FC32E20"/>
    <w:multiLevelType w:val="hybridMultilevel"/>
    <w:lvl w:ilvl="0">
      <w:lvlJc w:val="left"/>
      <w:lvlText w:val="§"/>
      <w:numFmt w:val="bullet"/>
      <w:start w:val="1"/>
    </w:lvl>
  </w:abstractNum>
  <w:abstractNum w:abstractNumId="59">
    <w:nsid w:val="49C0E823"/>
    <w:multiLevelType w:val="hybridMultilevel"/>
    <w:lvl w:ilvl="0">
      <w:lvlJc w:val="left"/>
      <w:lvlText w:val="§"/>
      <w:numFmt w:val="bullet"/>
      <w:start w:val="1"/>
    </w:lvl>
  </w:abstractNum>
  <w:abstractNum w:abstractNumId="60">
    <w:nsid w:val="14D53685"/>
    <w:multiLevelType w:val="hybridMultilevel"/>
    <w:lvl w:ilvl="0">
      <w:lvlJc w:val="left"/>
      <w:lvlText w:val="§"/>
      <w:numFmt w:val="bullet"/>
      <w:start w:val="1"/>
    </w:lvl>
  </w:abstractNum>
  <w:abstractNum w:abstractNumId="61">
    <w:nsid w:val="230F856C"/>
    <w:multiLevelType w:val="hybridMultilevel"/>
    <w:lvl w:ilvl="0">
      <w:lvlJc w:val="left"/>
      <w:lvlText w:val="§"/>
      <w:numFmt w:val="bullet"/>
      <w:start w:val="1"/>
    </w:lvl>
  </w:abstractNum>
  <w:abstractNum w:abstractNumId="62">
    <w:nsid w:val="6EAA85FB"/>
    <w:multiLevelType w:val="hybridMultilevel"/>
    <w:lvl w:ilvl="0">
      <w:lvlJc w:val="left"/>
      <w:lvlText w:val="§"/>
      <w:numFmt w:val="bullet"/>
      <w:start w:val="1"/>
    </w:lvl>
  </w:abstractNum>
  <w:abstractNum w:abstractNumId="63">
    <w:nsid w:val="3F06ECB2"/>
    <w:multiLevelType w:val="hybridMultilevel"/>
    <w:lvl w:ilvl="0">
      <w:lvlJc w:val="left"/>
      <w:lvlText w:val="§"/>
      <w:numFmt w:val="bullet"/>
      <w:start w:val="1"/>
    </w:lvl>
  </w:abstractNum>
  <w:abstractNum w:abstractNumId="64">
    <w:nsid w:val="3B594807"/>
    <w:multiLevelType w:val="hybridMultilevel"/>
    <w:lvl w:ilvl="0">
      <w:lvlJc w:val="left"/>
      <w:lvlText w:val="§"/>
      <w:numFmt w:val="bullet"/>
      <w:start w:val="1"/>
    </w:lvl>
  </w:abstractNum>
  <w:abstractNum w:abstractNumId="65">
    <w:nsid w:val="6CAA2304"/>
    <w:multiLevelType w:val="hybridMultilevel"/>
    <w:lvl w:ilvl="0">
      <w:lvlJc w:val="left"/>
      <w:lvlText w:val="§"/>
      <w:numFmt w:val="bullet"/>
      <w:start w:val="1"/>
    </w:lvl>
  </w:abstractNum>
  <w:abstractNum w:abstractNumId="66">
    <w:nsid w:val="3F7C2FF4"/>
    <w:multiLevelType w:val="hybridMultilevel"/>
    <w:lvl w:ilvl="0">
      <w:lvlJc w:val="left"/>
      <w:lvlText w:val="§"/>
      <w:numFmt w:val="bullet"/>
      <w:start w:val="1"/>
    </w:lvl>
  </w:abstractNum>
  <w:abstractNum w:abstractNumId="67">
    <w:nsid w:val="25413BEC"/>
    <w:multiLevelType w:val="hybridMultilevel"/>
    <w:lvl w:ilvl="0">
      <w:lvlJc w:val="left"/>
      <w:lvlText w:val="§"/>
      <w:numFmt w:val="bullet"/>
      <w:start w:val="1"/>
    </w:lvl>
  </w:abstractNum>
  <w:abstractNum w:abstractNumId="68">
    <w:nsid w:val="17180B0B"/>
    <w:multiLevelType w:val="hybridMultilevel"/>
    <w:lvl w:ilvl="0">
      <w:lvlJc w:val="left"/>
      <w:lvlText w:val="§"/>
      <w:numFmt w:val="bullet"/>
      <w:start w:val="1"/>
    </w:lvl>
    <w:lvl w:ilvl="1">
      <w:lvlJc w:val="left"/>
      <w:lvlText w:val="§"/>
      <w:numFmt w:val="bullet"/>
      <w:start w:val="1"/>
    </w:lvl>
  </w:abstractNum>
  <w:abstractNum w:abstractNumId="69">
    <w:nsid w:val="579328B9"/>
    <w:multiLevelType w:val="hybridMultilevel"/>
    <w:lvl w:ilvl="0">
      <w:lvlJc w:val="left"/>
      <w:lvlText w:val="§"/>
      <w:numFmt w:val="bullet"/>
      <w:start w:val="1"/>
    </w:lvl>
    <w:lvl w:ilvl="1">
      <w:lvlJc w:val="left"/>
      <w:lvlText w:val="§"/>
      <w:numFmt w:val="bullet"/>
      <w:start w:val="1"/>
    </w:lvl>
  </w:abstractNum>
  <w:abstractNum w:abstractNumId="70">
    <w:nsid w:val="5D205E20"/>
    <w:multiLevelType w:val="hybridMultilevel"/>
    <w:lvl w:ilvl="0">
      <w:lvlJc w:val="left"/>
      <w:lvlText w:val="§"/>
      <w:numFmt w:val="bullet"/>
      <w:start w:val="1"/>
    </w:lvl>
    <w:lvl w:ilvl="1">
      <w:lvlJc w:val="left"/>
      <w:lvlText w:val="§"/>
      <w:numFmt w:val="bullet"/>
      <w:start w:val="1"/>
    </w:lvl>
  </w:abstractNum>
  <w:abstractNum w:abstractNumId="71">
    <w:nsid w:val="11CCA8BA"/>
    <w:multiLevelType w:val="hybridMultilevel"/>
    <w:lvl w:ilvl="0">
      <w:lvlJc w:val="left"/>
      <w:lvlText w:val="(%1)"/>
      <w:numFmt w:val="decimal"/>
      <w:start w:val="1"/>
    </w:lvl>
  </w:abstractNum>
  <w:abstractNum w:abstractNumId="72">
    <w:nsid w:val="4D32AB86"/>
    <w:multiLevelType w:val="hybridMultilevel"/>
    <w:lvl w:ilvl="0">
      <w:lvlJc w:val="left"/>
      <w:lvlText w:val="§"/>
      <w:numFmt w:val="bullet"/>
      <w:start w:val="1"/>
    </w:lvl>
    <w:lvl w:ilvl="1">
      <w:lvlJc w:val="left"/>
      <w:lvlText w:val="§"/>
      <w:numFmt w:val="bullet"/>
      <w:start w:val="1"/>
    </w:lvl>
  </w:abstractNum>
  <w:abstractNum w:abstractNumId="73">
    <w:nsid w:val="3F07ACC3"/>
    <w:multiLevelType w:val="hybridMultilevel"/>
    <w:lvl w:ilvl="0">
      <w:lvlJc w:val="left"/>
      <w:lvlText w:val="(%1)"/>
      <w:numFmt w:val="decimal"/>
      <w:start w:val="1"/>
    </w:lvl>
  </w:abstractNum>
  <w:abstractNum w:abstractNumId="74">
    <w:nsid w:val="6B47F63E"/>
    <w:multiLevelType w:val="hybridMultilevel"/>
    <w:lvl w:ilvl="0">
      <w:lvlJc w:val="left"/>
      <w:lvlText w:val="(%1)"/>
      <w:numFmt w:val="decimal"/>
      <w:start w:val="1"/>
    </w:lvl>
  </w:abstractNum>
  <w:abstractNum w:abstractNumId="75">
    <w:nsid w:val="5CB44A05"/>
    <w:multiLevelType w:val="hybridMultilevel"/>
    <w:lvl w:ilvl="0">
      <w:lvlJc w:val="left"/>
      <w:lvlText w:val="(%1)"/>
      <w:numFmt w:val="decimal"/>
      <w:start w:val="2"/>
    </w:lvl>
  </w:abstractNum>
  <w:abstractNum w:abstractNumId="76">
    <w:nsid w:val="16CF80F1"/>
    <w:multiLevelType w:val="hybridMultilevel"/>
    <w:lvl w:ilvl="0">
      <w:lvlJc w:val="left"/>
      <w:lvlText w:val="§"/>
      <w:numFmt w:val="bullet"/>
      <w:start w:val="1"/>
    </w:lvl>
  </w:abstractNum>
  <w:abstractNum w:abstractNumId="77">
    <w:nsid w:val="1C695DEC"/>
    <w:multiLevelType w:val="hybridMultilevel"/>
    <w:lvl w:ilvl="0">
      <w:lvlJc w:val="left"/>
      <w:lvlText w:val="§"/>
      <w:numFmt w:val="bullet"/>
      <w:start w:val="1"/>
    </w:lvl>
  </w:abstractNum>
  <w:abstractNum w:abstractNumId="78">
    <w:nsid w:val="3FCFAED9"/>
    <w:multiLevelType w:val="hybridMultilevel"/>
    <w:lvl w:ilvl="0">
      <w:lvlJc w:val="left"/>
      <w:lvlText w:val="§"/>
      <w:numFmt w:val="bullet"/>
      <w:start w:val="1"/>
    </w:lvl>
  </w:abstractNum>
  <w:abstractNum w:abstractNumId="79">
    <w:nsid w:val="F856867"/>
    <w:multiLevelType w:val="hybridMultilevel"/>
    <w:lvl w:ilvl="0">
      <w:lvlJc w:val="left"/>
      <w:lvlText w:val="§"/>
      <w:numFmt w:val="bullet"/>
      <w:start w:val="1"/>
    </w:lvl>
  </w:abstractNum>
  <w:abstractNum w:abstractNumId="80">
    <w:nsid w:val="11B1CC33"/>
    <w:multiLevelType w:val="hybridMultilevel"/>
    <w:lvl w:ilvl="0">
      <w:lvlJc w:val="left"/>
      <w:lvlText w:val="§"/>
      <w:numFmt w:val="bullet"/>
      <w:start w:val="1"/>
    </w:lvl>
  </w:abstractNum>
  <w:abstractNum w:abstractNumId="81">
    <w:nsid w:val="2E22FBB7"/>
    <w:multiLevelType w:val="hybridMultilevel"/>
    <w:lvl w:ilvl="0">
      <w:lvlJc w:val="left"/>
      <w:lvlText w:val="§"/>
      <w:numFmt w:val="bullet"/>
      <w:start w:val="1"/>
    </w:lvl>
  </w:abstractNum>
  <w:abstractNum w:abstractNumId="82">
    <w:nsid w:val="29934699"/>
    <w:multiLevelType w:val="hybridMultilevel"/>
    <w:lvl w:ilvl="0">
      <w:lvlJc w:val="left"/>
      <w:lvlText w:val="§"/>
      <w:numFmt w:val="bullet"/>
      <w:start w:val="1"/>
    </w:lvl>
  </w:abstractNum>
  <w:abstractNum w:abstractNumId="83">
    <w:nsid w:val="77485850"/>
    <w:multiLevelType w:val="hybridMultilevel"/>
    <w:lvl w:ilvl="0">
      <w:lvlJc w:val="left"/>
      <w:lvlText w:val="§"/>
      <w:numFmt w:val="bullet"/>
      <w:start w:val="1"/>
    </w:lvl>
  </w:abstractNum>
  <w:abstractNum w:abstractNumId="84">
    <w:nsid w:val="744939A3"/>
    <w:multiLevelType w:val="hybridMultilevel"/>
    <w:lvl w:ilvl="0">
      <w:lvlJc w:val="left"/>
      <w:lvlText w:val="§"/>
      <w:numFmt w:val="bullet"/>
      <w:start w:val="1"/>
    </w:lvl>
  </w:abstractNum>
  <w:abstractNum w:abstractNumId="85">
    <w:nsid w:val="4FA0D2E3"/>
    <w:multiLevelType w:val="hybridMultilevel"/>
    <w:lvl w:ilvl="0">
      <w:lvlJc w:val="left"/>
      <w:lvlText w:val="§"/>
      <w:numFmt w:val="bullet"/>
      <w:start w:val="1"/>
    </w:lvl>
  </w:abstractNum>
  <w:abstractNum w:abstractNumId="86">
    <w:nsid w:val="6B1D2C14"/>
    <w:multiLevelType w:val="hybridMultilevel"/>
    <w:lvl w:ilvl="0">
      <w:lvlJc w:val="left"/>
      <w:lvlText w:val="(%1)"/>
      <w:numFmt w:val="decimal"/>
      <w:start w:val="1"/>
    </w:lvl>
  </w:abstractNum>
  <w:abstractNum w:abstractNumId="87">
    <w:nsid w:val="68B867D3"/>
    <w:multiLevelType w:val="hybridMultilevel"/>
    <w:lvl w:ilvl="0">
      <w:lvlJc w:val="left"/>
      <w:lvlText w:val="§"/>
      <w:numFmt w:val="bullet"/>
      <w:start w:val="1"/>
    </w:lvl>
  </w:abstractNum>
  <w:abstractNum w:abstractNumId="88">
    <w:nsid w:val="3F7F5DD9"/>
    <w:multiLevelType w:val="hybridMultilevel"/>
    <w:lvl w:ilvl="0">
      <w:lvlJc w:val="left"/>
      <w:lvlText w:val="§"/>
      <w:numFmt w:val="bullet"/>
      <w:start w:val="1"/>
    </w:lvl>
  </w:abstractNum>
  <w:abstractNum w:abstractNumId="89">
    <w:nsid w:val="2AE05A34"/>
    <w:multiLevelType w:val="hybridMultilevel"/>
    <w:lvl w:ilvl="0">
      <w:lvlJc w:val="left"/>
      <w:lvlText w:val="§"/>
      <w:numFmt w:val="bullet"/>
      <w:start w:val="1"/>
    </w:lvl>
  </w:abstractNum>
  <w:abstractNum w:abstractNumId="90">
    <w:nsid w:val="32794FF7"/>
    <w:multiLevelType w:val="hybridMultilevel"/>
    <w:lvl w:ilvl="0">
      <w:lvlJc w:val="left"/>
      <w:lvlText w:val="§"/>
      <w:numFmt w:val="bullet"/>
      <w:start w:val="1"/>
    </w:lvl>
  </w:abstractNum>
  <w:abstractNum w:abstractNumId="91">
    <w:nsid w:val="5454945E"/>
    <w:multiLevelType w:val="hybridMultilevel"/>
    <w:lvl w:ilvl="0">
      <w:lvlJc w:val="left"/>
      <w:lvlText w:val="§"/>
      <w:numFmt w:val="bullet"/>
      <w:start w:val="1"/>
    </w:lvl>
  </w:abstractNum>
  <w:abstractNum w:abstractNumId="92">
    <w:nsid w:val="4DEFDFA0"/>
    <w:multiLevelType w:val="hybridMultilevel"/>
    <w:lvl w:ilvl="0">
      <w:lvlJc w:val="left"/>
      <w:lvlText w:val="§"/>
      <w:numFmt w:val="bullet"/>
      <w:start w:val="1"/>
    </w:lvl>
  </w:abstractNum>
  <w:abstractNum w:abstractNumId="93">
    <w:nsid w:val="2123D5F2"/>
    <w:multiLevelType w:val="hybridMultilevel"/>
    <w:lvl w:ilvl="0">
      <w:lvlJc w:val="left"/>
      <w:lvlText w:val="§"/>
      <w:numFmt w:val="bullet"/>
      <w:start w:val="1"/>
    </w:lvl>
  </w:abstractNum>
  <w:abstractNum w:abstractNumId="94">
    <w:nsid w:val="135B8110"/>
    <w:multiLevelType w:val="hybridMultilevel"/>
    <w:lvl w:ilvl="0">
      <w:lvlJc w:val="left"/>
      <w:lvlText w:val="§"/>
      <w:numFmt w:val="bullet"/>
      <w:start w:val="1"/>
    </w:lvl>
  </w:abstractNum>
  <w:abstractNum w:abstractNumId="95">
    <w:nsid w:val="94927A8"/>
    <w:multiLevelType w:val="hybridMultilevel"/>
    <w:lvl w:ilvl="0">
      <w:lvlJc w:val="left"/>
      <w:lvlText w:val="§"/>
      <w:numFmt w:val="bullet"/>
      <w:start w:val="1"/>
    </w:lvl>
  </w:abstractNum>
  <w:abstractNum w:abstractNumId="96">
    <w:nsid w:val="DCDF8F6"/>
    <w:multiLevelType w:val="hybridMultilevel"/>
    <w:lvl w:ilvl="0">
      <w:lvlJc w:val="left"/>
      <w:lvlText w:val="§"/>
      <w:numFmt w:val="bullet"/>
      <w:start w:val="1"/>
    </w:lvl>
  </w:abstractNum>
  <w:abstractNum w:abstractNumId="97">
    <w:nsid w:val="52D7B105"/>
    <w:multiLevelType w:val="hybridMultilevel"/>
    <w:lvl w:ilvl="0">
      <w:lvlJc w:val="left"/>
      <w:lvlText w:val="§"/>
      <w:numFmt w:val="bullet"/>
      <w:start w:val="1"/>
    </w:lvl>
  </w:abstractNum>
  <w:abstractNum w:abstractNumId="98">
    <w:nsid w:val="2E8A6394"/>
    <w:multiLevelType w:val="hybridMultilevel"/>
    <w:lvl w:ilvl="0">
      <w:lvlJc w:val="left"/>
      <w:lvlText w:val="§"/>
      <w:numFmt w:val="bullet"/>
      <w:start w:val="1"/>
    </w:lvl>
  </w:abstractNum>
  <w:abstractNum w:abstractNumId="99">
    <w:nsid w:val="24E60401"/>
    <w:multiLevelType w:val="hybridMultilevel"/>
    <w:lvl w:ilvl="0">
      <w:lvlJc w:val="left"/>
      <w:lvlText w:val="(%1)"/>
      <w:numFmt w:val="decimal"/>
      <w:start w:val="1"/>
    </w:lvl>
  </w:abstractNum>
  <w:abstractNum w:abstractNumId="100">
    <w:nsid w:val="2A6AD9BE"/>
    <w:multiLevelType w:val="hybridMultilevel"/>
    <w:lvl w:ilvl="0">
      <w:lvlJc w:val="left"/>
      <w:lvlText w:val="§"/>
      <w:numFmt w:val="bullet"/>
      <w:start w:val="1"/>
    </w:lvl>
  </w:abstractNum>
  <w:abstractNum w:abstractNumId="101">
    <w:nsid w:val="BAAC1B4"/>
    <w:multiLevelType w:val="hybridMultilevel"/>
    <w:lvl w:ilvl="0">
      <w:lvlJc w:val="left"/>
      <w:lvlText w:val="%1"/>
      <w:numFmt w:val="lowerLetter"/>
      <w:start w:val="1"/>
    </w:lvl>
    <w:lvl w:ilvl="1">
      <w:lvlJc w:val="left"/>
      <w:lvlText w:val="(%2)"/>
      <w:numFmt w:val="lowerLetter"/>
      <w:start w:val="1"/>
    </w:lvl>
  </w:abstractNum>
  <w:abstractNum w:abstractNumId="102">
    <w:nsid w:val="36B2ACBC"/>
    <w:multiLevelType w:val="hybridMultilevel"/>
    <w:lvl w:ilvl="0">
      <w:lvlJc w:val="left"/>
      <w:lvlText w:val="(%1)"/>
      <w:numFmt w:val="lowerLetter"/>
      <w:start w:val="35"/>
    </w:lvl>
    <w:lvl w:ilvl="1">
      <w:lvlJc w:val="left"/>
      <w:lvlText w:val="(%2)"/>
      <w:numFmt w:val="lowerLetter"/>
      <w:start w:val="2"/>
    </w:lvl>
  </w:abstractNum>
  <w:abstractNum w:abstractNumId="103">
    <w:nsid w:val="779D8544"/>
    <w:multiLevelType w:val="hybridMultilevel"/>
    <w:lvl w:ilvl="0">
      <w:lvlJc w:val="left"/>
      <w:lvlText w:val="(%1)"/>
      <w:numFmt w:val="lowerLetter"/>
      <w:start w:val="2"/>
    </w:lvl>
    <w:lvl w:ilvl="1">
      <w:lvlJc w:val="left"/>
      <w:lvlText w:val="%2"/>
      <w:numFmt w:val="lowerLetter"/>
      <w:start w:val="1"/>
    </w:lvl>
  </w:abstractNum>
  <w:abstractNum w:abstractNumId="104">
    <w:nsid w:val="4AB26E78"/>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05">
    <w:nsid w:val="21FAA2F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6">
    <w:nsid w:val="5451CF4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07">
    <w:nsid w:val="6181EF69"/>
    <w:multiLevelType w:val="hybridMultilevel"/>
    <w:lvl w:ilvl="0">
      <w:lvlJc w:val="left"/>
      <w:lvlText w:val="(%1)"/>
      <w:numFmt w:val="lowerLetter"/>
      <w:start w:val="1"/>
    </w:lvl>
    <w:lvl w:ilvl="1">
      <w:lvlJc w:val="left"/>
      <w:lvlText w:val="(%2)"/>
      <w:numFmt w:val="lowerRoman"/>
      <w:start w:val="1"/>
    </w:lvl>
  </w:abstractNum>
  <w:abstractNum w:abstractNumId="108">
    <w:nsid w:val="3E6400E6"/>
    <w:multiLevelType w:val="hybridMultilevel"/>
    <w:lvl w:ilvl="0">
      <w:lvlJc w:val="left"/>
      <w:lvlText w:val="(%1)"/>
      <w:numFmt w:val="lowerRoman"/>
      <w:start w:val="5"/>
    </w:lvl>
  </w:abstractNum>
  <w:abstractNum w:abstractNumId="109">
    <w:nsid w:val="14217E23"/>
    <w:multiLevelType w:val="hybridMultilevel"/>
    <w:lvl w:ilvl="0">
      <w:lvlJc w:val="left"/>
      <w:lvlText w:val="(%1)"/>
      <w:numFmt w:val="lowerLetter"/>
      <w:start w:val="1"/>
    </w:lvl>
  </w:abstractNum>
  <w:abstractNum w:abstractNumId="110">
    <w:nsid w:val="710757D0"/>
    <w:multiLevelType w:val="hybridMultilevel"/>
    <w:lvl w:ilvl="0">
      <w:lvlJc w:val="left"/>
      <w:lvlText w:val="(%1)"/>
      <w:numFmt w:val="lowerLetter"/>
      <w:start w:val="1"/>
    </w:lvl>
  </w:abstractNum>
  <w:abstractNum w:abstractNumId="111">
    <w:nsid w:val="5015CD1A"/>
    <w:multiLevelType w:val="hybridMultilevel"/>
    <w:lvl w:ilvl="0">
      <w:lvlJc w:val="left"/>
      <w:lvlText w:val="(%1)"/>
      <w:numFmt w:val="lowerLetter"/>
      <w:start w:val="4"/>
    </w:lvl>
  </w:abstractNum>
  <w:abstractNum w:abstractNumId="112">
    <w:nsid w:val="424479DA"/>
    <w:multiLevelType w:val="hybridMultilevel"/>
    <w:lvl w:ilvl="0">
      <w:lvlJc w:val="left"/>
      <w:lvlText w:val="(%1)"/>
      <w:numFmt w:val="lowerLetter"/>
      <w:start w:val="1"/>
    </w:lvl>
  </w:abstractNum>
  <w:abstractNum w:abstractNumId="113">
    <w:nsid w:val="1A9A9E69"/>
    <w:multiLevelType w:val="hybridMultilevel"/>
    <w:lvl w:ilvl="0">
      <w:lvlJc w:val="left"/>
      <w:lvlText w:val="(%1)"/>
      <w:numFmt w:val="lowerLetter"/>
      <w:start w:val="4"/>
    </w:lvl>
  </w:abstractNum>
  <w:abstractNum w:abstractNumId="114">
    <w:nsid w:val="475E256A"/>
    <w:multiLevelType w:val="hybridMultilevel"/>
    <w:lvl w:ilvl="0">
      <w:lvlJc w:val="left"/>
      <w:lvlText w:val="(%1)"/>
      <w:numFmt w:val="lowerLetter"/>
      <w:start w:val="1"/>
    </w:lvl>
    <w:lvl w:ilvl="1">
      <w:lvlJc w:val="left"/>
      <w:lvlText w:val="(%2)"/>
      <w:numFmt w:val="lowerRoman"/>
      <w:start w:val="1"/>
    </w:lvl>
  </w:abstractNum>
  <w:abstractNum w:abstractNumId="115">
    <w:nsid w:val="368DB37E"/>
    <w:multiLevelType w:val="hybridMultilevel"/>
    <w:lvl w:ilvl="0">
      <w:lvlJc w:val="left"/>
      <w:lvlText w:val="(%1)"/>
      <w:numFmt w:val="lowerLetter"/>
      <w:start w:val="3"/>
    </w:lvl>
    <w:lvl w:ilvl="1">
      <w:lvlJc w:val="left"/>
      <w:lvlText w:val="(%2)"/>
      <w:numFmt w:val="lowerRoman"/>
      <w:start w:val="1"/>
    </w:lvl>
  </w:abstractNum>
  <w:abstractNum w:abstractNumId="116">
    <w:nsid w:val="6A3B714C"/>
    <w:multiLevelType w:val="hybridMultilevel"/>
    <w:lvl w:ilvl="0">
      <w:lvlJc w:val="left"/>
      <w:lvlText w:val="(%1)"/>
      <w:numFmt w:val="lowerLetter"/>
      <w:start w:val="1"/>
    </w:lvl>
  </w:abstractNum>
  <w:abstractNum w:abstractNumId="117">
    <w:nsid w:val="327B517E"/>
    <w:multiLevelType w:val="hybridMultilevel"/>
    <w:lvl w:ilvl="0">
      <w:lvlJc w:val="left"/>
      <w:lvlText w:val="(%1)"/>
      <w:numFmt w:val="lowerLetter"/>
      <w:start w:val="4"/>
    </w:lvl>
  </w:abstractNum>
  <w:abstractNum w:abstractNumId="118">
    <w:nsid w:val="1F461B51"/>
    <w:multiLevelType w:val="hybridMultilevel"/>
    <w:lvl w:ilvl="0">
      <w:lvlJc w:val="left"/>
      <w:lvlText w:val="(%1)"/>
      <w:numFmt w:val="lowerLetter"/>
      <w:start w:val="1"/>
    </w:lvl>
  </w:abstractNum>
  <w:abstractNum w:abstractNumId="119">
    <w:nsid w:val="29BACF25"/>
    <w:multiLevelType w:val="hybridMultilevel"/>
    <w:lvl w:ilvl="0">
      <w:lvlJc w:val="left"/>
      <w:lvlText w:val="(%1)"/>
      <w:numFmt w:val="lowerLetter"/>
      <w:start w:val="5"/>
    </w:lvl>
  </w:abstractNum>
  <w:abstractNum w:abstractNumId="120">
    <w:nsid w:val="5D5BABB3"/>
    <w:multiLevelType w:val="hybridMultilevel"/>
    <w:lvl w:ilvl="0">
      <w:lvlJc w:val="left"/>
      <w:lvlText w:val="(%1)"/>
      <w:numFmt w:val="lowerLetter"/>
      <w:start w:val="1"/>
    </w:lvl>
  </w:abstractNum>
  <w:abstractNum w:abstractNumId="121">
    <w:nsid w:val="51BF6B48"/>
    <w:multiLevelType w:val="hybridMultilevel"/>
    <w:lvl w:ilvl="0">
      <w:lvlJc w:val="left"/>
      <w:lvlText w:val="(%1)"/>
      <w:numFmt w:val="lowerLetter"/>
      <w:start w:val="1"/>
    </w:lvl>
  </w:abstractNum>
  <w:abstractNum w:abstractNumId="122">
    <w:nsid w:val="7E0F6384"/>
    <w:multiLevelType w:val="hybridMultilevel"/>
    <w:lvl w:ilvl="0">
      <w:lvlJc w:val="left"/>
      <w:lvlText w:val="(%1)"/>
      <w:numFmt w:val="lowerLetter"/>
      <w:start w:val="5"/>
    </w:lvl>
  </w:abstractNum>
  <w:abstractNum w:abstractNumId="123">
    <w:nsid w:val="2B4B8B53"/>
    <w:multiLevelType w:val="hybridMultilevel"/>
    <w:lvl w:ilvl="0">
      <w:lvlJc w:val="left"/>
      <w:lvlText w:val="(%1)"/>
      <w:numFmt w:val="lowerLetter"/>
      <w:start w:val="1"/>
    </w:lvl>
  </w:abstractNum>
  <w:abstractNum w:abstractNumId="124">
    <w:nsid w:val="72E3413A"/>
    <w:multiLevelType w:val="hybridMultilevel"/>
    <w:lvl w:ilvl="0">
      <w:lvlJc w:val="left"/>
      <w:lvlText w:val="(%1)"/>
      <w:numFmt w:val="lowerLetter"/>
      <w:start w:val="1"/>
    </w:lvl>
  </w:abstractNum>
  <w:abstractNum w:abstractNumId="125">
    <w:nsid w:val="116AE494"/>
    <w:multiLevelType w:val="hybridMultilevel"/>
    <w:lvl w:ilvl="0">
      <w:lvlJc w:val="left"/>
      <w:lvlText w:val="(%1)"/>
      <w:numFmt w:val="lowerLetter"/>
      <w:start w:val="1"/>
    </w:lvl>
  </w:abstractNum>
  <w:abstractNum w:abstractNumId="126">
    <w:nsid w:val="3494B2FB"/>
    <w:multiLevelType w:val="hybridMultilevel"/>
    <w:lvl w:ilvl="0">
      <w:lvlJc w:val="left"/>
      <w:lvlText w:val="(%1)"/>
      <w:numFmt w:val="lowerLetter"/>
      <w:start w:val="2"/>
    </w:lvl>
  </w:abstractNum>
  <w:abstractNum w:abstractNumId="127">
    <w:nsid w:val="B13A31"/>
    <w:multiLevelType w:val="hybridMultilevel"/>
    <w:lvl w:ilvl="0">
      <w:lvlJc w:val="left"/>
      <w:lvlText w:val="%1"/>
      <w:numFmt w:val="lowerLetter"/>
      <w:start w:val="1"/>
    </w:lvl>
    <w:lvl w:ilvl="1">
      <w:lvlJc w:val="left"/>
      <w:lvlText w:val="(%2)"/>
      <w:numFmt w:val="lowerLetter"/>
      <w:start w:val="1"/>
    </w:lvl>
  </w:abstractNum>
  <w:abstractNum w:abstractNumId="128">
    <w:nsid w:val="64429599"/>
    <w:multiLevelType w:val="hybridMultilevel"/>
    <w:lvl w:ilvl="0">
      <w:lvlJc w:val="left"/>
      <w:lvlText w:val="(%1)"/>
      <w:numFmt w:val="lowerLetter"/>
      <w:start w:val="35"/>
    </w:lvl>
    <w:lvl w:ilvl="1">
      <w:lvlJc w:val="left"/>
      <w:lvlText w:val="(%2)"/>
      <w:numFmt w:val="lowerLetter"/>
      <w:start w:val="2"/>
    </w:lvl>
  </w:abstractNum>
  <w:abstractNum w:abstractNumId="129">
    <w:nsid w:val="631F1690"/>
    <w:multiLevelType w:val="hybridMultilevel"/>
    <w:lvl w:ilvl="0">
      <w:lvlJc w:val="left"/>
      <w:lvlText w:val="(%1)"/>
      <w:numFmt w:val="lowerLetter"/>
      <w:start w:val="2"/>
    </w:lvl>
    <w:lvl w:ilvl="1">
      <w:lvlJc w:val="left"/>
      <w:lvlText w:val="%2"/>
      <w:numFmt w:val="lowerLetter"/>
      <w:start w:val="1"/>
    </w:lvl>
  </w:abstractNum>
  <w:abstractNum w:abstractNumId="130">
    <w:nsid w:val="25973E32"/>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31">
    <w:nsid w:val="EAD6F5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2">
    <w:nsid w:val="6EC9D84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33">
    <w:nsid w:val="5C49EAEE"/>
    <w:multiLevelType w:val="hybridMultilevel"/>
    <w:lvl w:ilvl="0">
      <w:lvlJc w:val="left"/>
      <w:lvlText w:val="(%1)"/>
      <w:numFmt w:val="lowerLetter"/>
      <w:start w:val="1"/>
    </w:lvl>
    <w:lvl w:ilvl="1">
      <w:lvlJc w:val="left"/>
      <w:lvlText w:val="(%2)"/>
      <w:numFmt w:val="lowerRoman"/>
      <w:start w:val="1"/>
    </w:lvl>
  </w:abstractNum>
  <w:abstractNum w:abstractNumId="134">
    <w:nsid w:val="64AF49B"/>
    <w:multiLevelType w:val="hybridMultilevel"/>
    <w:lvl w:ilvl="0">
      <w:lvlJc w:val="left"/>
      <w:lvlText w:val="(%1)"/>
      <w:numFmt w:val="lowerRoman"/>
      <w:start w:val="5"/>
    </w:lvl>
  </w:abstractNum>
  <w:abstractNum w:abstractNumId="135">
    <w:nsid w:val="397C46BC"/>
    <w:multiLevelType w:val="hybridMultilevel"/>
    <w:lvl w:ilvl="0">
      <w:lvlJc w:val="left"/>
      <w:lvlText w:val="(%1)"/>
      <w:numFmt w:val="lowerLetter"/>
      <w:start w:val="1"/>
    </w:lvl>
  </w:abstractNum>
  <w:abstractNum w:abstractNumId="136">
    <w:nsid w:val="7E448DE9"/>
    <w:multiLevelType w:val="hybridMultilevel"/>
    <w:lvl w:ilvl="0">
      <w:lvlJc w:val="left"/>
      <w:lvlText w:val="(%1)"/>
      <w:numFmt w:val="lowerLetter"/>
      <w:start w:val="1"/>
    </w:lvl>
  </w:abstractNum>
  <w:abstractNum w:abstractNumId="137">
    <w:nsid w:val="5A9CC3E5"/>
    <w:multiLevelType w:val="hybridMultilevel"/>
    <w:lvl w:ilvl="0">
      <w:lvlJc w:val="left"/>
      <w:lvlText w:val="(%1)"/>
      <w:numFmt w:val="lowerLetter"/>
      <w:start w:val="4"/>
    </w:lvl>
  </w:abstractNum>
  <w:abstractNum w:abstractNumId="138">
    <w:nsid w:val="1AFE3625"/>
    <w:multiLevelType w:val="hybridMultilevel"/>
    <w:lvl w:ilvl="0">
      <w:lvlJc w:val="left"/>
      <w:lvlText w:val="(%1)"/>
      <w:numFmt w:val="lowerLetter"/>
      <w:start w:val="1"/>
    </w:lvl>
  </w:abstractNum>
  <w:abstractNum w:abstractNumId="139">
    <w:nsid w:val="3CA88ECF"/>
    <w:multiLevelType w:val="hybridMultilevel"/>
    <w:lvl w:ilvl="0">
      <w:lvlJc w:val="left"/>
      <w:lvlText w:val="(%1)"/>
      <w:numFmt w:val="lowerLetter"/>
      <w:start w:val="4"/>
    </w:lvl>
  </w:abstractNum>
  <w:abstractNum w:abstractNumId="140">
    <w:nsid w:val="6EBE4208"/>
    <w:multiLevelType w:val="hybridMultilevel"/>
    <w:lvl w:ilvl="0">
      <w:lvlJc w:val="left"/>
      <w:lvlText w:val="(%1)"/>
      <w:numFmt w:val="lowerLetter"/>
      <w:start w:val="1"/>
    </w:lvl>
    <w:lvl w:ilvl="1">
      <w:lvlJc w:val="left"/>
      <w:lvlText w:val="(%2)"/>
      <w:numFmt w:val="lowerRoman"/>
      <w:start w:val="1"/>
    </w:lvl>
  </w:abstractNum>
  <w:abstractNum w:abstractNumId="141">
    <w:nsid w:val="C058DF5"/>
    <w:multiLevelType w:val="hybridMultilevel"/>
    <w:lvl w:ilvl="0">
      <w:lvlJc w:val="left"/>
      <w:lvlText w:val="(%1)"/>
      <w:numFmt w:val="lowerLetter"/>
      <w:start w:val="3"/>
    </w:lvl>
    <w:lvl w:ilvl="1">
      <w:lvlJc w:val="left"/>
      <w:lvlText w:val="(%2)"/>
      <w:numFmt w:val="lowerRoman"/>
      <w:start w:val="1"/>
    </w:lvl>
  </w:abstractNum>
  <w:abstractNum w:abstractNumId="142">
    <w:nsid w:val="CBE5BE9"/>
    <w:multiLevelType w:val="hybridMultilevel"/>
    <w:lvl w:ilvl="0">
      <w:lvlJc w:val="left"/>
      <w:lvlText w:val="(%1)"/>
      <w:numFmt w:val="lowerLetter"/>
      <w:start w:val="1"/>
    </w:lvl>
  </w:abstractNum>
  <w:abstractNum w:abstractNumId="143">
    <w:nsid w:val="3102BBE2"/>
    <w:multiLevelType w:val="hybridMultilevel"/>
    <w:lvl w:ilvl="0">
      <w:lvlJc w:val="left"/>
      <w:lvlText w:val="(%1)"/>
      <w:numFmt w:val="lowerLetter"/>
      <w:start w:val="4"/>
    </w:lvl>
  </w:abstractNum>
  <w:abstractNum w:abstractNumId="144">
    <w:nsid w:val="26A02C5E"/>
    <w:multiLevelType w:val="hybridMultilevel"/>
    <w:lvl w:ilvl="0">
      <w:lvlJc w:val="left"/>
      <w:lvlText w:val="(%1)"/>
      <w:numFmt w:val="lowerLetter"/>
      <w:start w:val="1"/>
    </w:lvl>
  </w:abstractNum>
  <w:abstractNum w:abstractNumId="145">
    <w:nsid w:val="541C8153"/>
    <w:multiLevelType w:val="hybridMultilevel"/>
    <w:lvl w:ilvl="0">
      <w:lvlJc w:val="left"/>
      <w:lvlText w:val="(%1)"/>
      <w:numFmt w:val="lowerLetter"/>
      <w:start w:val="5"/>
    </w:lvl>
  </w:abstractNum>
  <w:abstractNum w:abstractNumId="146">
    <w:nsid w:val="67906F60"/>
    <w:multiLevelType w:val="hybridMultilevel"/>
    <w:lvl w:ilvl="0">
      <w:lvlJc w:val="left"/>
      <w:lvlText w:val="(%1)"/>
      <w:numFmt w:val="lowerLetter"/>
      <w:start w:val="1"/>
    </w:lvl>
  </w:abstractNum>
  <w:abstractNum w:abstractNumId="147">
    <w:nsid w:val="10DB9DAA"/>
    <w:multiLevelType w:val="hybridMultilevel"/>
    <w:lvl w:ilvl="0">
      <w:lvlJc w:val="left"/>
      <w:lvlText w:val="(%1)"/>
      <w:numFmt w:val="lowerLetter"/>
      <w:start w:val="1"/>
    </w:lvl>
  </w:abstractNum>
  <w:abstractNum w:abstractNumId="148">
    <w:nsid w:val="697D2D2"/>
    <w:multiLevelType w:val="hybridMultilevel"/>
    <w:lvl w:ilvl="0">
      <w:lvlJc w:val="left"/>
      <w:lvlText w:val="(%1)"/>
      <w:numFmt w:val="lowerLetter"/>
      <w:start w:val="5"/>
    </w:lvl>
  </w:abstractNum>
  <w:abstractNum w:abstractNumId="149">
    <w:nsid w:val="6D68AB2"/>
    <w:multiLevelType w:val="hybridMultilevel"/>
    <w:lvl w:ilvl="0">
      <w:lvlJc w:val="left"/>
      <w:lvlText w:val="(%1)"/>
      <w:numFmt w:val="lowerLetter"/>
      <w:start w:val="1"/>
    </w:lvl>
  </w:abstractNum>
  <w:abstractNum w:abstractNumId="150">
    <w:nsid w:val="3A966CD0"/>
    <w:multiLevelType w:val="hybridMultilevel"/>
    <w:lvl w:ilvl="0">
      <w:lvlJc w:val="left"/>
      <w:lvlText w:val="(%1)"/>
      <w:numFmt w:val="lowerLetter"/>
      <w:start w:val="1"/>
    </w:lvl>
  </w:abstractNum>
  <w:abstractNum w:abstractNumId="151">
    <w:nsid w:val="63F37E85"/>
    <w:multiLevelType w:val="hybridMultilevel"/>
    <w:lvl w:ilvl="0">
      <w:lvlJc w:val="left"/>
      <w:lvlText w:val="(%1)"/>
      <w:numFmt w:val="lowerLetter"/>
      <w:start w:val="1"/>
    </w:lvl>
  </w:abstractNum>
  <w:abstractNum w:abstractNumId="152">
    <w:nsid w:val="5895F5FA"/>
    <w:multiLevelType w:val="hybridMultilevel"/>
    <w:lvl w:ilvl="0">
      <w:lvlJc w:val="left"/>
      <w:lvlText w:val="(%1)"/>
      <w:numFmt w:val="lowerLetter"/>
      <w:start w:val="2"/>
    </w:lvl>
  </w:abstractNum>
  <w:abstractNum w:abstractNumId="153">
    <w:nsid w:val="38A5D054"/>
    <w:multiLevelType w:val="hybridMultilevel"/>
    <w:lvl w:ilvl="0">
      <w:lvlJc w:val="left"/>
      <w:lvlText w:val="%1"/>
      <w:numFmt w:val="lowerLetter"/>
      <w:start w:val="1"/>
    </w:lvl>
    <w:lvl w:ilvl="1">
      <w:lvlJc w:val="left"/>
      <w:lvlText w:val="(%2)"/>
      <w:numFmt w:val="lowerLetter"/>
      <w:start w:val="1"/>
    </w:lvl>
  </w:abstractNum>
  <w:abstractNum w:abstractNumId="154">
    <w:nsid w:val="F3F09D8"/>
    <w:multiLevelType w:val="hybridMultilevel"/>
    <w:lvl w:ilvl="0">
      <w:lvlJc w:val="left"/>
      <w:lvlText w:val="(%1)"/>
      <w:numFmt w:val="lowerLetter"/>
      <w:start w:val="35"/>
    </w:lvl>
    <w:lvl w:ilvl="1">
      <w:lvlJc w:val="left"/>
      <w:lvlText w:val="(%2)"/>
      <w:numFmt w:val="lowerLetter"/>
      <w:start w:val="2"/>
    </w:lvl>
  </w:abstractNum>
  <w:abstractNum w:abstractNumId="155">
    <w:nsid w:val="4B793735"/>
    <w:multiLevelType w:val="hybridMultilevel"/>
    <w:lvl w:ilvl="0">
      <w:lvlJc w:val="left"/>
      <w:lvlText w:val="(%1)"/>
      <w:numFmt w:val="lowerLetter"/>
      <w:start w:val="2"/>
    </w:lvl>
    <w:lvl w:ilvl="1">
      <w:lvlJc w:val="left"/>
      <w:lvlText w:val="%2"/>
      <w:numFmt w:val="lowerLetter"/>
      <w:start w:val="1"/>
    </w:lvl>
  </w:abstractNum>
  <w:abstractNum w:abstractNumId="156">
    <w:nsid w:val="4A10B4E8"/>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57">
    <w:nsid w:val="43D3BCD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8">
    <w:nsid w:val="4C2A7166"/>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59">
    <w:nsid w:val="2E534A82"/>
    <w:multiLevelType w:val="hybridMultilevel"/>
    <w:lvl w:ilvl="0">
      <w:lvlJc w:val="left"/>
      <w:lvlText w:val="(%1)"/>
      <w:numFmt w:val="lowerLetter"/>
      <w:start w:val="1"/>
    </w:lvl>
    <w:lvl w:ilvl="1">
      <w:lvlJc w:val="left"/>
      <w:lvlText w:val="(%2)"/>
      <w:numFmt w:val="lowerRoman"/>
      <w:start w:val="1"/>
    </w:lvl>
  </w:abstractNum>
  <w:abstractNum w:abstractNumId="160">
    <w:nsid w:val="26F2D364"/>
    <w:multiLevelType w:val="hybridMultilevel"/>
    <w:lvl w:ilvl="0">
      <w:lvlJc w:val="left"/>
      <w:lvlText w:val="(%1)"/>
      <w:numFmt w:val="lowerRoman"/>
      <w:start w:val="5"/>
    </w:lvl>
  </w:abstractNum>
  <w:abstractNum w:abstractNumId="161">
    <w:nsid w:val="71C1AF98"/>
    <w:multiLevelType w:val="hybridMultilevel"/>
    <w:lvl w:ilvl="0">
      <w:lvlJc w:val="left"/>
      <w:lvlText w:val="(%1)"/>
      <w:numFmt w:val="lowerLetter"/>
      <w:start w:val="1"/>
    </w:lvl>
  </w:abstractNum>
  <w:abstractNum w:abstractNumId="162">
    <w:nsid w:val="3D00B9D9"/>
    <w:multiLevelType w:val="hybridMultilevel"/>
    <w:lvl w:ilvl="0">
      <w:lvlJc w:val="left"/>
      <w:lvlText w:val="(%1)"/>
      <w:numFmt w:val="lowerLetter"/>
      <w:start w:val="1"/>
    </w:lvl>
  </w:abstractNum>
  <w:abstractNum w:abstractNumId="163">
    <w:nsid w:val="15BCABA8"/>
    <w:multiLevelType w:val="hybridMultilevel"/>
    <w:lvl w:ilvl="0">
      <w:lvlJc w:val="left"/>
      <w:lvlText w:val="(%1)"/>
      <w:numFmt w:val="lowerLetter"/>
      <w:start w:val="4"/>
    </w:lvl>
  </w:abstractNum>
  <w:abstractNum w:abstractNumId="164">
    <w:nsid w:val="4E0B9A87"/>
    <w:multiLevelType w:val="hybridMultilevel"/>
    <w:lvl w:ilvl="0">
      <w:lvlJc w:val="left"/>
      <w:lvlText w:val="(%1)"/>
      <w:numFmt w:val="lowerLetter"/>
      <w:start w:val="1"/>
    </w:lvl>
  </w:abstractNum>
  <w:abstractNum w:abstractNumId="165">
    <w:nsid w:val="434BAE75"/>
    <w:multiLevelType w:val="hybridMultilevel"/>
    <w:lvl w:ilvl="0">
      <w:lvlJc w:val="left"/>
      <w:lvlText w:val="(%1)"/>
      <w:numFmt w:val="lowerLetter"/>
      <w:start w:val="4"/>
    </w:lvl>
  </w:abstractNum>
  <w:abstractNum w:abstractNumId="166">
    <w:nsid w:val="4F38F265"/>
    <w:multiLevelType w:val="hybridMultilevel"/>
    <w:lvl w:ilvl="0">
      <w:lvlJc w:val="left"/>
      <w:lvlText w:val="(%1)"/>
      <w:numFmt w:val="lowerLetter"/>
      <w:start w:val="1"/>
    </w:lvl>
    <w:lvl w:ilvl="1">
      <w:lvlJc w:val="left"/>
      <w:lvlText w:val="(%2)"/>
      <w:numFmt w:val="lowerRoman"/>
      <w:start w:val="1"/>
    </w:lvl>
  </w:abstractNum>
  <w:abstractNum w:abstractNumId="167">
    <w:nsid w:val="4C502870"/>
    <w:multiLevelType w:val="hybridMultilevel"/>
    <w:lvl w:ilvl="0">
      <w:lvlJc w:val="left"/>
      <w:lvlText w:val="(%1)"/>
      <w:numFmt w:val="lowerLetter"/>
      <w:start w:val="3"/>
    </w:lvl>
    <w:lvl w:ilvl="1">
      <w:lvlJc w:val="left"/>
      <w:lvlText w:val="(%2)"/>
      <w:numFmt w:val="lowerRoman"/>
      <w:start w:val="1"/>
    </w:lvl>
  </w:abstractNum>
  <w:abstractNum w:abstractNumId="168">
    <w:nsid w:val="1DE8725A"/>
    <w:multiLevelType w:val="hybridMultilevel"/>
    <w:lvl w:ilvl="0">
      <w:lvlJc w:val="left"/>
      <w:lvlText w:val="(%1)"/>
      <w:numFmt w:val="lowerLetter"/>
      <w:start w:val="1"/>
    </w:lvl>
  </w:abstractNum>
  <w:abstractNum w:abstractNumId="169">
    <w:nsid w:val="6A37288A"/>
    <w:multiLevelType w:val="hybridMultilevel"/>
    <w:lvl w:ilvl="0">
      <w:lvlJc w:val="left"/>
      <w:lvlText w:val="(%1)"/>
      <w:numFmt w:val="lowerLetter"/>
      <w:start w:val="4"/>
    </w:lvl>
  </w:abstractNum>
  <w:abstractNum w:abstractNumId="170">
    <w:nsid w:val="8F8B73F"/>
    <w:multiLevelType w:val="hybridMultilevel"/>
    <w:lvl w:ilvl="0">
      <w:lvlJc w:val="left"/>
      <w:lvlText w:val="(%1)"/>
      <w:numFmt w:val="lowerLetter"/>
      <w:start w:val="1"/>
    </w:lvl>
  </w:abstractNum>
  <w:abstractNum w:abstractNumId="171">
    <w:nsid w:val="CA6B462"/>
    <w:multiLevelType w:val="hybridMultilevel"/>
    <w:lvl w:ilvl="0">
      <w:lvlJc w:val="left"/>
      <w:lvlText w:val="(%1)"/>
      <w:numFmt w:val="lowerLetter"/>
      <w:start w:val="5"/>
    </w:lvl>
  </w:abstractNum>
  <w:abstractNum w:abstractNumId="172">
    <w:nsid w:val="763CB680"/>
    <w:multiLevelType w:val="hybridMultilevel"/>
    <w:lvl w:ilvl="0">
      <w:lvlJc w:val="left"/>
      <w:lvlText w:val="(%1)"/>
      <w:numFmt w:val="lowerLetter"/>
      <w:start w:val="1"/>
    </w:lvl>
  </w:abstractNum>
  <w:abstractNum w:abstractNumId="173">
    <w:nsid w:val="15B71329"/>
    <w:multiLevelType w:val="hybridMultilevel"/>
    <w:lvl w:ilvl="0">
      <w:lvlJc w:val="left"/>
      <w:lvlText w:val="(%1)"/>
      <w:numFmt w:val="lowerLetter"/>
      <w:start w:val="1"/>
    </w:lvl>
  </w:abstractNum>
  <w:abstractNum w:abstractNumId="174">
    <w:nsid w:val="3DA97044"/>
    <w:multiLevelType w:val="hybridMultilevel"/>
    <w:lvl w:ilvl="0">
      <w:lvlJc w:val="left"/>
      <w:lvlText w:val="(%1)"/>
      <w:numFmt w:val="lowerLetter"/>
      <w:start w:val="5"/>
    </w:lvl>
  </w:abstractNum>
  <w:abstractNum w:abstractNumId="175">
    <w:nsid w:val="1CDCE2DE"/>
    <w:multiLevelType w:val="hybridMultilevel"/>
    <w:lvl w:ilvl="0">
      <w:lvlJc w:val="left"/>
      <w:lvlText w:val="(%1)"/>
      <w:numFmt w:val="lowerLetter"/>
      <w:start w:val="1"/>
    </w:lvl>
  </w:abstractNum>
  <w:abstractNum w:abstractNumId="176">
    <w:nsid w:val="69D3947C"/>
    <w:multiLevelType w:val="hybridMultilevel"/>
    <w:lvl w:ilvl="0">
      <w:lvlJc w:val="left"/>
      <w:lvlText w:val="(%1)"/>
      <w:numFmt w:val="lowerLetter"/>
      <w:start w:val="1"/>
    </w:lvl>
  </w:abstractNum>
  <w:abstractNum w:abstractNumId="177">
    <w:nsid w:val="2539DFA5"/>
    <w:multiLevelType w:val="hybridMultilevel"/>
    <w:lvl w:ilvl="0">
      <w:lvlJc w:val="left"/>
      <w:lvlText w:val="(%1)"/>
      <w:numFmt w:val="lowerLetter"/>
      <w:start w:val="1"/>
    </w:lvl>
  </w:abstractNum>
  <w:abstractNum w:abstractNumId="178">
    <w:nsid w:val="2DB88089"/>
    <w:multiLevelType w:val="hybridMultilevel"/>
    <w:lvl w:ilvl="0">
      <w:lvlJc w:val="left"/>
      <w:lvlText w:val="(%1)"/>
      <w:numFmt w:val="lowerLetter"/>
      <w:start w:val="2"/>
    </w:lvl>
  </w:abstractNum>
  <w:abstractNum w:abstractNumId="179">
    <w:nsid w:val="706B674E"/>
    <w:multiLevelType w:val="hybridMultilevel"/>
    <w:lvl w:ilvl="0">
      <w:lvlJc w:val="left"/>
      <w:lvlText w:val="%1"/>
      <w:numFmt w:val="lowerLetter"/>
      <w:start w:val="1"/>
    </w:lvl>
    <w:lvl w:ilvl="1">
      <w:lvlJc w:val="left"/>
      <w:lvlText w:val="(%2)"/>
      <w:numFmt w:val="lowerLetter"/>
      <w:start w:val="1"/>
    </w:lvl>
  </w:abstractNum>
  <w:abstractNum w:abstractNumId="180">
    <w:nsid w:val="2C106A57"/>
    <w:multiLevelType w:val="hybridMultilevel"/>
    <w:lvl w:ilvl="0">
      <w:lvlJc w:val="left"/>
      <w:lvlText w:val="(%1)"/>
      <w:numFmt w:val="lowerLetter"/>
      <w:start w:val="35"/>
    </w:lvl>
    <w:lvl w:ilvl="1">
      <w:lvlJc w:val="left"/>
      <w:lvlText w:val="(%2)"/>
      <w:numFmt w:val="lowerLetter"/>
      <w:start w:val="2"/>
    </w:lvl>
  </w:abstractNum>
  <w:abstractNum w:abstractNumId="181">
    <w:nsid w:val="684EED59"/>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82">
    <w:nsid w:val="545EE5D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83">
    <w:nsid w:val="4A66051"/>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84">
    <w:nsid w:val="20F4BDAD"/>
    <w:multiLevelType w:val="hybridMultilevel"/>
    <w:lvl w:ilvl="0">
      <w:lvlJc w:val="left"/>
      <w:lvlText w:val="(%1)"/>
      <w:numFmt w:val="lowerLetter"/>
      <w:start w:val="1"/>
    </w:lvl>
    <w:lvl w:ilvl="1">
      <w:lvlJc w:val="left"/>
      <w:lvlText w:val="(%2)"/>
      <w:numFmt w:val="lowerRoman"/>
      <w:start w:val="1"/>
    </w:lvl>
  </w:abstractNum>
  <w:abstractNum w:abstractNumId="185">
    <w:nsid w:val="639DEFAC"/>
    <w:multiLevelType w:val="hybridMultilevel"/>
    <w:lvl w:ilvl="0">
      <w:lvlJc w:val="left"/>
      <w:lvlText w:val="(%1)"/>
      <w:numFmt w:val="lowerRoman"/>
      <w:start w:val="5"/>
    </w:lvl>
  </w:abstractNum>
  <w:abstractNum w:abstractNumId="186">
    <w:nsid w:val="501F9786"/>
    <w:multiLevelType w:val="hybridMultilevel"/>
    <w:lvl w:ilvl="0">
      <w:lvlJc w:val="left"/>
      <w:lvlText w:val="(%1)"/>
      <w:numFmt w:val="lowerLetter"/>
      <w:start w:val="1"/>
    </w:lvl>
  </w:abstractNum>
  <w:abstractNum w:abstractNumId="187">
    <w:nsid w:val="6B057295"/>
    <w:multiLevelType w:val="hybridMultilevel"/>
    <w:lvl w:ilvl="0">
      <w:lvlJc w:val="left"/>
      <w:lvlText w:val="(%1)"/>
      <w:numFmt w:val="lowerLetter"/>
      <w:start w:val="1"/>
    </w:lvl>
  </w:abstractNum>
  <w:abstractNum w:abstractNumId="188">
    <w:nsid w:val="2771AC80"/>
    <w:multiLevelType w:val="hybridMultilevel"/>
    <w:lvl w:ilvl="0">
      <w:lvlJc w:val="left"/>
      <w:lvlText w:val="(%1)"/>
      <w:numFmt w:val="lowerLetter"/>
      <w:start w:val="5"/>
    </w:lvl>
  </w:abstractNum>
  <w:abstractNum w:abstractNumId="189">
    <w:nsid w:val="1C4A08EC"/>
    <w:multiLevelType w:val="hybridMultilevel"/>
    <w:lvl w:ilvl="0">
      <w:lvlJc w:val="left"/>
      <w:lvlText w:val="(%1)"/>
      <w:numFmt w:val="lowerLetter"/>
      <w:start w:val="1"/>
    </w:lvl>
  </w:abstractNum>
  <w:abstractNum w:abstractNumId="190">
    <w:nsid w:val="1958BD17"/>
    <w:multiLevelType w:val="hybridMultilevel"/>
    <w:lvl w:ilvl="0">
      <w:lvlJc w:val="left"/>
      <w:lvlText w:val="(%1)"/>
      <w:numFmt w:val="lowerLetter"/>
      <w:start w:val="5"/>
    </w:lvl>
  </w:abstractNum>
  <w:abstractNum w:abstractNumId="191">
    <w:nsid w:val="4E647FE4"/>
    <w:multiLevelType w:val="hybridMultilevel"/>
    <w:lvl w:ilvl="0">
      <w:lvlJc w:val="left"/>
      <w:lvlText w:val="(%1)"/>
      <w:numFmt w:val="lowerLetter"/>
      <w:start w:val="1"/>
    </w:lvl>
  </w:abstractNum>
  <w:abstractNum w:abstractNumId="192">
    <w:nsid w:val="E0BB885"/>
    <w:multiLevelType w:val="hybridMultilevel"/>
    <w:lvl w:ilvl="0">
      <w:lvlJc w:val="left"/>
      <w:lvlText w:val="(%1)"/>
      <w:numFmt w:val="lowerLetter"/>
      <w:start w:val="2"/>
    </w:lvl>
    <w:lvl w:ilvl="1">
      <w:lvlJc w:val="left"/>
      <w:lvlText w:val="(%2)"/>
      <w:numFmt w:val="lowerRoman"/>
      <w:start w:val="1"/>
    </w:lvl>
  </w:abstractNum>
  <w:abstractNum w:abstractNumId="193">
    <w:nsid w:val="565976F1"/>
    <w:multiLevelType w:val="hybridMultilevel"/>
    <w:lvl w:ilvl="0">
      <w:lvlJc w:val="left"/>
      <w:lvlText w:val="(%1)"/>
      <w:numFmt w:val="lowerLetter"/>
      <w:start w:val="3"/>
    </w:lvl>
    <w:lvl w:ilvl="1">
      <w:lvlJc w:val="left"/>
      <w:lvlText w:val="(%2)"/>
      <w:numFmt w:val="lowerRoman"/>
      <w:start w:val="1"/>
    </w:lvl>
  </w:abstractNum>
  <w:abstractNum w:abstractNumId="194">
    <w:nsid w:val="64212B8C"/>
    <w:multiLevelType w:val="hybridMultilevel"/>
    <w:lvl w:ilvl="0">
      <w:lvlJc w:val="left"/>
      <w:lvlText w:val="(%1)"/>
      <w:numFmt w:val="lowerLetter"/>
      <w:start w:val="1"/>
    </w:lvl>
  </w:abstractNum>
  <w:abstractNum w:abstractNumId="195">
    <w:nsid w:val="5C17530C"/>
    <w:multiLevelType w:val="hybridMultilevel"/>
    <w:lvl w:ilvl="0">
      <w:lvlJc w:val="left"/>
      <w:lvlText w:val="(%1)"/>
      <w:numFmt w:val="lowerLetter"/>
      <w:start w:val="1"/>
    </w:lvl>
  </w:abstractNum>
  <w:abstractNum w:abstractNumId="196">
    <w:nsid w:val="19A52566"/>
    <w:multiLevelType w:val="hybridMultilevel"/>
    <w:lvl w:ilvl="0">
      <w:lvlJc w:val="left"/>
      <w:lvlText w:val="(%1)"/>
      <w:numFmt w:val="lowerLetter"/>
      <w:start w:val="2"/>
    </w:lvl>
  </w:abstractNum>
  <w:abstractNum w:abstractNumId="197">
    <w:nsid w:val="335A1DF1"/>
    <w:multiLevelType w:val="hybridMultilevel"/>
    <w:lvl w:ilvl="0">
      <w:lvlJc w:val="left"/>
      <w:lvlText w:val="(%1)"/>
      <w:numFmt w:val="lowerLetter"/>
      <w:start w:val="5"/>
    </w:lvl>
  </w:abstractNum>
  <w:abstractNum w:abstractNumId="198">
    <w:nsid w:val="28677B7C"/>
    <w:multiLevelType w:val="hybridMultilevel"/>
    <w:lvl w:ilvl="0">
      <w:lvlJc w:val="left"/>
      <w:lvlText w:val="(%1)"/>
      <w:numFmt w:val="lowerLetter"/>
      <w:start w:val="2"/>
    </w:lvl>
  </w:abstractNum>
  <w:abstractNum w:abstractNumId="199">
    <w:nsid w:val="378D97C0"/>
    <w:multiLevelType w:val="hybridMultilevel"/>
    <w:lvl w:ilvl="0">
      <w:lvlJc w:val="left"/>
      <w:lvlText w:val="(%1)"/>
      <w:numFmt w:val="lowerLetter"/>
      <w:start w:val="1"/>
    </w:lvl>
  </w:abstractNum>
  <w:abstractNum w:abstractNumId="200">
    <w:nsid w:val="1D91467C"/>
    <w:multiLevelType w:val="hybridMultilevel"/>
    <w:lvl w:ilvl="0">
      <w:lvlJc w:val="left"/>
      <w:lvlText w:val="(%1)"/>
      <w:numFmt w:val="lowerLetter"/>
      <w:start w:val="1"/>
    </w:lvl>
  </w:abstractNum>
  <w:abstractNum w:abstractNumId="201">
    <w:nsid w:val="316032BB"/>
    <w:multiLevelType w:val="hybridMultilevel"/>
    <w:lvl w:ilvl="0">
      <w:lvlJc w:val="left"/>
      <w:lvlText w:val="(%1)"/>
      <w:numFmt w:val="lowerLetter"/>
      <w:start w:val="1"/>
    </w:lvl>
  </w:abstractNum>
  <w:abstractNum w:abstractNumId="202">
    <w:nsid w:val="44344C22"/>
    <w:multiLevelType w:val="hybridMultilevel"/>
    <w:lvl w:ilvl="0">
      <w:lvlJc w:val="left"/>
      <w:lvlText w:val="(%1)"/>
      <w:numFmt w:val="lowerLetter"/>
      <w:start w:val="6"/>
    </w:lvl>
  </w:abstractNum>
  <w:abstractNum w:abstractNumId="203">
    <w:nsid w:val="13CDFCFC"/>
    <w:multiLevelType w:val="hybridMultilevel"/>
    <w:lvl w:ilvl="0">
      <w:lvlJc w:val="left"/>
      <w:lvlText w:val="(%1)"/>
      <w:numFmt w:val="lowerLetter"/>
      <w:start w:val="1"/>
    </w:lvl>
  </w:abstractNum>
  <w:abstractNum w:abstractNumId="204">
    <w:nsid w:val="471745E4"/>
    <w:multiLevelType w:val="hybridMultilevel"/>
    <w:lvl w:ilvl="0">
      <w:lvlJc w:val="left"/>
      <w:lvlText w:val="(%1)"/>
      <w:numFmt w:val="lowerLetter"/>
      <w:start w:val="2"/>
    </w:lvl>
  </w:abstractNum>
  <w:abstractNum w:abstractNumId="205">
    <w:nsid w:val="1DDBC66"/>
    <w:multiLevelType w:val="hybridMultilevel"/>
    <w:lvl w:ilvl="0">
      <w:lvlJc w:val="left"/>
      <w:lvlText w:val="%1"/>
      <w:numFmt w:val="lowerLetter"/>
      <w:start w:val="1"/>
    </w:lvl>
    <w:lvl w:ilvl="1">
      <w:lvlJc w:val="left"/>
      <w:lvlText w:val="(%2)"/>
      <w:numFmt w:val="lowerLetter"/>
      <w:start w:val="1"/>
    </w:lvl>
  </w:abstractNum>
  <w:abstractNum w:abstractNumId="206">
    <w:nsid w:val="30AADFDA"/>
    <w:multiLevelType w:val="hybridMultilevel"/>
    <w:lvl w:ilvl="0">
      <w:lvlJc w:val="left"/>
      <w:lvlText w:val="(%1)"/>
      <w:numFmt w:val="lowerLetter"/>
      <w:start w:val="35"/>
    </w:lvl>
    <w:lvl w:ilvl="1">
      <w:lvlJc w:val="left"/>
      <w:lvlText w:val="(%2)"/>
      <w:numFmt w:val="lowerLetter"/>
      <w:start w:val="2"/>
    </w:lvl>
  </w:abstractNum>
  <w:abstractNum w:abstractNumId="207">
    <w:nsid w:val="30EADA61"/>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08">
    <w:nsid w:val="27179C0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09">
    <w:nsid w:val="5E636063"/>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10">
    <w:nsid w:val="215641AF"/>
    <w:multiLevelType w:val="hybridMultilevel"/>
    <w:lvl w:ilvl="0">
      <w:lvlJc w:val="left"/>
      <w:lvlText w:val="(%1)"/>
      <w:numFmt w:val="lowerLetter"/>
      <w:start w:val="1"/>
    </w:lvl>
    <w:lvl w:ilvl="1">
      <w:lvlJc w:val="left"/>
      <w:lvlText w:val="(%2)"/>
      <w:numFmt w:val="lowerRoman"/>
      <w:start w:val="1"/>
    </w:lvl>
  </w:abstractNum>
  <w:abstractNum w:abstractNumId="211">
    <w:nsid w:val="53280662"/>
    <w:multiLevelType w:val="hybridMultilevel"/>
    <w:lvl w:ilvl="0">
      <w:lvlJc w:val="left"/>
      <w:lvlText w:val="(%1)"/>
      <w:numFmt w:val="lowerRoman"/>
      <w:start w:val="5"/>
    </w:lvl>
  </w:abstractNum>
  <w:abstractNum w:abstractNumId="212">
    <w:nsid w:val="46B24DBC"/>
    <w:multiLevelType w:val="hybridMultilevel"/>
    <w:lvl w:ilvl="0">
      <w:lvlJc w:val="left"/>
      <w:lvlText w:val="(%1)"/>
      <w:numFmt w:val="lowerLetter"/>
      <w:start w:val="1"/>
    </w:lvl>
  </w:abstractNum>
  <w:abstractNum w:abstractNumId="213">
    <w:nsid w:val="75B52783"/>
    <w:multiLevelType w:val="hybridMultilevel"/>
    <w:lvl w:ilvl="0">
      <w:lvlJc w:val="left"/>
      <w:lvlText w:val="(%1)"/>
      <w:numFmt w:val="lowerLetter"/>
      <w:start w:val="1"/>
    </w:lvl>
  </w:abstractNum>
  <w:abstractNum w:abstractNumId="214">
    <w:nsid w:val="57CE66B4"/>
    <w:multiLevelType w:val="hybridMultilevel"/>
    <w:lvl w:ilvl="0">
      <w:lvlJc w:val="left"/>
      <w:lvlText w:val="(%1)"/>
      <w:numFmt w:val="lowerLetter"/>
      <w:start w:val="5"/>
    </w:lvl>
  </w:abstractNum>
  <w:abstractNum w:abstractNumId="215">
    <w:nsid w:val="67A70B69"/>
    <w:multiLevelType w:val="hybridMultilevel"/>
    <w:lvl w:ilvl="0">
      <w:lvlJc w:val="left"/>
      <w:lvlText w:val="(%1)"/>
      <w:numFmt w:val="lowerLetter"/>
      <w:start w:val="1"/>
    </w:lvl>
  </w:abstractNum>
  <w:abstractNum w:abstractNumId="216">
    <w:nsid w:val="5953172F"/>
    <w:multiLevelType w:val="hybridMultilevel"/>
    <w:lvl w:ilvl="0">
      <w:lvlJc w:val="left"/>
      <w:lvlText w:val="(%1)"/>
      <w:numFmt w:val="lowerLetter"/>
      <w:start w:val="5"/>
    </w:lvl>
  </w:abstractNum>
  <w:abstractNum w:abstractNumId="217">
    <w:nsid w:val="27EDFE3A"/>
    <w:multiLevelType w:val="hybridMultilevel"/>
    <w:lvl w:ilvl="0">
      <w:lvlJc w:val="left"/>
      <w:lvlText w:val="(%1)"/>
      <w:numFmt w:val="lowerLetter"/>
      <w:start w:val="1"/>
    </w:lvl>
  </w:abstractNum>
  <w:abstractNum w:abstractNumId="218">
    <w:nsid w:val="52AC7DFF"/>
    <w:multiLevelType w:val="hybridMultilevel"/>
    <w:lvl w:ilvl="0">
      <w:lvlJc w:val="left"/>
      <w:lvlText w:val="(%1)"/>
      <w:numFmt w:val="lowerLetter"/>
      <w:start w:val="2"/>
    </w:lvl>
    <w:lvl w:ilvl="1">
      <w:lvlJc w:val="left"/>
      <w:lvlText w:val="(%2)"/>
      <w:numFmt w:val="lowerRoman"/>
      <w:start w:val="1"/>
    </w:lvl>
  </w:abstractNum>
  <w:abstractNum w:abstractNumId="219">
    <w:nsid w:val="C4C3AF"/>
    <w:multiLevelType w:val="hybridMultilevel"/>
    <w:lvl w:ilvl="0">
      <w:lvlJc w:val="left"/>
      <w:lvlText w:val="(%1)"/>
      <w:numFmt w:val="lowerLetter"/>
      <w:start w:val="3"/>
    </w:lvl>
    <w:lvl w:ilvl="1">
      <w:lvlJc w:val="left"/>
      <w:lvlText w:val="(%2)"/>
      <w:numFmt w:val="lowerRoman"/>
      <w:start w:val="1"/>
    </w:lvl>
  </w:abstractNum>
  <w:abstractNum w:abstractNumId="220">
    <w:nsid w:val="44380727"/>
    <w:multiLevelType w:val="hybridMultilevel"/>
    <w:lvl w:ilvl="0">
      <w:lvlJc w:val="left"/>
      <w:lvlText w:val="(%1)"/>
      <w:numFmt w:val="lowerLetter"/>
      <w:start w:val="1"/>
    </w:lvl>
  </w:abstractNum>
  <w:abstractNum w:abstractNumId="221">
    <w:nsid w:val="6C053B16"/>
    <w:multiLevelType w:val="hybridMultilevel"/>
    <w:lvl w:ilvl="0">
      <w:lvlJc w:val="left"/>
      <w:lvlText w:val="(%1)"/>
      <w:numFmt w:val="lowerLetter"/>
      <w:start w:val="1"/>
    </w:lvl>
  </w:abstractNum>
  <w:abstractNum w:abstractNumId="222">
    <w:nsid w:val="4F294393"/>
    <w:multiLevelType w:val="hybridMultilevel"/>
    <w:lvl w:ilvl="0">
      <w:lvlJc w:val="left"/>
      <w:lvlText w:val="(%1)"/>
      <w:numFmt w:val="lowerLetter"/>
      <w:start w:val="2"/>
    </w:lvl>
  </w:abstractNum>
  <w:abstractNum w:abstractNumId="223">
    <w:nsid w:val="5243BFAC"/>
    <w:multiLevelType w:val="hybridMultilevel"/>
    <w:lvl w:ilvl="0">
      <w:lvlJc w:val="left"/>
      <w:lvlText w:val="(%1)"/>
      <w:numFmt w:val="lowerLetter"/>
      <w:start w:val="5"/>
    </w:lvl>
  </w:abstractNum>
  <w:abstractNum w:abstractNumId="224">
    <w:nsid w:val="425EB207"/>
    <w:multiLevelType w:val="hybridMultilevel"/>
    <w:lvl w:ilvl="0">
      <w:lvlJc w:val="left"/>
      <w:lvlText w:val="(%1)"/>
      <w:numFmt w:val="lowerLetter"/>
      <w:start w:val="2"/>
    </w:lvl>
  </w:abstractNum>
  <w:abstractNum w:abstractNumId="225">
    <w:nsid w:val="334A6F1F"/>
    <w:multiLevelType w:val="hybridMultilevel"/>
    <w:lvl w:ilvl="0">
      <w:lvlJc w:val="left"/>
      <w:lvlText w:val="(%1)"/>
      <w:numFmt w:val="lowerLetter"/>
      <w:start w:val="1"/>
    </w:lvl>
  </w:abstractNum>
  <w:abstractNum w:abstractNumId="226">
    <w:nsid w:val="2E5B12B8"/>
    <w:multiLevelType w:val="hybridMultilevel"/>
    <w:lvl w:ilvl="0">
      <w:lvlJc w:val="left"/>
      <w:lvlText w:val="(%1)"/>
      <w:numFmt w:val="lowerLetter"/>
      <w:start w:val="1"/>
    </w:lvl>
  </w:abstractNum>
  <w:abstractNum w:abstractNumId="227">
    <w:nsid w:val="5C03D76D"/>
    <w:multiLevelType w:val="hybridMultilevel"/>
    <w:lvl w:ilvl="0">
      <w:lvlJc w:val="left"/>
      <w:lvlText w:val="(%1)"/>
      <w:numFmt w:val="lowerLetter"/>
      <w:start w:val="1"/>
    </w:lvl>
  </w:abstractNum>
  <w:abstractNum w:abstractNumId="228">
    <w:nsid w:val="66A48D11"/>
    <w:multiLevelType w:val="hybridMultilevel"/>
    <w:lvl w:ilvl="0">
      <w:lvlJc w:val="left"/>
      <w:lvlText w:val="(%1)"/>
      <w:numFmt w:val="lowerLetter"/>
      <w:start w:val="6"/>
    </w:lvl>
  </w:abstractNum>
  <w:abstractNum w:abstractNumId="229">
    <w:nsid w:val="56C28E34"/>
    <w:multiLevelType w:val="hybridMultilevel"/>
    <w:lvl w:ilvl="0">
      <w:lvlJc w:val="left"/>
      <w:lvlText w:val="(%1)"/>
      <w:numFmt w:val="lowerLetter"/>
      <w:start w:val="1"/>
    </w:lvl>
  </w:abstractNum>
  <w:abstractNum w:abstractNumId="230">
    <w:nsid w:val="13916F2D"/>
    <w:multiLevelType w:val="hybridMultilevel"/>
    <w:lvl w:ilvl="0">
      <w:lvlJc w:val="left"/>
      <w:lvlText w:val="(%1)"/>
      <w:numFmt w:val="lowerLetter"/>
      <w:start w:val="2"/>
    </w:lvl>
  </w:abstractNum>
  <w:abstractNum w:abstractNumId="231">
    <w:nsid w:val="435D38D"/>
    <w:multiLevelType w:val="hybridMultilevel"/>
    <w:lvl w:ilvl="0">
      <w:lvlJc w:val="left"/>
      <w:lvlText w:val="(%1)"/>
      <w:numFmt w:val="decimal"/>
      <w:start w:val="1"/>
    </w:lvl>
  </w:abstractNum>
  <w:abstractNum w:abstractNumId="232">
    <w:nsid w:val="822C0EF"/>
    <w:multiLevelType w:val="hybridMultilevel"/>
    <w:lvl w:ilvl="0">
      <w:lvlJc w:val="left"/>
      <w:lvlText w:val="(%1)"/>
      <w:numFmt w:val="decimal"/>
      <w:start w:val="1"/>
    </w:lvl>
  </w:abstractNum>
  <w:abstractNum w:abstractNumId="233">
    <w:nsid w:val="57C5BB4F"/>
    <w:multiLevelType w:val="hybridMultilevel"/>
    <w:lvl w:ilvl="0">
      <w:lvlJc w:val="left"/>
      <w:lvlText w:val="(%1)"/>
      <w:numFmt w:val="decimal"/>
      <w:start w:val="1"/>
    </w:lvl>
  </w:abstractNum>
  <w:abstractNum w:abstractNumId="234">
    <w:nsid w:val="1803D089"/>
    <w:multiLevelType w:val="hybridMultilevel"/>
    <w:lvl w:ilvl="0">
      <w:lvlJc w:val="left"/>
      <w:lvlText w:val="%1."/>
      <w:numFmt w:val="decimal"/>
      <w:start w:val="1"/>
    </w:lvl>
    <w:lvl w:ilvl="1">
      <w:lvlJc w:val="left"/>
      <w:lvlText w:val="%2)"/>
      <w:numFmt w:val="lowerLetter"/>
      <w:start w:val="1"/>
    </w:lvl>
  </w:abstractNum>
  <w:abstractNum w:abstractNumId="235">
    <w:nsid w:val="4F3A06D4"/>
    <w:multiLevelType w:val="hybridMultilevel"/>
    <w:lvl w:ilvl="0">
      <w:lvlJc w:val="left"/>
      <w:lvlText w:val="%1."/>
      <w:numFmt w:val="decimal"/>
      <w:start w:val="1"/>
    </w:lvl>
    <w:lvl w:ilvl="1">
      <w:lvlJc w:val="left"/>
      <w:lvlText w:val="%2)"/>
      <w:numFmt w:val="lowerLetter"/>
      <w:start w:val="1"/>
    </w:lvl>
  </w:abstractNum>
  <w:abstractNum w:abstractNumId="236">
    <w:nsid w:val="59A377B6"/>
    <w:multiLevelType w:val="hybridMultilevel"/>
    <w:lvl w:ilvl="0">
      <w:lvlJc w:val="left"/>
      <w:lvlText w:val="%1."/>
      <w:numFmt w:val="decimal"/>
      <w:start w:val="1"/>
    </w:lvl>
    <w:lvl w:ilvl="1">
      <w:lvlJc w:val="left"/>
      <w:lvlText w:val="%2)"/>
      <w:numFmt w:val="lowerLetter"/>
      <w:start w:val="1"/>
    </w:lvl>
  </w:abstractNum>
  <w:abstractNum w:abstractNumId="237">
    <w:nsid w:val="48AEB063"/>
    <w:multiLevelType w:val="hybridMultilevel"/>
    <w:lvl w:ilvl="0">
      <w:lvlJc w:val="left"/>
      <w:lvlText w:val="%1."/>
      <w:numFmt w:val="decimal"/>
      <w:start w:val="1"/>
    </w:lvl>
    <w:lvl w:ilvl="1">
      <w:lvlJc w:val="left"/>
      <w:lvlText w:val="%2)"/>
      <w:numFmt w:val="lowerLetter"/>
      <w:start w:val="1"/>
    </w:lvl>
  </w:abstractNum>
  <w:abstractNum w:abstractNumId="238">
    <w:nsid w:val="24E135"/>
    <w:multiLevelType w:val="hybridMultilevel"/>
    <w:lvl w:ilvl="0">
      <w:lvlJc w:val="left"/>
      <w:lvlText w:val="%1."/>
      <w:numFmt w:val="decimal"/>
      <w:start w:val="1"/>
    </w:lvl>
    <w:lvl w:ilvl="1">
      <w:lvlJc w:val="left"/>
      <w:lvlText w:val="%2)"/>
      <w:numFmt w:val="lowerLetter"/>
      <w:start w:val="1"/>
    </w:lvl>
  </w:abstractNum>
  <w:abstractNum w:abstractNumId="239">
    <w:nsid w:val="BB13C1"/>
    <w:multiLevelType w:val="hybridMultilevel"/>
    <w:lvl w:ilvl="0">
      <w:lvlJc w:val="left"/>
      <w:lvlText w:val="%1."/>
      <w:numFmt w:val="decimal"/>
      <w:start w:val="1"/>
    </w:lvl>
    <w:lvl w:ilvl="1">
      <w:lvlJc w:val="left"/>
      <w:lvlText w:val="%2)"/>
      <w:numFmt w:val="lowerLetter"/>
      <w:start w:val="1"/>
    </w:lvl>
  </w:abstractNum>
  <w:abstractNum w:abstractNumId="240">
    <w:nsid w:val="271210C7"/>
    <w:multiLevelType w:val="hybridMultilevel"/>
    <w:lvl w:ilvl="0">
      <w:lvlJc w:val="left"/>
      <w:lvlText w:val="(%1)"/>
      <w:numFmt w:val="lowerRoman"/>
      <w:start w:val="1"/>
    </w:lvl>
  </w:abstractNum>
  <w:abstractNum w:abstractNumId="241">
    <w:nsid w:val="217B22E4"/>
    <w:multiLevelType w:val="hybridMultilevel"/>
    <w:lvl w:ilvl="0">
      <w:lvlJc w:val="left"/>
      <w:lvlText w:val="(%1)"/>
      <w:numFmt w:val="lowerRoman"/>
      <w:start w:val="1"/>
    </w:lvl>
  </w:abstractNum>
  <w:abstractNum w:abstractNumId="242">
    <w:nsid w:val="53E31A24"/>
    <w:multiLevelType w:val="hybridMultilevel"/>
    <w:lvl w:ilvl="0">
      <w:lvlJc w:val="left"/>
      <w:lvlText w:val="(%1)"/>
      <w:numFmt w:val="lowerRoman"/>
      <w:start w:val="1"/>
    </w:lvl>
  </w:abstractNum>
  <w:abstractNum w:abstractNumId="243">
    <w:nsid w:val="6DC45E83"/>
    <w:multiLevelType w:val="hybridMultilevel"/>
    <w:lvl w:ilvl="0">
      <w:lvlJc w:val="left"/>
      <w:lvlText w:val="(%1)"/>
      <w:numFmt w:val="lowerRoman"/>
      <w:start w:val="1"/>
    </w:lvl>
  </w:abstractNum>
  <w:abstractNum w:abstractNumId="244">
    <w:nsid w:val="17304A67"/>
    <w:multiLevelType w:val="hybridMultilevel"/>
    <w:lvl w:ilvl="0">
      <w:lvlJc w:val="left"/>
      <w:lvlText w:val="(%1)"/>
      <w:numFmt w:val="lowerRoman"/>
      <w:start w:val="1"/>
    </w:lvl>
  </w:abstractNum>
  <w:abstractNum w:abstractNumId="245">
    <w:nsid w:val="2BB180D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2019-12-05T14:39:04Z</dcterms:created>
  <dcterms:modified xsi:type="dcterms:W3CDTF">2019-12-05T14:39:04Z</dcterms:modified>
</cp:coreProperties>
</file>