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300" w:before="0" w:after="6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300" w:before="0" w:after="6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120"/>
        <w:jc w:val="center"/>
        <w:rPr/>
      </w:pPr>
      <w:r>
        <w:rPr/>
      </w:r>
    </w:p>
    <w:tbl>
      <w:tblPr>
        <w:tblW w:w="3494" w:type="dxa"/>
        <w:jc w:val="center"/>
        <w:tblInd w:w="0" w:type="dxa"/>
        <w:tblLayout w:type="fixed"/>
        <w:tblCellMar>
          <w:top w:w="28" w:type="dxa"/>
          <w:left w:w="28" w:type="dxa"/>
          <w:bottom w:w="28" w:type="dxa"/>
          <w:right w:w="28" w:type="dxa"/>
        </w:tblCellMar>
      </w:tblPr>
      <w:tblGrid>
        <w:gridCol w:w="1118"/>
        <w:gridCol w:w="981"/>
        <w:gridCol w:w="1395"/>
      </w:tblGrid>
      <w:tr>
        <w:trPr/>
        <w:tc>
          <w:tcPr>
            <w:tcW w:w="1118"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6, 2026</w:t>
            </w:r>
          </w:p>
        </w:tc>
      </w:tr>
      <w:tr>
        <w:trPr/>
        <w:tc>
          <w:tcPr>
            <w:tcW w:w="3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Date of Report (Date of earliest event reported)</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2838450" cy="695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38450" cy="695325"/>
                    </a:xfrm>
                    <a:prstGeom prst="rect">
                      <a:avLst/>
                    </a:prstGeom>
                  </pic:spPr>
                </pic:pic>
              </a:graphicData>
            </a:graphic>
          </wp:inline>
        </w:drawing>
      </w:r>
      <w:bookmarkStart w:id="0" w:name="i-1"/>
      <w:bookmarkEnd w:id="0"/>
    </w:p>
    <w:tbl>
      <w:tblPr>
        <w:tblW w:w="3779" w:type="dxa"/>
        <w:jc w:val="center"/>
        <w:tblInd w:w="0" w:type="dxa"/>
        <w:tblLayout w:type="fixed"/>
        <w:tblCellMar>
          <w:top w:w="28" w:type="dxa"/>
          <w:left w:w="28" w:type="dxa"/>
          <w:bottom w:w="28" w:type="dxa"/>
          <w:right w:w="28" w:type="dxa"/>
        </w:tblCellMar>
      </w:tblPr>
      <w:tblGrid>
        <w:gridCol w:w="1208"/>
        <w:gridCol w:w="1061"/>
        <w:gridCol w:w="1510"/>
      </w:tblGrid>
      <w:tr>
        <w:trPr/>
        <w:tc>
          <w:tcPr>
            <w:tcW w:w="120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Sempra</w:t>
            </w:r>
          </w:p>
        </w:tc>
      </w:tr>
      <w:tr>
        <w:trPr/>
        <w:tc>
          <w:tcPr>
            <w:tcW w:w="3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c>
      </w:tr>
    </w:tbl>
    <w:tbl>
      <w:tblPr>
        <w:tblW w:w="8512" w:type="dxa"/>
        <w:jc w:val="center"/>
        <w:tblInd w:w="0" w:type="dxa"/>
        <w:tblLayout w:type="fixed"/>
        <w:tblCellMar>
          <w:top w:w="28" w:type="dxa"/>
          <w:left w:w="28" w:type="dxa"/>
          <w:bottom w:w="28" w:type="dxa"/>
          <w:right w:w="28" w:type="dxa"/>
        </w:tblCellMar>
      </w:tblPr>
      <w:tblGrid>
        <w:gridCol w:w="1159"/>
        <w:gridCol w:w="1021"/>
        <w:gridCol w:w="1030"/>
        <w:gridCol w:w="109"/>
        <w:gridCol w:w="109"/>
        <w:gridCol w:w="109"/>
        <w:gridCol w:w="687"/>
        <w:gridCol w:w="687"/>
        <w:gridCol w:w="695"/>
        <w:gridCol w:w="109"/>
        <w:gridCol w:w="109"/>
        <w:gridCol w:w="109"/>
        <w:gridCol w:w="753"/>
        <w:gridCol w:w="753"/>
        <w:gridCol w:w="1073"/>
      </w:tblGrid>
      <w:tr>
        <w:trPr/>
        <w:tc>
          <w:tcPr>
            <w:tcW w:w="115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1-14201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33-0732627</w:t>
            </w:r>
          </w:p>
        </w:tc>
      </w:tr>
      <w:tr>
        <w:trPr/>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tbl>
      <w:tblPr>
        <w:tblW w:w="8126" w:type="dxa"/>
        <w:jc w:val="center"/>
        <w:tblInd w:w="0" w:type="dxa"/>
        <w:tblLayout w:type="fixed"/>
        <w:tblCellMar>
          <w:top w:w="28" w:type="dxa"/>
          <w:left w:w="28" w:type="dxa"/>
          <w:bottom w:w="28" w:type="dxa"/>
          <w:right w:w="28" w:type="dxa"/>
        </w:tblCellMar>
      </w:tblPr>
      <w:tblGrid>
        <w:gridCol w:w="1416"/>
        <w:gridCol w:w="1244"/>
        <w:gridCol w:w="1254"/>
        <w:gridCol w:w="109"/>
        <w:gridCol w:w="109"/>
        <w:gridCol w:w="109"/>
        <w:gridCol w:w="1134"/>
        <w:gridCol w:w="1134"/>
        <w:gridCol w:w="1617"/>
      </w:tblGrid>
      <w:tr>
        <w:trPr/>
        <w:tc>
          <w:tcPr>
            <w:tcW w:w="1416"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488 8th Avenue, San Diego, California 92101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(619) 696-2000</w:t>
            </w:r>
          </w:p>
        </w:tc>
      </w:tr>
      <w:tr>
        <w:trPr/>
        <w:tc>
          <w:tcPr>
            <w:tcW w:w="3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(Zip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tc>
      </w:tr>
    </w:tbl>
    <w:tbl>
      <w:tblPr>
        <w:tblW w:w="4559" w:type="dxa"/>
        <w:jc w:val="center"/>
        <w:tblInd w:w="0" w:type="dxa"/>
        <w:tblLayout w:type="fixed"/>
        <w:tblCellMar>
          <w:top w:w="28" w:type="dxa"/>
          <w:left w:w="28" w:type="dxa"/>
          <w:bottom w:w="28" w:type="dxa"/>
          <w:right w:w="28" w:type="dxa"/>
        </w:tblCellMar>
      </w:tblPr>
      <w:tblGrid>
        <w:gridCol w:w="1457"/>
        <w:gridCol w:w="1281"/>
        <w:gridCol w:w="1821"/>
      </w:tblGrid>
      <w:tr>
        <w:trPr/>
        <w:tc>
          <w:tcPr>
            <w:tcW w:w="1457"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w:t>
            </w:r>
          </w:p>
        </w:tc>
      </w:tr>
      <w:tr>
        <w:trPr/>
        <w:tc>
          <w:tcPr>
            <w:tcW w:w="4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tc>
      </w:tr>
    </w:tbl>
    <w:tbl>
      <w:tblPr>
        <w:tblW w:w="10205" w:type="dxa"/>
        <w:jc w:val="center"/>
        <w:tblInd w:w="0" w:type="dxa"/>
        <w:tblLayout w:type="fixed"/>
        <w:tblCellMar>
          <w:top w:w="28" w:type="dxa"/>
          <w:left w:w="28" w:type="dxa"/>
          <w:bottom w:w="28" w:type="dxa"/>
          <w:right w:w="28" w:type="dxa"/>
        </w:tblCellMar>
      </w:tblPr>
      <w:tblGrid>
        <w:gridCol w:w="1500"/>
        <w:gridCol w:w="1316"/>
        <w:gridCol w:w="1316"/>
        <w:gridCol w:w="2070"/>
        <w:gridCol w:w="1650"/>
        <w:gridCol w:w="2353"/>
      </w:tblGrid>
      <w:tr>
        <w:trPr/>
        <w:tc>
          <w:tcPr>
            <w:tcW w:w="1500"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10205" w:type="dxa"/>
        <w:jc w:val="center"/>
        <w:tblInd w:w="0" w:type="dxa"/>
        <w:tblLayout w:type="fixed"/>
        <w:tblCellMar>
          <w:top w:w="28" w:type="dxa"/>
          <w:left w:w="28" w:type="dxa"/>
          <w:bottom w:w="28" w:type="dxa"/>
          <w:right w:w="28" w:type="dxa"/>
        </w:tblCellMar>
      </w:tblPr>
      <w:tblGrid>
        <w:gridCol w:w="1963"/>
        <w:gridCol w:w="1702"/>
        <w:gridCol w:w="1699"/>
        <w:gridCol w:w="499"/>
        <w:gridCol w:w="486"/>
        <w:gridCol w:w="486"/>
        <w:gridCol w:w="997"/>
        <w:gridCol w:w="984"/>
        <w:gridCol w:w="1389"/>
      </w:tblGrid>
      <w:tr>
        <w:trPr/>
        <w:tc>
          <w:tcPr>
            <w:tcW w:w="1963"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r>
      <w:tr>
        <w:trPr/>
        <w:tc>
          <w:tcPr>
            <w:tcW w:w="5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5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w:t>
            </w:r>
          </w:p>
        </w:tc>
        <w:tc>
          <w:tcPr>
            <w:tcW w:w="3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Name of Each Exchange on Which Registered </w:t>
            </w:r>
          </w:p>
        </w:tc>
      </w:tr>
      <w:tr>
        <w:trPr/>
        <w:tc>
          <w:tcPr>
            <w:tcW w:w="536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Sempra Common Stock, without par value</w:t>
            </w:r>
          </w:p>
        </w:tc>
        <w:tc>
          <w:tcPr>
            <w:tcW w:w="1471"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SRE </w:t>
            </w:r>
          </w:p>
        </w:tc>
        <w:tc>
          <w:tcPr>
            <w:tcW w:w="337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5364" w:type="dxa"/>
            <w:gridSpan w:val="3"/>
            <w:tcBorders>
              <w:bottom w:val="single" w:sz="16"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Sempra 5.75% Junior Subordinated Notes Due 2079, $25 par value</w:t>
            </w:r>
          </w:p>
        </w:tc>
        <w:tc>
          <w:tcPr>
            <w:tcW w:w="1471" w:type="dxa"/>
            <w:gridSpan w:val="3"/>
            <w:tcBorders>
              <w:bottom w:val="single" w:sz="16"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SREA</w:t>
            </w:r>
          </w:p>
        </w:tc>
        <w:tc>
          <w:tcPr>
            <w:tcW w:w="3370" w:type="dxa"/>
            <w:gridSpan w:val="3"/>
            <w:tcBorders>
              <w:bottom w:val="single" w:sz="16"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tbl>
      <w:tblPr>
        <w:tblW w:w="10205" w:type="dxa"/>
        <w:jc w:val="center"/>
        <w:tblInd w:w="0" w:type="dxa"/>
        <w:tblLayout w:type="fixed"/>
        <w:tblCellMar>
          <w:top w:w="28" w:type="dxa"/>
          <w:left w:w="28" w:type="dxa"/>
          <w:bottom w:w="28" w:type="dxa"/>
          <w:right w:w="28" w:type="dxa"/>
        </w:tblCellMar>
      </w:tblPr>
      <w:tblGrid>
        <w:gridCol w:w="1494"/>
        <w:gridCol w:w="1035"/>
        <w:gridCol w:w="1035"/>
        <w:gridCol w:w="1035"/>
        <w:gridCol w:w="1035"/>
        <w:gridCol w:w="1035"/>
        <w:gridCol w:w="1035"/>
        <w:gridCol w:w="1035"/>
        <w:gridCol w:w="1466"/>
      </w:tblGrid>
      <w:tr>
        <w:trPr/>
        <w:tc>
          <w:tcPr>
            <w:tcW w:w="1494"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r>
      <w:tr>
        <w:trPr/>
        <w:tc>
          <w:tcPr>
            <w:tcW w:w="3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tc>
      </w:tr>
      <w:tr>
        <w:trPr/>
        <w:tc>
          <w:tcPr>
            <w:tcW w:w="3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tc>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before="0" w:after="120"/>
        <w:jc w:val="left"/>
        <w:rPr/>
      </w:pPr>
      <w:r>
        <w:rPr/>
      </w:r>
    </w:p>
    <w:p>
      <w:pPr>
        <w:pStyle w:val="TextBody"/>
        <w:bidi w:val="0"/>
        <w:spacing w:before="0" w:after="120"/>
        <w:jc w:val="center"/>
        <w:rPr/>
      </w:pPr>
      <w:r>
        <w:rPr/>
      </w:r>
    </w:p>
    <w:p>
      <w:pPr>
        <w:pStyle w:val="TextBody"/>
        <w:bidi w:val="0"/>
        <w:spacing w:lineRule="auto" w:line="300" w:before="0" w:after="12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On July 6, 2026, the Board of Directors of Sempra appointed Justin C. Bird as Executive Vice President and Chief Financial Officer of Sempra, effective on a to-be-determined date on or around the closing of Sempra’s planned sale of a portion of its equity interest in Sempra Infrastructure Partners, LP, which is expected to occur in the third quarter of 2026. Mr. Bird, 55, has served in various leadership roles across the Sempra family of companies for more than two decades, including most recently as an Executive Vice President of Sempra since January 2024 and as the Chief Executive Officer of Sempra Infrastructure and its predecessor LNG business since April 2020.</w:t>
      </w:r>
    </w:p>
    <w:p>
      <w:pPr>
        <w:pStyle w:val="TextBody"/>
        <w:bidi w:val="0"/>
        <w:spacing w:lineRule="auto" w:line="300" w:before="0" w:after="120"/>
        <w:jc w:val="left"/>
        <w:rPr/>
      </w:pPr>
      <w:r>
        <w:rPr>
          <w:rFonts w:ascii="Times New Roman;serif" w:hAnsi="Times New Roman;serif"/>
          <w:b w:val="false"/>
          <w:color w:val="000000"/>
          <w:sz w:val="20"/>
        </w:rPr>
        <w:t xml:space="preserve">Mr. Bird’s compensation is not expected to change in connection with this appointment. Information regarding Sempra’s executive compensation program is described in </w:t>
      </w:r>
      <w:hyperlink r:id="rId3">
        <w:r>
          <w:rPr>
            <w:rStyle w:val="InternetLink"/>
            <w:rFonts w:ascii="Times New Roman;serif" w:hAnsi="Times New Roman;serif"/>
            <w:b w:val="false"/>
            <w:color w:val="0000FF"/>
            <w:sz w:val="20"/>
            <w:u w:val="single"/>
          </w:rPr>
          <w:t>Sempra’s 2026 Proxy Statement</w:t>
        </w:r>
      </w:hyperlink>
      <w:r>
        <w:rPr>
          <w:color w:val="000000"/>
        </w:rPr>
        <w:t xml:space="preserve"> </w:t>
      </w:r>
      <w:r>
        <w:rPr>
          <w:rFonts w:ascii="Times New Roman;serif" w:hAnsi="Times New Roman;serif"/>
          <w:b w:val="false"/>
          <w:color w:val="000000"/>
          <w:sz w:val="20"/>
        </w:rPr>
        <w:t>filed with the U.S. Securities and Exchange Commission on March 27, 2026.</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Mr. Bird will assume the Chief Financial Officer role from Karen L. Sedgwick, who has been appointed as the Chief Executive Officer and President of Southern California Gas Company, a subsidiary of Sempra, with an effective date concurrent with the effective date of Mr. Bird’s appointment as described above.</w:t>
      </w:r>
    </w:p>
    <w:p>
      <w:pPr>
        <w:pStyle w:val="TextBody"/>
        <w:bidi w:val="0"/>
        <w:spacing w:lineRule="auto" w:line="261" w:before="240" w:after="60"/>
        <w:jc w:val="left"/>
        <w:rPr>
          <w:rFonts w:ascii="Times New Roman;serif" w:hAnsi="Times New Roman;serif"/>
          <w:b/>
          <w:i/>
          <w:color w:val="000000"/>
          <w:sz w:val="20"/>
        </w:rPr>
      </w:pPr>
      <w:r>
        <w:rPr>
          <w:rFonts w:ascii="Times New Roman;serif" w:hAnsi="Times New Roman;serif"/>
          <w:b/>
          <w:i/>
          <w:color w:val="000000"/>
          <w:sz w:val="20"/>
        </w:rPr>
        <w:t>Forward-Looking Statements</w:t>
      </w:r>
    </w:p>
    <w:p>
      <w:pPr>
        <w:pStyle w:val="TextBody"/>
        <w:bidi w:val="0"/>
        <w:spacing w:lineRule="auto" w:line="300" w:before="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This report contains forward-looking statements within the meaning of the Private Securities Litigation Reform Act of 1995. Forward-looking statements are based on assumptions about the future, involve risks and uncertainties, and are not guarantees. Future results may differ materially from those expressed or implied in any forward-looking statement. These forward-looking statements represent our estimates and assumptions only as of the date of this report. We assume no obligation to update or revise any forward-looking statement as a result of new information, future events or otherwise. </w:t>
      </w:r>
    </w:p>
    <w:p>
      <w:pPr>
        <w:pStyle w:val="TextBody"/>
        <w:bidi w:val="0"/>
        <w:spacing w:lineRule="auto" w:line="300" w:before="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In this report, forward-looking statements can be identified by words such as “believe,” “expect,” “intend,” “anticipate,” “contemplate,” “plan,” “estimate,” “project,” “forecast,” “envision,” “should,” “could,” “would,” “will,” “confident,” “may,” “can,” “potential,” “possible,” “proposed,” “in process,” “construct,” “develop,” “opportunity,” “preliminary,” “pro forma,” “strategic,” “initiative,” “target,” “outlook,” “optimistic,” “poised,” “positioned,” “maintain,” “continue,” “progress,” “advance,” “goal,” “aim,” “commit,” or similar expressions, or when we discuss our guidance, priorities, strategies, goals, vision, mission, projections, intentions or expectations. </w:t>
      </w:r>
    </w:p>
    <w:p>
      <w:pPr>
        <w:pStyle w:val="TextBody"/>
        <w:bidi w:val="0"/>
        <w:spacing w:lineRule="auto" w:line="300" w:before="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Factors, among others, that could cause actual results and events to differ materially from those expressed or implied in any forward-looking statement include: California wildfires, including potential liability for damages regardless of fault and any inability to recover all or a substantial portion of costs from insurance, the wildfire fund established by California Assembly Bill 1054 and the wildfire fund continuation account established by California Senate Bill 254, rates from customers or a combination thereof; decisions, disallowances or denials of cost recovery, audits, investigations, inquiries, ordered studies, regulations, legislative actions, denials or revocations of permits, consents, approvals or other authorizations, renewals of franchises, and other actions, including the failure to honor contracts and commitments, by the (i) Comisión Nacional de Energía, California Public Utilities Commission (CPUC), U.S. Department of Energy, U.S. Federal Energy Regulatory Commission, U.S. Internal Revenue Service, Public Utility Commission of Texas and other regulatory bodies and (ii) U.S., Mexico and states, counties, cities and other jurisdictions therein and in other countries where we do business; the success of business development efforts, construction projects, acquisitions, divestitures, and other significant transactions such as the planned sale of a portion of our equity interest in Sempra Infrastructure Partners, including risks related to, as applicable, (i) being able to reach a positive final investment decision, (ii) negotiating pricing and other terms in definitive contracts, (iii) completing construction projects or other transactions on schedule and budget, (iv) realizing anticipated benefits from any of these efforts if completed, (v) obtaining regulatory and other approvals and (vi) third parties honoring their contracts and commitments, including with respect to closing or post-closing payments; changes to our capital expenditure plans and their potential impact on rate base or other growth; changes, due to evolving economic, political and other factors and increasing geopolitical instability as a result of wars or other conflicts in various parts of the world, to (i) trade and other foreign policy, including the imposition of tariffs by the U.S. and foreign countries (and uncertainty related to the implementation and enforceability thereof), and (ii) laws and regulations, including those related to tax and the energy industry in the U.S. and Mexico; litigation, arbitration, property disputes and other proceedings; cybersecurity threats, including by nation-state actors, of ransomware or other attacks on our systems, the energy grid or our other infrastructure, or the systems of third parties with which we conduct business; the availability, uses, sufficiency, and cost of capital resources and our ability to borrow money or otherwise raise capital on favorable terms and meet our obligations, which can be affected by, among other things, (i) actions by credit rating agencies to downgrade our credit ratings or place those ratings on negative outlook, (ii) instability in the capital markets, and (iii) fluctuating interest rates and inflation;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before="0" w:after="120"/>
        <w:jc w:val="left"/>
        <w:rPr/>
      </w:pPr>
      <w:r>
        <w:rPr/>
      </w:r>
    </w:p>
    <w:p>
      <w:pPr>
        <w:pStyle w:val="TextBody"/>
        <w:bidi w:val="0"/>
        <w:spacing w:lineRule="auto" w:line="300" w:before="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impact of efforts to increase affordability of U.S. utility customer rates on our ability to obtain cost recovery from applicable regulators, our capital expenditure and other growth plans and our ability to advance statewide policies; the impact on affordability of customer rates, cost of capital and operating margin due to (i) volatility in inflation, interest rates, commodity prices, tariff rates, and foreign currency exchange rates and (ii) with respect to San Diego Gas &amp; Electric Company's (SDG&amp;E) and Southern California Gas Company's (SoCalGas) businesses, the cost of meeting the demand for lower carbon and reliable energy in California; the impact of climate policies, laws, rules, regulations, trends and required disclosures, including actions to reduce or eliminate reliance on natural gas, increased uncertainty in the political or regulatory environment for California natural gas distribution companies, the risk of nonrecovery for stranded assets, and uncertainty related to emerging technologies; weather, natural disasters, pandemics, accidents, equipment failures, explosions, terrorism, information system outages or other events, such as work stoppages, that disrupt our operations, damage our facilities or systems, cause the release of harmful materials or fires or subject us to liability for damages, fines and penalties, some of which may not be recoverable through regulatory mechanisms or insurance or may impact our ability to obtain satisfactory levels of affordable insurance; the availability of electric power, natural gas and natural gas storage and transportation capacity, including disruptions caused by failures in the transmission grid or pipeline and storage systems or limitations on the injection and withdrawal of natural gas from storage facilities; Oncor Electric Delivery Company LLC’s (Oncor) ability to reduce or eliminate its quarterly dividends due to regulatory and governance requirements and commitments, including by actions of Oncor’s independent directors or a minority member director; and other uncertainties, some of which are difficult to predict and beyond our control. </w:t>
      </w:r>
    </w:p>
    <w:p>
      <w:pPr>
        <w:pStyle w:val="TextBody"/>
        <w:bidi w:val="0"/>
        <w:spacing w:lineRule="auto" w:line="300" w:before="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These risks and uncertainties are further discussed in the reports that Sempra has filed with the U.S. Securities and Exchange Commission (SEC). These reports are available through the EDGAR system free-of-charge on the SEC's website, www.sec.gov, and on Sempra’s website, www.sempra.com. Investors should not rely unduly on any forward-looking statements. </w:t>
      </w:r>
    </w:p>
    <w:p>
      <w:pPr>
        <w:pStyle w:val="TextBody"/>
        <w:bidi w:val="0"/>
        <w:spacing w:lineRule="auto" w:line="300" w:before="0" w:after="120"/>
        <w:jc w:val="left"/>
        <w:rPr>
          <w:rFonts w:ascii="Times New Roman;serif" w:hAnsi="Times New Roman;serif"/>
          <w:b w:val="false"/>
          <w:i/>
          <w:color w:val="000000"/>
          <w:sz w:val="20"/>
        </w:rPr>
      </w:pPr>
      <w:r>
        <w:rPr>
          <w:rFonts w:ascii="Times New Roman;serif" w:hAnsi="Times New Roman;serif"/>
          <w:b w:val="false"/>
          <w:i/>
          <w:color w:val="000000"/>
          <w:sz w:val="20"/>
        </w:rPr>
        <w:t>Sempra Infrastructure Partners and its subsidiaries, and the Sempra Texas utilities (Oncor and Sharyland Utilities) are not the same companies as the Sempra California utilities, SDG&amp;E or SoCalGas, nor are they regulated by the California Public Utilities Commission (CPUC).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before="0" w:after="120"/>
        <w:jc w:val="left"/>
        <w:rPr/>
      </w:pPr>
      <w:r>
        <w:rPr/>
      </w:r>
    </w:p>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 xml:space="preserve">SIGNATURE </w:t>
      </w:r>
    </w:p>
    <w:p>
      <w:pPr>
        <w:pStyle w:val="TextBody"/>
        <w:bidi w:val="0"/>
        <w:spacing w:before="0" w:after="120"/>
        <w:jc w:val="center"/>
        <w:rPr/>
      </w:pPr>
      <w:r>
        <w:rPr/>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120"/>
        <w:jc w:val="left"/>
        <w:rPr/>
      </w:pPr>
      <w:r>
        <w:rPr/>
      </w:r>
    </w:p>
    <w:tbl>
      <w:tblPr>
        <w:tblW w:w="6344" w:type="dxa"/>
        <w:jc w:val="left"/>
        <w:tblInd w:w="0" w:type="dxa"/>
        <w:tblLayout w:type="fixed"/>
        <w:tblCellMar>
          <w:top w:w="28" w:type="dxa"/>
          <w:left w:w="28" w:type="dxa"/>
          <w:bottom w:w="28" w:type="dxa"/>
          <w:right w:w="28" w:type="dxa"/>
        </w:tblCellMar>
      </w:tblPr>
      <w:tblGrid>
        <w:gridCol w:w="580"/>
        <w:gridCol w:w="511"/>
        <w:gridCol w:w="514"/>
        <w:gridCol w:w="1385"/>
        <w:gridCol w:w="1385"/>
        <w:gridCol w:w="1969"/>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SEMPRA, </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 July 9, 2026</w:t>
            </w:r>
          </w:p>
        </w:tc>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Dyan Z. Wold</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Dyan Z. Wold</w:t>
              <w:br/>
              <w:t xml:space="preserve">Vice President, Controller and Chief Accounting Officer </w:t>
            </w:r>
          </w:p>
        </w:tc>
      </w:tr>
    </w:tbl>
    <w:p>
      <w:pPr>
        <w:pStyle w:val="TextBody"/>
        <w:bidi w:val="0"/>
        <w:spacing w:before="0" w:after="120"/>
        <w:jc w:val="left"/>
        <w:rPr/>
      </w:pPr>
      <w:r>
        <w:rPr/>
      </w:r>
    </w:p>
    <w:p>
      <w:pPr>
        <w:pStyle w:val="TextBody"/>
        <w:bidi w:val="0"/>
        <w:spacing w:before="0" w:after="1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032208/000119312526127603/d90144ddef14a.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1597</Words>
  <Characters>9446</Characters>
  <CharactersWithSpaces>10992</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