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18"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Registration No. 333-295948</w:t>
      </w:r>
    </w:p>
    <w:p>
      <w:pPr>
        <w:spacing w:after="0" w:line="9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8"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(To Prospectus dated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118745</wp:posOffset>
            </wp:positionV>
            <wp:extent cx="129032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0320" cy="266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$1,000,000,000 Floating Rate Notes due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129540</wp:posOffset>
            </wp:positionV>
            <wp:extent cx="11087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6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color w:val="auto"/>
        </w:rPr>
        <w:t>We are offering $1,000,000,000 aggregate principal amount of our Floating Rate Notes due 2028 (the “notes”).</w:t>
      </w:r>
    </w:p>
    <w:p>
      <w:pPr>
        <w:spacing w:after="0" w:line="84" w:lineRule="exact"/>
        <w:rPr>
          <w:sz w:val="24"/>
          <w:szCs w:val="24"/>
          <w:color w:val="auto"/>
        </w:rPr>
      </w:pPr>
    </w:p>
    <w:p>
      <w:pPr>
        <w:jc w:val="both"/>
        <w:ind w:left="1480" w:right="399" w:firstLine="333"/>
        <w:spacing w:after="0" w:line="316" w:lineRule="auto"/>
        <w:rPr>
          <w:sz w:val="20"/>
          <w:szCs w:val="20"/>
          <w:color w:val="auto"/>
        </w:rPr>
      </w:pPr>
      <w:r>
        <w:rPr>
          <w:rFonts w:ascii="Times New Roman" w:cs="Times New Roman" w:eastAsia="Times New Roman" w:hAnsi="Times New Roman"/>
          <w:sz w:val="12"/>
          <w:szCs w:val="12"/>
          <w:color w:val="auto"/>
        </w:rPr>
        <w:t>The notes will bear interest at a floating rate equal to Compounded SOFR (as defined below) plus 67 basis points per annum, as further described under the heading “Description of the Notes—Interest Rate and Maturity,” and mature on January 7, 2028. Interest on the notes will accrue from June 9, 2026 and will be payable quarterly in arrears on October 7, January 7, April 7 and July 7 of each year, beginning on October 7, 2026.</w:t>
      </w:r>
    </w:p>
    <w:p>
      <w:pPr>
        <w:spacing w:after="0" w:line="27"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notes are not redeemable by us prior to maturity.</w:t>
      </w:r>
    </w:p>
    <w:p>
      <w:pPr>
        <w:spacing w:after="0" w:line="84" w:lineRule="exact"/>
        <w:rPr>
          <w:sz w:val="24"/>
          <w:szCs w:val="24"/>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The notes will be our unsecured and unsubordinated obligations and will rank equally in right of payment with all of our other existing and future unsecured and unsubordinated indebtedness and guarantees.</w:t>
      </w:r>
    </w:p>
    <w:p>
      <w:pPr>
        <w:spacing w:after="0" w:line="54" w:lineRule="exact"/>
        <w:rPr>
          <w:sz w:val="24"/>
          <w:szCs w:val="24"/>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We do not intend to apply for the listing or trading of the notes on any securities exchange or trading facility or for inclusion of the notes in any automated quotation system.</w:t>
      </w:r>
    </w:p>
    <w:p>
      <w:pPr>
        <w:spacing w:after="0" w:line="50" w:lineRule="exact"/>
        <w:rPr>
          <w:sz w:val="24"/>
          <w:szCs w:val="24"/>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b w:val="1"/>
          <w:bCs w:val="1"/>
          <w:color w:val="auto"/>
        </w:rPr>
        <w:t>This prospectus supplement and the accompanying prospectus are not intended to constitute an offer to, and the notes should not be purchased, held or otherwise acquired, directly or indirectly, by a “specified foreign entity” as defined in Section 7701(a)(51)(B) of the Internal Revenue Code of 1986, as amended (“specified foreign entity”). Each purchaser of the notes (including all affiliated entities that participate in such purchase), by accepting such notes, will be deemed to have represented, warranted and agreed that it is not, and will not be, for its taxable year that includes the date of the original issuance of the notes, a “specified foreign entity.”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113665</wp:posOffset>
            </wp:positionV>
            <wp:extent cx="11087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2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Investing in the notes involves risks. See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S-9 of this prospectus supplement.</w:t>
      </w:r>
    </w:p>
    <w:p>
      <w:pPr>
        <w:spacing w:after="0" w:line="83" w:lineRule="exact"/>
        <w:rPr>
          <w:sz w:val="24"/>
          <w:szCs w:val="24"/>
          <w:color w:val="auto"/>
        </w:rPr>
      </w:pPr>
    </w:p>
    <w:tbl>
      <w:tblPr>
        <w:tblLayout w:type="fixed"/>
        <w:tblInd w:w="248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Per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6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2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Public Offering Price</w:t>
            </w:r>
            <w:r>
              <w:rPr>
                <w:rFonts w:ascii="Times New Roman" w:cs="Times New Roman" w:eastAsia="Times New Roman" w:hAnsi="Times New Roman"/>
                <w:sz w:val="16"/>
                <w:szCs w:val="16"/>
                <w:color w:val="auto"/>
                <w:vertAlign w:val="superscript"/>
              </w:rPr>
              <w:t>(1)</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Underwriting Discount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2"/>
                <w:szCs w:val="12"/>
                <w:color w:val="auto"/>
              </w:rPr>
              <w:t>Proceeds to Sempra (before expenses)</w:t>
            </w:r>
            <w:r>
              <w:rPr>
                <w:rFonts w:ascii="Times New Roman" w:cs="Times New Roman" w:eastAsia="Times New Roman" w:hAnsi="Times New Roman"/>
                <w:sz w:val="17"/>
                <w:szCs w:val="17"/>
                <w:color w:val="auto"/>
                <w:vertAlign w:val="superscript"/>
              </w:rPr>
              <w:t>(1)</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99.850%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998,500,000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64770</wp:posOffset>
            </wp:positionV>
            <wp:extent cx="5772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215" cy="6350"/>
                    </a:xfrm>
                    <a:prstGeom prst="rect">
                      <a:avLst/>
                    </a:prstGeom>
                    <a:noFill/>
                  </pic:spPr>
                </pic:pic>
              </a:graphicData>
            </a:graphic>
          </wp:anchor>
        </w:drawing>
      </w:r>
    </w:p>
    <w:p>
      <w:pPr>
        <w:spacing w:after="0" w:line="110" w:lineRule="exact"/>
        <w:rPr>
          <w:sz w:val="24"/>
          <w:szCs w:val="24"/>
          <w:color w:val="auto"/>
        </w:rPr>
      </w:pPr>
    </w:p>
    <w:p>
      <w:pPr>
        <w:ind w:left="1800" w:hanging="323"/>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from June 9, 2026, if settlement occurs after that date.</w:t>
      </w:r>
    </w:p>
    <w:p>
      <w:pPr>
        <w:spacing w:after="0" w:line="80" w:lineRule="exact"/>
        <w:rPr>
          <w:sz w:val="24"/>
          <w:szCs w:val="24"/>
          <w:color w:val="auto"/>
        </w:rPr>
      </w:pPr>
    </w:p>
    <w:p>
      <w:pPr>
        <w:ind w:left="1480" w:right="759" w:firstLine="333"/>
        <w:spacing w:after="0" w:line="257"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9" w:lineRule="exact"/>
        <w:rPr>
          <w:sz w:val="24"/>
          <w:szCs w:val="24"/>
          <w:color w:val="auto"/>
        </w:rPr>
      </w:pPr>
    </w:p>
    <w:p>
      <w:pPr>
        <w:ind w:left="1480" w:right="439" w:firstLine="333"/>
        <w:spacing w:after="0" w:line="254" w:lineRule="auto"/>
        <w:rPr>
          <w:sz w:val="20"/>
          <w:szCs w:val="20"/>
          <w:color w:val="auto"/>
        </w:rPr>
      </w:pPr>
      <w:r>
        <w:rPr>
          <w:rFonts w:ascii="Times New Roman" w:cs="Times New Roman" w:eastAsia="Times New Roman" w:hAnsi="Times New Roman"/>
          <w:sz w:val="14"/>
          <w:szCs w:val="14"/>
          <w:color w:val="auto"/>
        </w:rPr>
        <w:t>The underwriters expect to deliver the notes in book-entry form through the facilities of The Depository Trust Company for the accounts of its participants, including Clearstream Banking S.A. and Euroclear Bank SA/NV, as operator of the Euroclear System, against payment in New York, New York on or about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104775</wp:posOffset>
            </wp:positionV>
            <wp:extent cx="11087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21" w:lineRule="exact"/>
        <w:rPr>
          <w:sz w:val="24"/>
          <w:szCs w:val="24"/>
          <w:color w:val="auto"/>
        </w:rPr>
      </w:pPr>
    </w:p>
    <w:tbl>
      <w:tblPr>
        <w:tblLayout w:type="fixed"/>
        <w:tblInd w:w="1480" w:type="dxa"/>
        <w:tblCellMar>
          <w:top w:w="0" w:type="dxa"/>
          <w:left w:w="0" w:type="dxa"/>
          <w:bottom w:w="0" w:type="dxa"/>
          <w:right w:w="0" w:type="dxa"/>
        </w:tblCellMar>
      </w:tblPr>
      <w:tr>
        <w:trPr>
          <w:trHeight w:val="179"/>
        </w:trPr>
        <w:tc>
          <w:tcPr>
            <w:tcW w:w="2700" w:type="dxa"/>
            <w:vAlign w:val="bottom"/>
          </w:tcPr>
          <w:p>
            <w:pPr>
              <w:spacing w:after="0"/>
              <w:rPr>
                <w:sz w:val="15"/>
                <w:szCs w:val="15"/>
                <w:color w:val="auto"/>
              </w:rPr>
            </w:pPr>
          </w:p>
        </w:tc>
        <w:tc>
          <w:tcPr>
            <w:tcW w:w="5640" w:type="dxa"/>
            <w:vAlign w:val="bottom"/>
            <w:gridSpan w:val="3"/>
          </w:tcPr>
          <w:p>
            <w:pPr>
              <w:jc w:val="center"/>
              <w:ind w:right="2611"/>
              <w:spacing w:after="0"/>
              <w:rPr>
                <w:sz w:val="20"/>
                <w:szCs w:val="20"/>
                <w:color w:val="auto"/>
              </w:rPr>
            </w:pPr>
            <w:r>
              <w:rPr>
                <w:rFonts w:ascii="Times New Roman" w:cs="Times New Roman" w:eastAsia="Times New Roman" w:hAnsi="Times New Roman"/>
                <w:sz w:val="14"/>
                <w:szCs w:val="14"/>
                <w:b w:val="1"/>
                <w:bCs w:val="1"/>
                <w:i w:val="1"/>
                <w:iCs w:val="1"/>
                <w:color w:val="auto"/>
                <w:w w:val="97"/>
              </w:rPr>
              <w:t>Joint Book-Running Managers</w:t>
            </w:r>
          </w:p>
        </w:tc>
      </w:tr>
      <w:tr>
        <w:trPr>
          <w:trHeight w:val="434"/>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BMO Capital Markets</w:t>
            </w: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00" w:type="dxa"/>
            <w:vAlign w:val="bottom"/>
          </w:tcPr>
          <w:p>
            <w:pPr>
              <w:ind w:left="1460"/>
              <w:spacing w:after="0"/>
              <w:rPr>
                <w:sz w:val="20"/>
                <w:szCs w:val="20"/>
                <w:color w:val="auto"/>
              </w:rPr>
            </w:pPr>
            <w:r>
              <w:rPr>
                <w:rFonts w:ascii="Times New Roman" w:cs="Times New Roman" w:eastAsia="Times New Roman" w:hAnsi="Times New Roman"/>
                <w:sz w:val="22"/>
                <w:szCs w:val="22"/>
                <w:b w:val="1"/>
                <w:bCs w:val="1"/>
                <w:color w:val="auto"/>
                <w:w w:val="98"/>
              </w:rPr>
              <w:t>Academy Securities</w:t>
            </w:r>
          </w:p>
        </w:tc>
      </w:tr>
      <w:tr>
        <w:trPr>
          <w:trHeight w:val="179"/>
        </w:trPr>
        <w:tc>
          <w:tcPr>
            <w:tcW w:w="2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40" w:type="dxa"/>
            <w:vAlign w:val="bottom"/>
            <w:gridSpan w:val="2"/>
          </w:tcPr>
          <w:p>
            <w:pPr>
              <w:jc w:val="center"/>
              <w:ind w:right="3211"/>
              <w:spacing w:after="0"/>
              <w:rPr>
                <w:sz w:val="20"/>
                <w:szCs w:val="20"/>
                <w:color w:val="auto"/>
              </w:rPr>
            </w:pPr>
            <w:r>
              <w:rPr>
                <w:rFonts w:ascii="Times New Roman" w:cs="Times New Roman" w:eastAsia="Times New Roman" w:hAnsi="Times New Roman"/>
                <w:sz w:val="14"/>
                <w:szCs w:val="14"/>
                <w:b w:val="1"/>
                <w:bCs w:val="1"/>
                <w:color w:val="auto"/>
                <w:w w:val="96"/>
              </w:rPr>
              <w:t>June 4, 2026</w:t>
            </w:r>
          </w:p>
        </w:tc>
      </w:tr>
    </w:tbl>
    <w:p>
      <w:pPr>
        <w:sectPr>
          <w:pgSz w:w="11900" w:h="16838" w:orient="portrait"/>
          <w:cols w:equalWidth="0" w:num="1">
            <w:col w:w="10159"/>
          </w:cols>
          <w:pgMar w:left="300" w:top="20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00" w:type="dxa"/>
            <w:vAlign w:val="bottom"/>
          </w:tcPr>
          <w:p>
            <w:pPr>
              <w:jc w:val="right"/>
              <w:ind w:right="3332"/>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27"/>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tcPr>
          <w:p>
            <w:pPr>
              <w:jc w:val="right"/>
              <w:ind w:right="3132"/>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r>
      <w:tr>
        <w:trPr>
          <w:trHeight w:val="317"/>
        </w:trPr>
        <w:tc>
          <w:tcPr>
            <w:tcW w:w="300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5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43"/>
        </w:trPr>
        <w:tc>
          <w:tcPr>
            <w:tcW w:w="3000" w:type="dxa"/>
            <w:vAlign w:val="bottom"/>
            <w:gridSpan w:val="11"/>
          </w:tcPr>
          <w:p>
            <w:pPr>
              <w:spacing w:after="0" w:line="143" w:lineRule="exact"/>
              <w:rPr>
                <w:sz w:val="20"/>
                <w:szCs w:val="20"/>
                <w:color w:val="auto"/>
              </w:rPr>
            </w:pPr>
            <w:r>
              <w:rPr>
                <w:rFonts w:ascii="Times New Roman" w:cs="Times New Roman" w:eastAsia="Times New Roman" w:hAnsi="Times New Roman"/>
                <w:sz w:val="14"/>
                <w:szCs w:val="14"/>
                <w:color w:val="0000EE"/>
              </w:rPr>
              <w:t>Forward-Looking Statements and Market Data</w:t>
            </w: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w:t>
            </w:r>
          </w:p>
        </w:tc>
      </w:tr>
      <w:tr>
        <w:trPr>
          <w:trHeight w:val="143"/>
        </w:trPr>
        <w:tc>
          <w:tcPr>
            <w:tcW w:w="2540" w:type="dxa"/>
            <w:vAlign w:val="bottom"/>
            <w:tcBorders>
              <w:top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rPr>
              <w:t>Summary</w:t>
            </w:r>
          </w:p>
        </w:tc>
        <w:tc>
          <w:tcPr>
            <w:tcW w:w="460" w:type="dxa"/>
            <w:vAlign w:val="bottom"/>
            <w:gridSpan w:val="2"/>
          </w:tcPr>
          <w:p>
            <w:pPr>
              <w:spacing w:after="0"/>
              <w:rPr>
                <w:sz w:val="12"/>
                <w:szCs w:val="12"/>
                <w:color w:val="auto"/>
              </w:rPr>
            </w:pP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S-6</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43"/>
        </w:trPr>
        <w:tc>
          <w:tcPr>
            <w:tcW w:w="3000" w:type="dxa"/>
            <w:vAlign w:val="bottom"/>
            <w:gridSpan w:val="11"/>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S-9</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43"/>
        </w:trPr>
        <w:tc>
          <w:tcPr>
            <w:tcW w:w="3000" w:type="dxa"/>
            <w:vAlign w:val="bottom"/>
            <w:gridSpan w:val="11"/>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S-12</w:t>
            </w:r>
          </w:p>
        </w:tc>
      </w:tr>
      <w:tr>
        <w:trPr>
          <w:trHeight w:val="20"/>
        </w:trPr>
        <w:tc>
          <w:tcPr>
            <w:tcW w:w="4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43"/>
        </w:trPr>
        <w:tc>
          <w:tcPr>
            <w:tcW w:w="134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the Notes</w:t>
            </w:r>
          </w:p>
        </w:tc>
        <w:tc>
          <w:tcPr>
            <w:tcW w:w="1660" w:type="dxa"/>
            <w:vAlign w:val="bottom"/>
            <w:gridSpan w:val="5"/>
          </w:tcPr>
          <w:p>
            <w:pPr>
              <w:spacing w:after="0"/>
              <w:rPr>
                <w:sz w:val="12"/>
                <w:szCs w:val="12"/>
                <w:color w:val="auto"/>
              </w:rPr>
            </w:pP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S-13</w:t>
            </w:r>
          </w:p>
        </w:tc>
      </w:tr>
      <w:tr>
        <w:trPr>
          <w:trHeight w:val="143"/>
        </w:trPr>
        <w:tc>
          <w:tcPr>
            <w:tcW w:w="276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Material United States Federal Tax Considerations</w:t>
            </w:r>
          </w:p>
        </w:tc>
        <w:tc>
          <w:tcPr>
            <w:tcW w:w="240" w:type="dxa"/>
            <w:vAlign w:val="bottom"/>
          </w:tcPr>
          <w:p>
            <w:pPr>
              <w:spacing w:after="0"/>
              <w:rPr>
                <w:sz w:val="12"/>
                <w:szCs w:val="12"/>
                <w:color w:val="auto"/>
              </w:rPr>
            </w:pP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S-22</w:t>
            </w:r>
          </w:p>
        </w:tc>
      </w:tr>
      <w:tr>
        <w:trPr>
          <w:trHeight w:val="143"/>
        </w:trPr>
        <w:tc>
          <w:tcPr>
            <w:tcW w:w="3000" w:type="dxa"/>
            <w:vAlign w:val="bottom"/>
            <w:gridSpan w:val="11"/>
          </w:tcPr>
          <w:p>
            <w:pPr>
              <w:spacing w:after="0" w:line="143" w:lineRule="exact"/>
              <w:rPr>
                <w:sz w:val="20"/>
                <w:szCs w:val="20"/>
                <w:color w:val="auto"/>
              </w:rPr>
            </w:pPr>
            <w:r>
              <w:rPr>
                <w:rFonts w:ascii="Times New Roman" w:cs="Times New Roman" w:eastAsia="Times New Roman" w:hAnsi="Times New Roman"/>
                <w:sz w:val="14"/>
                <w:szCs w:val="14"/>
                <w:color w:val="0000EE"/>
              </w:rPr>
              <w:t>Underwriting (Conflicts of Interest)</w:t>
            </w: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S-27</w:t>
            </w:r>
          </w:p>
        </w:tc>
      </w:tr>
      <w:tr>
        <w:trPr>
          <w:trHeight w:val="143"/>
        </w:trPr>
        <w:tc>
          <w:tcPr>
            <w:tcW w:w="760" w:type="dxa"/>
            <w:vAlign w:val="bottom"/>
            <w:tcBorders>
              <w:top w:val="single" w:sz="8" w:color="0000EE"/>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1180" w:type="dxa"/>
            <w:vAlign w:val="bottom"/>
            <w:tcBorders>
              <w:top w:val="single" w:sz="8" w:color="0000EE"/>
            </w:tcBorders>
            <w:gridSpan w:val="4"/>
          </w:tcPr>
          <w:p>
            <w:pPr>
              <w:spacing w:after="0"/>
              <w:rPr>
                <w:sz w:val="12"/>
                <w:szCs w:val="12"/>
                <w:color w:val="auto"/>
              </w:rPr>
            </w:pPr>
          </w:p>
        </w:tc>
        <w:tc>
          <w:tcPr>
            <w:tcW w:w="1060" w:type="dxa"/>
            <w:vAlign w:val="bottom"/>
            <w:gridSpan w:val="3"/>
          </w:tcPr>
          <w:p>
            <w:pPr>
              <w:spacing w:after="0"/>
              <w:rPr>
                <w:sz w:val="12"/>
                <w:szCs w:val="12"/>
                <w:color w:val="auto"/>
              </w:rPr>
            </w:pP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S-33</w:t>
            </w:r>
          </w:p>
        </w:tc>
      </w:tr>
      <w:tr>
        <w:trPr>
          <w:trHeight w:val="143"/>
        </w:trPr>
        <w:tc>
          <w:tcPr>
            <w:tcW w:w="42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3"/>
              </w:rPr>
              <w:t>Experts</w:t>
            </w:r>
          </w:p>
        </w:tc>
        <w:tc>
          <w:tcPr>
            <w:tcW w:w="2580" w:type="dxa"/>
            <w:vAlign w:val="bottom"/>
            <w:gridSpan w:val="10"/>
          </w:tcPr>
          <w:p>
            <w:pPr>
              <w:spacing w:after="0"/>
              <w:rPr>
                <w:sz w:val="12"/>
                <w:szCs w:val="12"/>
                <w:color w:val="auto"/>
              </w:rPr>
            </w:pPr>
          </w:p>
        </w:tc>
        <w:tc>
          <w:tcPr>
            <w:tcW w:w="5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S-33</w:t>
            </w:r>
          </w:p>
        </w:tc>
      </w:tr>
    </w:tbl>
    <w:p>
      <w:pPr>
        <w:spacing w:after="0" w:line="330"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60" w:type="dxa"/>
            <w:vAlign w:val="bottom"/>
          </w:tcPr>
          <w:p>
            <w:pPr>
              <w:jc w:val="right"/>
              <w:ind w:right="3592"/>
              <w:spacing w:after="0"/>
              <w:rPr>
                <w:sz w:val="20"/>
                <w:szCs w:val="20"/>
                <w:color w:val="auto"/>
              </w:rPr>
            </w:pPr>
            <w:r>
              <w:rPr>
                <w:rFonts w:ascii="Times New Roman" w:cs="Times New Roman" w:eastAsia="Times New Roman" w:hAnsi="Times New Roman"/>
                <w:sz w:val="14"/>
                <w:szCs w:val="14"/>
                <w:b w:val="1"/>
                <w:bCs w:val="1"/>
                <w:color w:val="auto"/>
              </w:rPr>
              <w:t>PROSPECTUS</w:t>
            </w:r>
          </w:p>
        </w:tc>
      </w:tr>
      <w:tr>
        <w:trPr>
          <w:trHeight w:val="317"/>
        </w:trPr>
        <w:tc>
          <w:tcPr>
            <w:tcW w:w="1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5"/>
              </w:rPr>
              <w:t>About This Prospectus</w:t>
            </w:r>
          </w:p>
        </w:tc>
        <w:tc>
          <w:tcPr>
            <w:tcW w:w="1880" w:type="dxa"/>
            <w:vAlign w:val="bottom"/>
            <w:gridSpan w:val="6"/>
          </w:tcPr>
          <w:p>
            <w:pPr>
              <w:spacing w:after="0"/>
              <w:rPr>
                <w:sz w:val="24"/>
                <w:szCs w:val="24"/>
                <w:color w:val="auto"/>
              </w:rPr>
            </w:pPr>
          </w:p>
        </w:tc>
        <w:tc>
          <w:tcPr>
            <w:tcW w:w="5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3"/>
        </w:trPr>
        <w:tc>
          <w:tcPr>
            <w:tcW w:w="312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Forward-Looking Statements and Market Data</w:t>
            </w: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r>
      <w:tr>
        <w:trPr>
          <w:trHeight w:val="143"/>
        </w:trPr>
        <w:tc>
          <w:tcPr>
            <w:tcW w:w="2540" w:type="dxa"/>
            <w:vAlign w:val="bottom"/>
            <w:tcBorders>
              <w:top w:val="single" w:sz="8" w:color="0000EE"/>
            </w:tcBorders>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80" w:type="dxa"/>
            <w:vAlign w:val="bottom"/>
          </w:tcPr>
          <w:p>
            <w:pPr>
              <w:spacing w:after="0"/>
              <w:rPr>
                <w:sz w:val="12"/>
                <w:szCs w:val="12"/>
                <w:color w:val="auto"/>
              </w:rPr>
            </w:pP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143"/>
        </w:trPr>
        <w:tc>
          <w:tcPr>
            <w:tcW w:w="420" w:type="dxa"/>
            <w:vAlign w:val="bottom"/>
            <w:tcBorders>
              <w:top w:val="single" w:sz="8" w:color="0000EE"/>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3"/>
              </w:rPr>
              <w:t>Sempra</w:t>
            </w:r>
          </w:p>
        </w:tc>
        <w:tc>
          <w:tcPr>
            <w:tcW w:w="1740" w:type="dxa"/>
            <w:vAlign w:val="bottom"/>
            <w:tcBorders>
              <w:top w:val="single" w:sz="8" w:color="0000EE"/>
            </w:tcBorders>
            <w:gridSpan w:val="10"/>
          </w:tcPr>
          <w:p>
            <w:pPr>
              <w:spacing w:after="0"/>
              <w:rPr>
                <w:sz w:val="12"/>
                <w:szCs w:val="12"/>
                <w:color w:val="auto"/>
              </w:rPr>
            </w:pPr>
          </w:p>
        </w:tc>
        <w:tc>
          <w:tcPr>
            <w:tcW w:w="960" w:type="dxa"/>
            <w:vAlign w:val="bottom"/>
            <w:gridSpan w:val="2"/>
          </w:tcPr>
          <w:p>
            <w:pPr>
              <w:spacing w:after="0"/>
              <w:rPr>
                <w:sz w:val="12"/>
                <w:szCs w:val="12"/>
                <w:color w:val="auto"/>
              </w:rPr>
            </w:pP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312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43"/>
        </w:trPr>
        <w:tc>
          <w:tcPr>
            <w:tcW w:w="312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43"/>
        </w:trPr>
        <w:tc>
          <w:tcPr>
            <w:tcW w:w="1560" w:type="dxa"/>
            <w:vAlign w:val="bottom"/>
            <w:tcBorders>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Capital Stock</w:t>
            </w:r>
          </w:p>
        </w:tc>
        <w:tc>
          <w:tcPr>
            <w:tcW w:w="1560" w:type="dxa"/>
            <w:vAlign w:val="bottom"/>
            <w:gridSpan w:val="5"/>
          </w:tcPr>
          <w:p>
            <w:pPr>
              <w:spacing w:after="0"/>
              <w:rPr>
                <w:sz w:val="12"/>
                <w:szCs w:val="12"/>
                <w:color w:val="auto"/>
              </w:rPr>
            </w:pP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r>
      <w:tr>
        <w:trPr>
          <w:trHeight w:val="143"/>
        </w:trPr>
        <w:tc>
          <w:tcPr>
            <w:tcW w:w="312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43"/>
        </w:trPr>
        <w:tc>
          <w:tcPr>
            <w:tcW w:w="170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Other Securities</w:t>
            </w:r>
          </w:p>
        </w:tc>
        <w:tc>
          <w:tcPr>
            <w:tcW w:w="1420" w:type="dxa"/>
            <w:vAlign w:val="bottom"/>
            <w:gridSpan w:val="3"/>
          </w:tcPr>
          <w:p>
            <w:pPr>
              <w:spacing w:after="0"/>
              <w:rPr>
                <w:sz w:val="12"/>
                <w:szCs w:val="12"/>
                <w:color w:val="auto"/>
              </w:rPr>
            </w:pP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27</w:t>
            </w:r>
          </w:p>
        </w:tc>
      </w:tr>
      <w:tr>
        <w:trPr>
          <w:trHeight w:val="143"/>
        </w:trPr>
        <w:tc>
          <w:tcPr>
            <w:tcW w:w="940" w:type="dxa"/>
            <w:vAlign w:val="bottom"/>
            <w:tcBorders>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4"/>
              </w:rPr>
              <w:t>Global Securities</w:t>
            </w:r>
          </w:p>
        </w:tc>
        <w:tc>
          <w:tcPr>
            <w:tcW w:w="2180" w:type="dxa"/>
            <w:vAlign w:val="bottom"/>
            <w:gridSpan w:val="8"/>
          </w:tcPr>
          <w:p>
            <w:pPr>
              <w:spacing w:after="0"/>
              <w:rPr>
                <w:sz w:val="12"/>
                <w:szCs w:val="12"/>
                <w:color w:val="auto"/>
              </w:rPr>
            </w:pP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28</w:t>
            </w:r>
          </w:p>
        </w:tc>
      </w:tr>
      <w:tr>
        <w:trPr>
          <w:trHeight w:val="143"/>
        </w:trPr>
        <w:tc>
          <w:tcPr>
            <w:tcW w:w="108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2040" w:type="dxa"/>
            <w:vAlign w:val="bottom"/>
            <w:gridSpan w:val="7"/>
          </w:tcPr>
          <w:p>
            <w:pPr>
              <w:spacing w:after="0"/>
              <w:rPr>
                <w:sz w:val="12"/>
                <w:szCs w:val="12"/>
                <w:color w:val="auto"/>
              </w:rPr>
            </w:pP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32</w:t>
            </w:r>
          </w:p>
        </w:tc>
      </w:tr>
      <w:tr>
        <w:trPr>
          <w:trHeight w:val="143"/>
        </w:trPr>
        <w:tc>
          <w:tcPr>
            <w:tcW w:w="760" w:type="dxa"/>
            <w:vAlign w:val="bottom"/>
            <w:tcBorders>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2360" w:type="dxa"/>
            <w:vAlign w:val="bottom"/>
            <w:gridSpan w:val="10"/>
          </w:tcPr>
          <w:p>
            <w:pPr>
              <w:spacing w:after="0"/>
              <w:rPr>
                <w:sz w:val="12"/>
                <w:szCs w:val="12"/>
                <w:color w:val="auto"/>
              </w:rPr>
            </w:pP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33</w:t>
            </w:r>
          </w:p>
        </w:tc>
      </w:tr>
      <w:tr>
        <w:trPr>
          <w:trHeight w:val="143"/>
        </w:trPr>
        <w:tc>
          <w:tcPr>
            <w:tcW w:w="42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3"/>
              </w:rPr>
              <w:t>Experts</w:t>
            </w:r>
          </w:p>
        </w:tc>
        <w:tc>
          <w:tcPr>
            <w:tcW w:w="2700" w:type="dxa"/>
            <w:vAlign w:val="bottom"/>
            <w:gridSpan w:val="12"/>
          </w:tcPr>
          <w:p>
            <w:pPr>
              <w:spacing w:after="0"/>
              <w:rPr>
                <w:sz w:val="12"/>
                <w:szCs w:val="12"/>
                <w:color w:val="auto"/>
              </w:rPr>
            </w:pPr>
          </w:p>
        </w:tc>
        <w:tc>
          <w:tcPr>
            <w:tcW w:w="5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33</w:t>
            </w:r>
          </w:p>
        </w:tc>
      </w:tr>
    </w:tbl>
    <w:p>
      <w:pPr>
        <w:spacing w:after="0" w:line="1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0"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of the notes and also adds to and updates information contained in the accompanying prospectus and the documents incorporated by reference in this prospectus supplement and the accompanying prospectus. The second part is the accompanying prospectus, which gives more general information, some of which does not apply to the notes. If the description of the notes or this offering of the notes varies between this prospectus supplement and the accompanying prospectus, you should rely on the information in this prospectus supplement.</w:t>
      </w:r>
    </w:p>
    <w:p>
      <w:pPr>
        <w:spacing w:after="0" w:line="149" w:lineRule="exact"/>
        <w:rPr>
          <w:sz w:val="20"/>
          <w:szCs w:val="20"/>
          <w:color w:val="auto"/>
        </w:rPr>
      </w:pPr>
    </w:p>
    <w:p>
      <w:pPr>
        <w:ind w:left="1480" w:right="439" w:firstLine="333"/>
        <w:spacing w:after="0" w:line="246"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supplement, the accompanying prospectus and any related free writing prospectus issued by us. We have not, and the underwriters have not, authorized anyone to provide you with different information. If anyone provides you with different or inconsistent information, you should not rely on it. We are offering to sell the notes and seeking offers to buy the notes only in jurisdictions where offers and sales are permitted. You should assume that the information contained in this prospectus supplement, the accompanying prospectus and any such free writing prospectus is accurate only as of their respective dates (or such other dates specified therein) and the information contained in documents incorporated by reference is accurate only as of the respective dates (or such other dates specified therein) of those documents, in each case regardless of the time of delivery of this prospectus supplement or the accompanying prospectus or any such free writing prospectus or any sale of the notes. Our business, financial condition, results of operations and prospects may have changed since those dates.</w:t>
      </w:r>
    </w:p>
    <w:p>
      <w:pPr>
        <w:spacing w:after="0" w:line="149"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The distribution of this prospectus supplement, the accompanying prospectus and any related free writing prospectus filed with the U.S. Securities and Exchange Commission (the “SEC”) and this offering of the notes in certain jurisdictions may be restricted by law. Persons into whose possession this prospectus supplement, the accompanying prospectus and any such free writing prospectus come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9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88" w:lineRule="exact"/>
        <w:rPr>
          <w:sz w:val="20"/>
          <w:szCs w:val="20"/>
          <w:color w:val="auto"/>
        </w:rPr>
      </w:pPr>
    </w:p>
    <w:p>
      <w:pPr>
        <w:ind w:left="1480" w:right="399" w:firstLine="333"/>
        <w:spacing w:after="0" w:line="295" w:lineRule="auto"/>
        <w:rPr>
          <w:sz w:val="20"/>
          <w:szCs w:val="20"/>
          <w:color w:val="auto"/>
        </w:rPr>
      </w:pPr>
      <w:r>
        <w:rPr>
          <w:rFonts w:ascii="Times New Roman" w:cs="Times New Roman" w:eastAsia="Times New Roman" w:hAnsi="Times New Roman"/>
          <w:sz w:val="12"/>
          <w:szCs w:val="12"/>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(each, an “EEA Qualified Investor”). Accordingly, any person making or intending to make an offer in any Member State of the EEA of notes which are the subject of the offering contemplated in this prospectus supplement, the accompanying prospectus and any related free writing prospectus may only do so with respect to EEA Qualified Investors. Neither Sempra nor the underwriters have authorized, nor do they authorize, the making of any offer of notes in the EEA other than to EEA Qualified Investors.</w:t>
      </w:r>
    </w:p>
    <w:p>
      <w:pPr>
        <w:spacing w:after="0" w:line="116" w:lineRule="exact"/>
        <w:rPr>
          <w:sz w:val="20"/>
          <w:szCs w:val="20"/>
          <w:color w:val="auto"/>
        </w:rPr>
      </w:pPr>
    </w:p>
    <w:p>
      <w:pPr>
        <w:ind w:left="1480" w:right="359" w:firstLine="333"/>
        <w:spacing w:after="0" w:line="298" w:lineRule="auto"/>
        <w:rPr>
          <w:sz w:val="20"/>
          <w:szCs w:val="20"/>
          <w:color w:val="auto"/>
        </w:rPr>
      </w:pPr>
      <w:r>
        <w:rPr>
          <w:rFonts w:ascii="Times New Roman" w:cs="Times New Roman" w:eastAsia="Times New Roman" w:hAnsi="Times New Roman"/>
          <w:sz w:val="12"/>
          <w:szCs w:val="12"/>
          <w:b w:val="1"/>
          <w:bCs w:val="1"/>
          <w:color w:val="auto"/>
        </w:rPr>
        <w:t xml:space="preserve">PROHIBITION OF SALES TO EEA RETAIL INVESTORS </w:t>
      </w:r>
      <w:r>
        <w:rPr>
          <w:rFonts w:ascii="Times New Roman" w:cs="Times New Roman" w:eastAsia="Times New Roman" w:hAnsi="Times New Roman"/>
          <w:sz w:val="12"/>
          <w:szCs w:val="12"/>
          <w:color w:val="auto"/>
        </w:rPr>
        <w:t>– The notes are not intended to be offered, sold or otherwise made available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should not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an EEA Qualified Investor. Consequently, no key information document required by Regulation (EU) No 1286/2014, as amended (the “PRIIPs Regulation”) for offering or selling the notes or otherwise making</w:t>
      </w:r>
    </w:p>
    <w:p>
      <w:pPr>
        <w:spacing w:after="0" w:line="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7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99"/>
        <w:spacing w:after="0" w:line="264" w:lineRule="auto"/>
        <w:rPr>
          <w:sz w:val="20"/>
          <w:szCs w:val="20"/>
          <w:color w:val="auto"/>
        </w:rPr>
      </w:pPr>
      <w:r>
        <w:rPr>
          <w:rFonts w:ascii="Times New Roman" w:cs="Times New Roman" w:eastAsia="Times New Roman" w:hAnsi="Times New Roman"/>
          <w:sz w:val="14"/>
          <w:szCs w:val="14"/>
          <w:color w:val="auto"/>
        </w:rPr>
        <w:t>them available to retail investors in the EEA has been prepared and therefore offering or selling the notes or otherwise making them available to any retail investor in the EEA may be unlawful under the PRIIPs Regulation.</w:t>
      </w:r>
    </w:p>
    <w:p>
      <w:pPr>
        <w:spacing w:after="0" w:line="2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88" w:lineRule="exact"/>
        <w:rPr>
          <w:sz w:val="20"/>
          <w:szCs w:val="20"/>
          <w:color w:val="auto"/>
        </w:rPr>
      </w:pPr>
    </w:p>
    <w:p>
      <w:pPr>
        <w:ind w:left="1480" w:right="399" w:firstLine="333"/>
        <w:spacing w:after="0" w:line="297" w:lineRule="auto"/>
        <w:rPr>
          <w:sz w:val="20"/>
          <w:szCs w:val="20"/>
          <w:color w:val="auto"/>
        </w:rPr>
      </w:pPr>
      <w:r>
        <w:rPr>
          <w:rFonts w:ascii="Times New Roman" w:cs="Times New Roman" w:eastAsia="Times New Roman" w:hAnsi="Times New Roman"/>
          <w:sz w:val="12"/>
          <w:szCs w:val="12"/>
          <w:color w:val="auto"/>
        </w:rPr>
        <w:t>This prospectus supplement, the accompanying prospectus and any related free writing prospectus have been prepared on the basis that any offer of notes in the United Kingdom will only be made to a legal entity which is a qualified investor as defined in paragraph 15 of Schedule 1 to the United Kingdom’s Public Offers and Admissions to Trading Regulations 2024 (each, a “UK Qualified Investor”). Accordingly, any person making or intending to make an offer in the United Kingdom of notes which are the subject of the offering contemplated in this prospectus supplement, the accompanying prospectus and any related free writing prospectus may only do so with respect to UK Qualified Investors. Neither Sempra nor the underwriters have authorized, nor do they authorize, the making of any offer of notes in the United Kingdom other than to UK Qualified Investors.</w:t>
      </w:r>
    </w:p>
    <w:p>
      <w:pPr>
        <w:spacing w:after="0" w:line="115" w:lineRule="exact"/>
        <w:rPr>
          <w:sz w:val="20"/>
          <w:szCs w:val="20"/>
          <w:color w:val="auto"/>
        </w:rPr>
      </w:pPr>
    </w:p>
    <w:p>
      <w:pPr>
        <w:ind w:left="1480" w:right="439" w:firstLine="333"/>
        <w:spacing w:after="0" w:line="247" w:lineRule="auto"/>
        <w:rPr>
          <w:sz w:val="20"/>
          <w:szCs w:val="20"/>
          <w:color w:val="auto"/>
        </w:rPr>
      </w:pPr>
      <w:r>
        <w:rPr>
          <w:rFonts w:ascii="Times New Roman" w:cs="Times New Roman" w:eastAsia="Times New Roman" w:hAnsi="Times New Roman"/>
          <w:sz w:val="14"/>
          <w:szCs w:val="14"/>
          <w:b w:val="1"/>
          <w:bCs w:val="1"/>
          <w:color w:val="auto"/>
        </w:rPr>
        <w:t xml:space="preserve">PROHIBITION OF SALES TO UNITED KINGDOM RETAIL INVESTORS </w:t>
      </w:r>
      <w:r>
        <w:rPr>
          <w:rFonts w:ascii="Times New Roman" w:cs="Times New Roman" w:eastAsia="Times New Roman" w:hAnsi="Times New Roman"/>
          <w:sz w:val="14"/>
          <w:szCs w:val="14"/>
          <w:color w:val="auto"/>
        </w:rPr>
        <w:t>– The notes are not intended to be offered, sold, distributed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otherwise made available to and should not be offered, sold, distributed or otherwise made available to any retail investor in the United Kingdom. For these purposes, a “retail investor” means a person who is either one (or both) of the following: (i) not a professional client, as defined in point (8) of Article 2(1) of Regulation (EU) No 600/2014 as it forms part of domestic law in the United Kingdom (“UK MiFIR”); or (ii) not a UK Qualified Investor. Consequently, no disclosure document required by the FCA Product Disclosure Sourcebook (“DISC”) for offering, selling or distributing the notes or otherwise making them available to retail investors in the United Kingdom has been prepared and therefore offering or selling the notes or otherwise making them available to any retail investor in the United Kingdom may be unlawful under DISC and the Consumer Composite Investments (Designated Activities) Regulations 2024.</w:t>
      </w:r>
    </w:p>
    <w:p>
      <w:pPr>
        <w:spacing w:after="0" w:line="149" w:lineRule="exact"/>
        <w:rPr>
          <w:sz w:val="20"/>
          <w:szCs w:val="20"/>
          <w:color w:val="auto"/>
        </w:rPr>
      </w:pPr>
    </w:p>
    <w:p>
      <w:pPr>
        <w:ind w:left="1480" w:right="359" w:firstLine="333"/>
        <w:spacing w:after="0" w:line="288" w:lineRule="auto"/>
        <w:rPr>
          <w:sz w:val="20"/>
          <w:szCs w:val="20"/>
          <w:color w:val="auto"/>
        </w:rPr>
      </w:pPr>
      <w:r>
        <w:rPr>
          <w:rFonts w:ascii="Times New Roman" w:cs="Times New Roman" w:eastAsia="Times New Roman" w:hAnsi="Times New Roman"/>
          <w:sz w:val="12"/>
          <w:szCs w:val="12"/>
          <w:color w:val="auto"/>
        </w:rPr>
        <w:t>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United Kingdom’s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any other persons to whom it may otherwise lawfully be communicated or distributed under the Financial Promotion Order (all such persons together being referred to as “relevant persons”). This prospectus supplement, the accompanying prospectus, any related free writing prospectus and such other documents and/or related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notes offered hereby or any of their contents.</w:t>
      </w: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7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FORWARD-LOOKING STATEMENTS AND MARKET DATA</w:t>
      </w:r>
    </w:p>
    <w:p>
      <w:pPr>
        <w:spacing w:after="0" w:line="170" w:lineRule="exact"/>
        <w:rPr>
          <w:sz w:val="20"/>
          <w:szCs w:val="20"/>
          <w:color w:val="auto"/>
        </w:rPr>
      </w:pPr>
    </w:p>
    <w:p>
      <w:pPr>
        <w:ind w:left="1480" w:right="419" w:firstLine="333"/>
        <w:spacing w:after="0" w:line="247"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they incorporate by reference contain, and any related free writing prospectus issued by us may contain,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w:t>
      </w:r>
    </w:p>
    <w:p>
      <w:pPr>
        <w:spacing w:after="0" w:line="150"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149" w:lineRule="exact"/>
        <w:rPr>
          <w:sz w:val="20"/>
          <w:szCs w:val="20"/>
          <w:color w:val="auto"/>
        </w:rPr>
      </w:pPr>
    </w:p>
    <w:p>
      <w:pPr>
        <w:ind w:left="1480" w:right="699" w:firstLine="333"/>
        <w:spacing w:after="0" w:line="264" w:lineRule="auto"/>
        <w:rPr>
          <w:sz w:val="20"/>
          <w:szCs w:val="20"/>
          <w:color w:val="auto"/>
        </w:rPr>
      </w:pPr>
      <w:r>
        <w:rPr>
          <w:rFonts w:ascii="Times New Roman" w:cs="Times New Roman" w:eastAsia="Times New Roman" w:hAnsi="Times New Roman"/>
          <w:sz w:val="14"/>
          <w:szCs w:val="14"/>
          <w:color w:val="auto"/>
        </w:rPr>
        <w:t>Factors, among others, that could cause actual results and events to differ materially from those expressed or implied in any forward-looking statement include:</w:t>
      </w:r>
    </w:p>
    <w:p>
      <w:pPr>
        <w:spacing w:after="0" w:line="65" w:lineRule="exact"/>
        <w:rPr>
          <w:sz w:val="20"/>
          <w:szCs w:val="20"/>
          <w:color w:val="auto"/>
        </w:rPr>
      </w:pPr>
    </w:p>
    <w:p>
      <w:pPr>
        <w:ind w:left="2220" w:right="479" w:hanging="334"/>
        <w:spacing w:after="0" w:line="254"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w:t>
      </w:r>
    </w:p>
    <w:p>
      <w:pPr>
        <w:spacing w:after="0" w:line="70" w:lineRule="exact"/>
        <w:rPr>
          <w:rFonts w:ascii="Times New Roman" w:cs="Times New Roman" w:eastAsia="Times New Roman" w:hAnsi="Times New Roman"/>
          <w:sz w:val="14"/>
          <w:szCs w:val="14"/>
          <w:color w:val="auto"/>
        </w:rPr>
      </w:pPr>
    </w:p>
    <w:p>
      <w:pPr>
        <w:jc w:val="both"/>
        <w:ind w:left="2220" w:right="699" w:hanging="334"/>
        <w:spacing w:after="0" w:line="291" w:lineRule="auto"/>
        <w:tabs>
          <w:tab w:leader="none" w:pos="22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Nacional de Energía, California Public Utilities Commission, U.S.</w:t>
      </w:r>
    </w:p>
    <w:p>
      <w:pPr>
        <w:ind w:left="2220" w:right="37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Department of Energy, U.S. Federal Energy Regulatory Commission, U.S. Internal Revenue Service, Public Utility Commission of Texas and other regulatory bodies and (ii) U.S., Mexico and states, counties, cities and other jurisdictions therein and in other countries where we do business;</w:t>
      </w:r>
    </w:p>
    <w:p>
      <w:pPr>
        <w:spacing w:after="0" w:line="77" w:lineRule="exact"/>
        <w:rPr>
          <w:rFonts w:ascii="Times New Roman" w:cs="Times New Roman" w:eastAsia="Times New Roman" w:hAnsi="Times New Roman"/>
          <w:sz w:val="12"/>
          <w:szCs w:val="12"/>
          <w:color w:val="auto"/>
        </w:rPr>
      </w:pPr>
    </w:p>
    <w:p>
      <w:pPr>
        <w:ind w:left="2220" w:right="379" w:hanging="334"/>
        <w:spacing w:after="0" w:line="289" w:lineRule="auto"/>
        <w:tabs>
          <w:tab w:leader="none" w:pos="22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business development efforts, construction projects, acquisitions, divestitures, and other significant transactions, such as the planned sale of a portion of our equity interest in Sempra Infrastructure Partners, LP,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w:t>
      </w:r>
    </w:p>
    <w:p>
      <w:pPr>
        <w:ind w:left="2220" w:right="639"/>
        <w:spacing w:after="0" w:line="24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(v) obtaining regulatory and other approvals and (vi) third parties honoring their contracts and commitments, including with respect to closing or post-closing payments;</w:t>
      </w:r>
    </w:p>
    <w:p>
      <w:pPr>
        <w:spacing w:after="0" w:line="75"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capital expenditure plans and their potential impact on rate base or other growth;</w:t>
      </w:r>
    </w:p>
    <w:p>
      <w:pPr>
        <w:spacing w:after="0" w:line="94" w:lineRule="exact"/>
        <w:rPr>
          <w:rFonts w:ascii="Times New Roman" w:cs="Times New Roman" w:eastAsia="Times New Roman" w:hAnsi="Times New Roman"/>
          <w:sz w:val="14"/>
          <w:szCs w:val="14"/>
          <w:color w:val="auto"/>
        </w:rPr>
      </w:pPr>
    </w:p>
    <w:p>
      <w:pPr>
        <w:ind w:left="2220" w:right="359" w:hanging="334"/>
        <w:spacing w:after="0" w:line="250"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spacing w:after="0" w:line="7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arbitration, property disputes and other proceedings;</w:t>
      </w:r>
    </w:p>
    <w:p>
      <w:pPr>
        <w:spacing w:after="0" w:line="94" w:lineRule="exact"/>
        <w:rPr>
          <w:rFonts w:ascii="Times New Roman" w:cs="Times New Roman" w:eastAsia="Times New Roman" w:hAnsi="Times New Roman"/>
          <w:sz w:val="14"/>
          <w:szCs w:val="14"/>
          <w:color w:val="auto"/>
        </w:rPr>
      </w:pPr>
    </w:p>
    <w:p>
      <w:pPr>
        <w:ind w:left="2220" w:right="859" w:hanging="334"/>
        <w:spacing w:after="0" w:line="264"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threats, including by nation-state actors, of ransomware or other attacks on our systems, the energy grid or our other infrastructure, or the systems of third parties with which we conduct business;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7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399" w:hanging="334"/>
        <w:spacing w:after="0" w:line="316" w:lineRule="auto"/>
        <w:tabs>
          <w:tab w:leader="none" w:pos="2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spacing w:after="0" w:line="37" w:lineRule="exact"/>
        <w:rPr>
          <w:rFonts w:ascii="Times New Roman" w:cs="Times New Roman" w:eastAsia="Times New Roman" w:hAnsi="Times New Roman"/>
          <w:sz w:val="12"/>
          <w:szCs w:val="12"/>
          <w:color w:val="auto"/>
        </w:rPr>
      </w:pPr>
    </w:p>
    <w:p>
      <w:pPr>
        <w:ind w:left="2220" w:right="359" w:hanging="334"/>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efforts to increase affordability of U.S. utility customer rates on our ability to obtain cost recovery from applicable regulators, our capital expenditure and other growth plans and our ability to advance statewide policies;</w:t>
      </w:r>
    </w:p>
    <w:p>
      <w:pPr>
        <w:spacing w:after="0" w:line="64" w:lineRule="exact"/>
        <w:rPr>
          <w:rFonts w:ascii="Times New Roman" w:cs="Times New Roman" w:eastAsia="Times New Roman" w:hAnsi="Times New Roman"/>
          <w:sz w:val="14"/>
          <w:szCs w:val="14"/>
          <w:color w:val="auto"/>
        </w:rPr>
      </w:pPr>
    </w:p>
    <w:p>
      <w:pPr>
        <w:ind w:left="2220" w:right="359" w:hanging="334"/>
        <w:spacing w:after="0" w:line="250"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w:t>
      </w:r>
    </w:p>
    <w:p>
      <w:pPr>
        <w:spacing w:after="0" w:line="74" w:lineRule="exact"/>
        <w:rPr>
          <w:rFonts w:ascii="Times New Roman" w:cs="Times New Roman" w:eastAsia="Times New Roman" w:hAnsi="Times New Roman"/>
          <w:sz w:val="14"/>
          <w:szCs w:val="14"/>
          <w:color w:val="auto"/>
        </w:rPr>
      </w:pPr>
    </w:p>
    <w:p>
      <w:pPr>
        <w:ind w:left="2220" w:right="399" w:hanging="334"/>
        <w:spacing w:after="0" w:line="25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spacing w:after="0" w:line="70" w:lineRule="exact"/>
        <w:rPr>
          <w:rFonts w:ascii="Times New Roman" w:cs="Times New Roman" w:eastAsia="Times New Roman" w:hAnsi="Times New Roman"/>
          <w:sz w:val="14"/>
          <w:szCs w:val="14"/>
          <w:color w:val="auto"/>
        </w:rPr>
      </w:pPr>
    </w:p>
    <w:p>
      <w:pPr>
        <w:ind w:left="2220" w:right="379" w:hanging="334"/>
        <w:spacing w:after="0" w:line="250"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spacing w:after="0" w:line="74" w:lineRule="exact"/>
        <w:rPr>
          <w:rFonts w:ascii="Times New Roman" w:cs="Times New Roman" w:eastAsia="Times New Roman" w:hAnsi="Times New Roman"/>
          <w:sz w:val="14"/>
          <w:szCs w:val="14"/>
          <w:color w:val="auto"/>
        </w:rPr>
      </w:pPr>
    </w:p>
    <w:p>
      <w:pPr>
        <w:ind w:left="2220" w:right="359" w:hanging="334"/>
        <w:spacing w:after="0" w:line="349" w:lineRule="auto"/>
        <w:tabs>
          <w:tab w:leader="none" w:pos="2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spacing w:after="0" w:line="17" w:lineRule="exact"/>
        <w:rPr>
          <w:rFonts w:ascii="Times New Roman" w:cs="Times New Roman" w:eastAsia="Times New Roman" w:hAnsi="Times New Roman"/>
          <w:sz w:val="12"/>
          <w:szCs w:val="12"/>
          <w:color w:val="auto"/>
        </w:rPr>
      </w:pPr>
    </w:p>
    <w:p>
      <w:pPr>
        <w:ind w:left="2220" w:right="399" w:hanging="334"/>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Oncor Electric Delivery Company LLC’s (“Oncor”) ability to reduce or eliminate its quarterly dividends due to regulatory and governance requirements and commitments, including by actions of Oncor’s independent directors or a minority member director; and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uncertainties, some of which are difficult to predict and beyond our control.</w:t>
      </w:r>
    </w:p>
    <w:p>
      <w:pPr>
        <w:spacing w:after="0" w:line="166" w:lineRule="exact"/>
        <w:rPr>
          <w:sz w:val="20"/>
          <w:szCs w:val="20"/>
          <w:color w:val="auto"/>
        </w:rPr>
      </w:pPr>
    </w:p>
    <w:p>
      <w:pPr>
        <w:ind w:left="1480" w:right="399" w:firstLine="333"/>
        <w:spacing w:after="0" w:line="300" w:lineRule="auto"/>
        <w:rPr>
          <w:sz w:val="20"/>
          <w:szCs w:val="20"/>
          <w:color w:val="auto"/>
        </w:rPr>
      </w:pPr>
      <w:r>
        <w:rPr>
          <w:rFonts w:ascii="Times New Roman" w:cs="Times New Roman" w:eastAsia="Times New Roman" w:hAnsi="Times New Roman"/>
          <w:sz w:val="12"/>
          <w:szCs w:val="12"/>
          <w:color w:val="auto"/>
        </w:rPr>
        <w:t>We caution you not to rely unduly on any forward-looking statements. You should review and consider carefully the risks, uncertainties and other factors that affect our businesses as described herein, in our Annual Report on Form 10-K for the year ended December 31, 2025, in our Quarterly Report on Form 10-Q for the quarter ended March 31, 2026, and in other reports and documents we file with the SEC that are incorporated by reference in this prospectus supplement and the accompanying prospectus and any related free writing prospectus issued by us. You may obtain copies of these reports and documents as described under “Where You Can Find More Information” in the accompanying prospectus.</w:t>
      </w:r>
    </w:p>
    <w:p>
      <w:pPr>
        <w:spacing w:after="0" w:line="118"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This prospectus supplement, the accompanying prospectus, the documents incorporated and deemed to be incorporated by reference in this prospectus supplement and the accompanying prospectus and any related free writing prospectus issued by us in connection with this offering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supplement, the accompanying prospectus, the documents incorporated and deemed to be incorporated by reference in this prospectus supplement and the accompanying prospectus and any</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7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spacing w:after="0" w:line="248" w:lineRule="auto"/>
        <w:rPr>
          <w:sz w:val="20"/>
          <w:szCs w:val="20"/>
          <w:color w:val="auto"/>
        </w:rPr>
      </w:pPr>
      <w:r>
        <w:rPr>
          <w:rFonts w:ascii="Times New Roman" w:cs="Times New Roman" w:eastAsia="Times New Roman" w:hAnsi="Times New Roman"/>
          <w:sz w:val="14"/>
          <w:szCs w:val="14"/>
          <w:color w:val="auto"/>
        </w:rPr>
        <w:t>related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supplement, the accompanying prospectus, any related free writing prospectus, and documents that are incorporated or deemed to be incorporated by reference in this prospectus supplement and the accompanying prospectus. Accordingly, you should not place undue reliance on any of this information.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7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3293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97805" cy="3293745"/>
                    </a:xfrm>
                    <a:prstGeom prst="rect">
                      <a:avLst/>
                    </a:prstGeom>
                    <a:noFill/>
                  </pic:spPr>
                </pic:pic>
              </a:graphicData>
            </a:graphic>
          </wp:anchor>
        </w:drawing>
      </w:r>
    </w:p>
    <w:p>
      <w:pPr>
        <w:spacing w:after="0" w:line="3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68" w:lineRule="exact"/>
        <w:rPr>
          <w:sz w:val="20"/>
          <w:szCs w:val="20"/>
          <w:color w:val="auto"/>
        </w:rPr>
      </w:pPr>
    </w:p>
    <w:p>
      <w:pPr>
        <w:ind w:left="1620" w:right="519" w:firstLine="322"/>
        <w:spacing w:after="0" w:line="248" w:lineRule="auto"/>
        <w:rPr>
          <w:sz w:val="20"/>
          <w:szCs w:val="20"/>
          <w:color w:val="auto"/>
        </w:rPr>
      </w:pPr>
      <w:r>
        <w:rPr>
          <w:rFonts w:ascii="Times New Roman" w:cs="Times New Roman" w:eastAsia="Times New Roman" w:hAnsi="Times New Roman"/>
          <w:sz w:val="14"/>
          <w:szCs w:val="14"/>
          <w:i w:val="1"/>
          <w:iCs w:val="1"/>
          <w:color w:val="auto"/>
        </w:rPr>
        <w:t>The following information supplements, and should be read together with, the information contained in the accompanying prospectus and the documents incorporated or deemed to be incorporated by reference herein and therein. You should carefully read this prospectus supplement and the accompanying prospectus, as well as the documents they incorporate by reference and any related free writing prospectus issued by us, before making an investment decision. In this prospectus supplement, references to “Sempra,” “we,” “us,” “our” and similar terms mean, unless otherwise specified or the context otherwise requires, Sempra together with its consolidated entities, and references to currency amounts are in U.S. dollars.</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Sempra</w:t>
      </w:r>
    </w:p>
    <w:p>
      <w:pPr>
        <w:spacing w:after="0" w:line="170" w:lineRule="exact"/>
        <w:rPr>
          <w:sz w:val="20"/>
          <w:szCs w:val="20"/>
          <w:color w:val="auto"/>
        </w:rPr>
      </w:pPr>
    </w:p>
    <w:p>
      <w:pPr>
        <w:ind w:left="1620" w:right="519" w:firstLine="322"/>
        <w:spacing w:after="0" w:line="245" w:lineRule="auto"/>
        <w:rPr>
          <w:sz w:val="20"/>
          <w:szCs w:val="20"/>
          <w:color w:val="auto"/>
        </w:rPr>
      </w:pPr>
      <w:r>
        <w:rPr>
          <w:rFonts w:ascii="Times New Roman" w:cs="Times New Roman" w:eastAsia="Times New Roman" w:hAnsi="Times New Roman"/>
          <w:sz w:val="14"/>
          <w:szCs w:val="14"/>
          <w:color w:val="auto"/>
        </w:rPr>
        <w:t>Sempra is a holding company whose principal businesses are regulated utilities in California and Texas. Our businesses invest in and operate electric and gas utilities and other energy infrastructure that provide energy services to customers. Sempra was formed in 1998 through a business combination of Enova Corporation and Pacific Enterprises, the holding companies of our regulated public utilities in California: SDG&amp;E, which began operations in 1881, and SoCalGas, which began operations in 1867. We have since expanded our regulated public utility presence into Texas through our 80.25% interest in Oncor and 50% interest in Sharyland Utilities, L.L.C. Sempra Infrastructure’s assets include investments in the U.S. and Mexico with a focus on liquefied natural gas, energy networks and low carbon solutions. Our mission is to build America’s leading utility growth business. We are primarily focused on the largest economies in the U.S., California and Texas, where we are investing in regulated utilities with a view toward producing stable cash flows and improved earnings visibility. Our goal is to deliver safe, reliable and affordable energy to customers while increasing shareholder value. For additional information concerning us, you should refer to the information under the heading “Where You Can Find More Information” in the accompanying prospectus.</w:t>
      </w:r>
    </w:p>
    <w:p>
      <w:pPr>
        <w:spacing w:after="0" w:line="15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Our principal executive offices are located at 488 8th Avenue, San Diego, California 92101, and our telephone number is (619) 696-2000.</w:t>
      </w:r>
    </w:p>
    <w:p>
      <w:pPr>
        <w:spacing w:after="0" w:line="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 xml:space="preserve">Our website is </w:t>
      </w:r>
      <w:r>
        <w:rPr>
          <w:rFonts w:ascii="Times New Roman" w:cs="Times New Roman" w:eastAsia="Times New Roman" w:hAnsi="Times New Roman"/>
          <w:sz w:val="14"/>
          <w:szCs w:val="14"/>
          <w:i w:val="1"/>
          <w:iCs w:val="1"/>
          <w:color w:val="auto"/>
        </w:rPr>
        <w:t>http://www.sempra.com</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1620" w:right="659" w:firstLine="322"/>
        <w:spacing w:after="0" w:line="250" w:lineRule="auto"/>
        <w:rPr>
          <w:sz w:val="20"/>
          <w:szCs w:val="20"/>
          <w:color w:val="auto"/>
        </w:rPr>
      </w:pPr>
      <w:r>
        <w:rPr>
          <w:rFonts w:ascii="Times New Roman" w:cs="Times New Roman" w:eastAsia="Times New Roman" w:hAnsi="Times New Roman"/>
          <w:sz w:val="14"/>
          <w:szCs w:val="14"/>
          <w:color w:val="auto"/>
        </w:rPr>
        <w:t>Except for documents that are incorporated by reference in the accompanying prospectus as described therein under “Where You Can Find More Information” and that are available on the SEC website at www.sec.gov, the information contained on, or that can be accessed through, our website or any other website referenced herein is not a part of or incorporated by reference in this prospectus supplement, the accompanying prospectus or any document incorporated or deemed to be incorporated herein or therein.</w:t>
      </w: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7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688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97805" cy="4688205"/>
                    </a:xfrm>
                    <a:prstGeom prst="rect">
                      <a:avLst/>
                    </a:prstGeom>
                    <a:noFill/>
                  </pic:spPr>
                </pic:pic>
              </a:graphicData>
            </a:graphic>
          </wp:anchor>
        </w:drawing>
      </w: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68" w:lineRule="exact"/>
        <w:rPr>
          <w:sz w:val="20"/>
          <w:szCs w:val="20"/>
          <w:color w:val="auto"/>
        </w:rPr>
      </w:pPr>
    </w:p>
    <w:p>
      <w:pPr>
        <w:ind w:left="1620" w:right="499" w:firstLine="322"/>
        <w:spacing w:after="0" w:line="251" w:lineRule="auto"/>
        <w:rPr>
          <w:sz w:val="20"/>
          <w:szCs w:val="20"/>
          <w:color w:val="auto"/>
        </w:rPr>
      </w:pPr>
      <w:r>
        <w:rPr>
          <w:rFonts w:ascii="Times New Roman" w:cs="Times New Roman" w:eastAsia="Times New Roman" w:hAnsi="Times New Roman"/>
          <w:sz w:val="14"/>
          <w:szCs w:val="14"/>
          <w:i w:val="1"/>
          <w:iCs w:val="1"/>
          <w:color w:val="auto"/>
        </w:rPr>
        <w:t>The following summary contains basic information about this offering. It does not contain all the information that is important to you. You should carefully read this prospectus supplement and the accompanying prospectus, the documents incorporated and deemed to be incorporated by reference in this prospectus supplement and the accompanying prospectus and any free writing prospectus we may provide you in connection with this offering before making an investment decision.</w:t>
      </w:r>
    </w:p>
    <w:p>
      <w:pPr>
        <w:spacing w:after="0" w:line="144" w:lineRule="exact"/>
        <w:rPr>
          <w:sz w:val="20"/>
          <w:szCs w:val="20"/>
          <w:color w:val="auto"/>
        </w:rPr>
      </w:pPr>
    </w:p>
    <w:p>
      <w:pPr>
        <w:ind w:left="1620" w:right="819" w:firstLine="322"/>
        <w:spacing w:after="0" w:line="267" w:lineRule="auto"/>
        <w:rPr>
          <w:sz w:val="20"/>
          <w:szCs w:val="20"/>
          <w:color w:val="auto"/>
        </w:rPr>
      </w:pPr>
      <w:r>
        <w:rPr>
          <w:rFonts w:ascii="Times New Roman" w:cs="Times New Roman" w:eastAsia="Times New Roman" w:hAnsi="Times New Roman"/>
          <w:sz w:val="14"/>
          <w:szCs w:val="14"/>
          <w:i w:val="1"/>
          <w:iCs w:val="1"/>
          <w:color w:val="auto"/>
        </w:rPr>
        <w:t>In this section, references to “Sempra,” “we,” “us,” “our” and similar terms mean, unless otherwise specified or the context otherwise requires, Sempra excluding its consolidated entities.</w:t>
      </w:r>
    </w:p>
    <w:p>
      <w:pPr>
        <w:spacing w:after="0" w:line="154" w:lineRule="exact"/>
        <w:rPr>
          <w:sz w:val="20"/>
          <w:szCs w:val="20"/>
          <w:color w:val="auto"/>
        </w:rPr>
      </w:pPr>
    </w:p>
    <w:tbl>
      <w:tblPr>
        <w:tblLayout w:type="fixed"/>
        <w:tblInd w:w="1480" w:type="dxa"/>
        <w:tblCellMar>
          <w:top w:w="0" w:type="dxa"/>
          <w:left w:w="0" w:type="dxa"/>
          <w:bottom w:w="0" w:type="dxa"/>
          <w:right w:w="0" w:type="dxa"/>
        </w:tblCellMar>
      </w:tblPr>
      <w:tr>
        <w:trPr>
          <w:trHeight w:val="17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Issuer</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Sempra.</w:t>
            </w:r>
          </w:p>
        </w:tc>
      </w:tr>
      <w:tr>
        <w:trPr>
          <w:trHeight w:val="357"/>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 of Notes Offered</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$1,000,000,000 aggregate principal amount of Floating Rate Notes due 2028 (the “notes”).</w:t>
            </w:r>
          </w:p>
        </w:tc>
      </w:tr>
      <w:tr>
        <w:trPr>
          <w:trHeight w:val="357"/>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Maturity</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January 7, 2028.</w:t>
            </w:r>
          </w:p>
        </w:tc>
      </w:tr>
      <w:tr>
        <w:trPr>
          <w:trHeight w:val="346"/>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notes will bear interest at a rate equivalent to Compounded SOFR (as defined herein)</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plus 0.670% per annum; provided that in no event will the interest rate on the notes be less</w:t>
            </w:r>
          </w:p>
        </w:tc>
      </w:tr>
      <w:tr>
        <w:trPr>
          <w:trHeight w:val="175"/>
        </w:trPr>
        <w:tc>
          <w:tcPr>
            <w:tcW w:w="2360" w:type="dxa"/>
            <w:vAlign w:val="bottom"/>
          </w:tcPr>
          <w:p>
            <w:pPr>
              <w:spacing w:after="0"/>
              <w:rPr>
                <w:sz w:val="15"/>
                <w:szCs w:val="15"/>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than zero.</w:t>
            </w:r>
          </w:p>
        </w:tc>
      </w:tr>
      <w:tr>
        <w:trPr>
          <w:trHeight w:val="347"/>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Payment Dates</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October 7, January 7, April 7 and July 7 of each year, beginning on October 7, 2026.</w:t>
            </w:r>
          </w:p>
        </w:tc>
      </w:tr>
      <w:tr>
        <w:trPr>
          <w:trHeight w:val="346"/>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Ranking</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notes will be our unsecured and unsubordinated obligations and will rank equally in</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right of payment with all of our other existing and future unsecured and unsubordinated</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indebtedness and guarantees. The notes will rank senior in right of payment to all of our</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existing and future indebtedness that is subordinated to the notes. The notes will be</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effectively subordinated in right of payment to any secured indebtedness we have or may</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incur (to the extent of the value of the collateral securing such secured indebtedness) and</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will also be effectively subordinated in right of payment to all existing and future</w:t>
            </w:r>
          </w:p>
        </w:tc>
      </w:tr>
      <w:tr>
        <w:trPr>
          <w:trHeight w:val="175"/>
        </w:trPr>
        <w:tc>
          <w:tcPr>
            <w:tcW w:w="2360" w:type="dxa"/>
            <w:vAlign w:val="bottom"/>
          </w:tcPr>
          <w:p>
            <w:pPr>
              <w:spacing w:after="0"/>
              <w:rPr>
                <w:sz w:val="15"/>
                <w:szCs w:val="15"/>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indebtedness and other liabilities and any preferred equity of our subsidiaries.</w:t>
            </w:r>
          </w:p>
        </w:tc>
      </w:tr>
      <w:tr>
        <w:trPr>
          <w:trHeight w:val="347"/>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Optional Redemption</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notes will not be redeemable at our option prior to maturity.</w:t>
            </w:r>
          </w:p>
        </w:tc>
      </w:tr>
      <w:tr>
        <w:trPr>
          <w:trHeight w:val="346"/>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Covenants</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notes will not, and the related indenture does not, limit the amount of indebtedness or</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other liabilities that Sempra or any of its subsidiaries may incur, and will not contain any</w:t>
            </w:r>
          </w:p>
        </w:tc>
      </w:tr>
      <w:tr>
        <w:trPr>
          <w:trHeight w:val="175"/>
        </w:trPr>
        <w:tc>
          <w:tcPr>
            <w:tcW w:w="2360" w:type="dxa"/>
            <w:vAlign w:val="bottom"/>
          </w:tcPr>
          <w:p>
            <w:pPr>
              <w:spacing w:after="0"/>
              <w:rPr>
                <w:sz w:val="15"/>
                <w:szCs w:val="15"/>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financial or other similar restrictive covenants.</w:t>
            </w:r>
          </w:p>
        </w:tc>
      </w:tr>
      <w:tr>
        <w:trPr>
          <w:trHeight w:val="33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We estimate that the net proceeds to us from the sale of the notes will be approximately</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$998.5 million after deducting the underwriting discount but before deducting estimated</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offering expenses payable by us. We intend to use a substantial portion of the net proceeds</w:t>
            </w:r>
          </w:p>
        </w:tc>
      </w:tr>
      <w:tr>
        <w:trPr>
          <w:trHeight w:val="163"/>
        </w:trPr>
        <w:tc>
          <w:tcPr>
            <w:tcW w:w="2360" w:type="dxa"/>
            <w:vAlign w:val="bottom"/>
          </w:tcPr>
          <w:p>
            <w:pPr>
              <w:spacing w:after="0"/>
              <w:rPr>
                <w:sz w:val="14"/>
                <w:szCs w:val="14"/>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from this offering to repay outstanding commercial paper and potentially other</w:t>
            </w:r>
          </w:p>
        </w:tc>
      </w:tr>
      <w:tr>
        <w:trPr>
          <w:trHeight w:val="175"/>
        </w:trPr>
        <w:tc>
          <w:tcPr>
            <w:tcW w:w="2360" w:type="dxa"/>
            <w:vAlign w:val="bottom"/>
          </w:tcPr>
          <w:p>
            <w:pPr>
              <w:spacing w:after="0"/>
              <w:rPr>
                <w:sz w:val="15"/>
                <w:szCs w:val="15"/>
                <w:color w:val="auto"/>
              </w:rPr>
            </w:pPr>
          </w:p>
        </w:tc>
        <w:tc>
          <w:tcPr>
            <w:tcW w:w="5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indebtedness and to use any remaining net proceeds for other general corporate purposes.</w:t>
            </w:r>
          </w:p>
        </w:tc>
      </w:tr>
      <w:tr>
        <w:trPr>
          <w:trHeight w:val="129"/>
        </w:trPr>
        <w:tc>
          <w:tcPr>
            <w:tcW w:w="2360" w:type="dxa"/>
            <w:vAlign w:val="bottom"/>
            <w:tcBorders>
              <w:bottom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r>
      <w:tr>
        <w:trPr>
          <w:trHeight w:val="270"/>
        </w:trPr>
        <w:tc>
          <w:tcPr>
            <w:tcW w:w="2360" w:type="dxa"/>
            <w:vAlign w:val="bottom"/>
          </w:tcPr>
          <w:p>
            <w:pPr>
              <w:spacing w:after="0"/>
              <w:rPr>
                <w:sz w:val="23"/>
                <w:szCs w:val="23"/>
                <w:color w:val="auto"/>
              </w:rPr>
            </w:pPr>
          </w:p>
        </w:tc>
        <w:tc>
          <w:tcPr>
            <w:tcW w:w="598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10159"/>
          </w:cols>
          <w:pgMar w:left="300" w:top="3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90" w:type="dxa"/>
        <w:tblCellMar>
          <w:top w:w="0" w:type="dxa"/>
          <w:left w:w="0" w:type="dxa"/>
          <w:bottom w:w="0" w:type="dxa"/>
          <w:right w:w="0" w:type="dxa"/>
        </w:tblCellMar>
      </w:tblPr>
      <w:tr>
        <w:trPr>
          <w:trHeight w:val="288"/>
        </w:trPr>
        <w:tc>
          <w:tcPr>
            <w:tcW w:w="234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Conflicts of Interest</w:t>
            </w:r>
          </w:p>
        </w:tc>
        <w:tc>
          <w:tcPr>
            <w:tcW w:w="600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For information regarding certain conflicts of interest that may arise from the use of</w:t>
            </w:r>
          </w:p>
        </w:tc>
      </w:tr>
      <w:tr>
        <w:trPr>
          <w:trHeight w:val="163"/>
        </w:trPr>
        <w:tc>
          <w:tcPr>
            <w:tcW w:w="2340" w:type="dxa"/>
            <w:vAlign w:val="bottom"/>
            <w:tcBorders>
              <w:left w:val="single" w:sz="8" w:color="auto"/>
            </w:tcBorders>
          </w:tcPr>
          <w:p>
            <w:pPr>
              <w:spacing w:after="0"/>
              <w:rPr>
                <w:sz w:val="14"/>
                <w:szCs w:val="14"/>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proceeds from the sale of the notes, see “Use of Proceeds,” “Underwriting (Conflicts of</w:t>
            </w:r>
          </w:p>
        </w:tc>
      </w:tr>
      <w:tr>
        <w:trPr>
          <w:trHeight w:val="163"/>
        </w:trPr>
        <w:tc>
          <w:tcPr>
            <w:tcW w:w="2340" w:type="dxa"/>
            <w:vAlign w:val="bottom"/>
            <w:tcBorders>
              <w:left w:val="single" w:sz="8" w:color="auto"/>
            </w:tcBorders>
          </w:tcPr>
          <w:p>
            <w:pPr>
              <w:spacing w:after="0"/>
              <w:rPr>
                <w:sz w:val="14"/>
                <w:szCs w:val="14"/>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Interest)—Other Relationships” and “Underwriting (Conflicts of Interest)—Conflicts of</w:t>
            </w:r>
          </w:p>
        </w:tc>
      </w:tr>
      <w:tr>
        <w:trPr>
          <w:trHeight w:val="175"/>
        </w:trPr>
        <w:tc>
          <w:tcPr>
            <w:tcW w:w="2340" w:type="dxa"/>
            <w:vAlign w:val="bottom"/>
            <w:tcBorders>
              <w:left w:val="single" w:sz="8" w:color="auto"/>
            </w:tcBorders>
          </w:tcPr>
          <w:p>
            <w:pPr>
              <w:spacing w:after="0"/>
              <w:rPr>
                <w:sz w:val="15"/>
                <w:szCs w:val="15"/>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Interest” in this prospectus supplement.</w:t>
            </w:r>
          </w:p>
        </w:tc>
      </w:tr>
      <w:tr>
        <w:trPr>
          <w:trHeight w:val="335"/>
        </w:trPr>
        <w:tc>
          <w:tcPr>
            <w:tcW w:w="23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Denomination and Form</w:t>
            </w: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The notes will be issued in registered form and in denominations of $2,000 and integral</w:t>
            </w:r>
          </w:p>
        </w:tc>
      </w:tr>
      <w:tr>
        <w:trPr>
          <w:trHeight w:val="163"/>
        </w:trPr>
        <w:tc>
          <w:tcPr>
            <w:tcW w:w="2340" w:type="dxa"/>
            <w:vAlign w:val="bottom"/>
            <w:tcBorders>
              <w:left w:val="single" w:sz="8" w:color="auto"/>
            </w:tcBorders>
          </w:tcPr>
          <w:p>
            <w:pPr>
              <w:spacing w:after="0"/>
              <w:rPr>
                <w:sz w:val="14"/>
                <w:szCs w:val="14"/>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multiples of $1,000 in excess thereof. The notes initially will be issued in book-entry form</w:t>
            </w:r>
          </w:p>
        </w:tc>
      </w:tr>
      <w:tr>
        <w:trPr>
          <w:trHeight w:val="163"/>
        </w:trPr>
        <w:tc>
          <w:tcPr>
            <w:tcW w:w="2340" w:type="dxa"/>
            <w:vAlign w:val="bottom"/>
            <w:tcBorders>
              <w:left w:val="single" w:sz="8" w:color="auto"/>
            </w:tcBorders>
          </w:tcPr>
          <w:p>
            <w:pPr>
              <w:spacing w:after="0"/>
              <w:rPr>
                <w:sz w:val="14"/>
                <w:szCs w:val="14"/>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and represented by one or more global notes deposited with, or on behalf of, The</w:t>
            </w:r>
          </w:p>
        </w:tc>
      </w:tr>
      <w:tr>
        <w:trPr>
          <w:trHeight w:val="175"/>
        </w:trPr>
        <w:tc>
          <w:tcPr>
            <w:tcW w:w="2340" w:type="dxa"/>
            <w:vAlign w:val="bottom"/>
            <w:tcBorders>
              <w:left w:val="single" w:sz="8" w:color="auto"/>
            </w:tcBorders>
          </w:tcPr>
          <w:p>
            <w:pPr>
              <w:spacing w:after="0"/>
              <w:rPr>
                <w:sz w:val="15"/>
                <w:szCs w:val="15"/>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Depository Trust Company, as depositary (the “Depositary”).</w:t>
            </w:r>
          </w:p>
        </w:tc>
      </w:tr>
      <w:tr>
        <w:trPr>
          <w:trHeight w:val="335"/>
        </w:trPr>
        <w:tc>
          <w:tcPr>
            <w:tcW w:w="23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No Listing</w:t>
            </w: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We do not</w:t>
            </w:r>
          </w:p>
        </w:tc>
      </w:tr>
      <w:tr>
        <w:trPr>
          <w:trHeight w:val="163"/>
        </w:trPr>
        <w:tc>
          <w:tcPr>
            <w:tcW w:w="2340" w:type="dxa"/>
            <w:vAlign w:val="bottom"/>
            <w:tcBorders>
              <w:left w:val="single" w:sz="8" w:color="auto"/>
            </w:tcBorders>
          </w:tcPr>
          <w:p>
            <w:pPr>
              <w:spacing w:after="0"/>
              <w:rPr>
                <w:sz w:val="14"/>
                <w:szCs w:val="14"/>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intend to apply for the listing or trading of the notes on any securities exchange or trading</w:t>
            </w:r>
          </w:p>
        </w:tc>
      </w:tr>
      <w:tr>
        <w:trPr>
          <w:trHeight w:val="175"/>
        </w:trPr>
        <w:tc>
          <w:tcPr>
            <w:tcW w:w="2340" w:type="dxa"/>
            <w:vAlign w:val="bottom"/>
            <w:tcBorders>
              <w:left w:val="single" w:sz="8" w:color="auto"/>
            </w:tcBorders>
          </w:tcPr>
          <w:p>
            <w:pPr>
              <w:spacing w:after="0"/>
              <w:rPr>
                <w:sz w:val="15"/>
                <w:szCs w:val="15"/>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facility or for inclusion of the notes in any automated quotation system.</w:t>
            </w:r>
          </w:p>
        </w:tc>
      </w:tr>
      <w:tr>
        <w:trPr>
          <w:trHeight w:val="335"/>
        </w:trPr>
        <w:tc>
          <w:tcPr>
            <w:tcW w:w="23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See “Risk Factors” in this prospectus supplement and the accompanying prospectus and the</w:t>
            </w:r>
          </w:p>
        </w:tc>
      </w:tr>
      <w:tr>
        <w:trPr>
          <w:trHeight w:val="163"/>
        </w:trPr>
        <w:tc>
          <w:tcPr>
            <w:tcW w:w="2340" w:type="dxa"/>
            <w:vAlign w:val="bottom"/>
            <w:tcBorders>
              <w:left w:val="single" w:sz="8" w:color="auto"/>
            </w:tcBorders>
          </w:tcPr>
          <w:p>
            <w:pPr>
              <w:spacing w:after="0"/>
              <w:rPr>
                <w:sz w:val="14"/>
                <w:szCs w:val="14"/>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other information incorporated by reference in this prospectus supplement and the</w:t>
            </w:r>
          </w:p>
        </w:tc>
      </w:tr>
      <w:tr>
        <w:trPr>
          <w:trHeight w:val="163"/>
        </w:trPr>
        <w:tc>
          <w:tcPr>
            <w:tcW w:w="2340" w:type="dxa"/>
            <w:vAlign w:val="bottom"/>
            <w:tcBorders>
              <w:left w:val="single" w:sz="8" w:color="auto"/>
            </w:tcBorders>
          </w:tcPr>
          <w:p>
            <w:pPr>
              <w:spacing w:after="0"/>
              <w:rPr>
                <w:sz w:val="14"/>
                <w:szCs w:val="14"/>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accompanying prospectus for a discussion of some of the risks and other factors you should</w:t>
            </w:r>
          </w:p>
        </w:tc>
      </w:tr>
      <w:tr>
        <w:trPr>
          <w:trHeight w:val="175"/>
        </w:trPr>
        <w:tc>
          <w:tcPr>
            <w:tcW w:w="2340" w:type="dxa"/>
            <w:vAlign w:val="bottom"/>
            <w:tcBorders>
              <w:left w:val="single" w:sz="8" w:color="auto"/>
            </w:tcBorders>
          </w:tcPr>
          <w:p>
            <w:pPr>
              <w:spacing w:after="0"/>
              <w:rPr>
                <w:sz w:val="15"/>
                <w:szCs w:val="15"/>
                <w:color w:val="auto"/>
              </w:rPr>
            </w:pPr>
          </w:p>
        </w:tc>
        <w:tc>
          <w:tcPr>
            <w:tcW w:w="6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consider carefully before deciding to invest in the notes.</w:t>
            </w:r>
          </w:p>
        </w:tc>
      </w:tr>
      <w:tr>
        <w:trPr>
          <w:trHeight w:val="129"/>
        </w:trPr>
        <w:tc>
          <w:tcPr>
            <w:tcW w:w="2340" w:type="dxa"/>
            <w:vAlign w:val="bottom"/>
            <w:tcBorders>
              <w:left w:val="single" w:sz="8" w:color="auto"/>
              <w:bottom w:val="single" w:sz="8" w:color="auto"/>
            </w:tcBorders>
          </w:tcPr>
          <w:p>
            <w:pPr>
              <w:spacing w:after="0"/>
              <w:rPr>
                <w:sz w:val="11"/>
                <w:szCs w:val="11"/>
                <w:color w:val="auto"/>
              </w:rPr>
            </w:pPr>
          </w:p>
        </w:tc>
        <w:tc>
          <w:tcPr>
            <w:tcW w:w="6000" w:type="dxa"/>
            <w:vAlign w:val="bottom"/>
            <w:tcBorders>
              <w:bottom w:val="single" w:sz="8" w:color="auto"/>
              <w:right w:val="single" w:sz="8" w:color="auto"/>
            </w:tcBorders>
          </w:tcPr>
          <w:p>
            <w:pPr>
              <w:spacing w:after="0"/>
              <w:rPr>
                <w:sz w:val="11"/>
                <w:szCs w:val="11"/>
                <w:color w:val="auto"/>
              </w:rPr>
            </w:pPr>
          </w:p>
        </w:tc>
      </w:tr>
      <w:tr>
        <w:trPr>
          <w:trHeight w:val="270"/>
        </w:trPr>
        <w:tc>
          <w:tcPr>
            <w:tcW w:w="2340" w:type="dxa"/>
            <w:vAlign w:val="bottom"/>
          </w:tcPr>
          <w:p>
            <w:pPr>
              <w:spacing w:after="0"/>
              <w:rPr>
                <w:sz w:val="23"/>
                <w:szCs w:val="23"/>
                <w:color w:val="auto"/>
              </w:rPr>
            </w:pPr>
          </w:p>
        </w:tc>
        <w:tc>
          <w:tcPr>
            <w:tcW w:w="60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S-8</w:t>
            </w:r>
          </w:p>
        </w:tc>
      </w:tr>
    </w:tbl>
    <w:p>
      <w:pPr>
        <w:sectPr>
          <w:pgSz w:w="11900" w:h="16838" w:orient="portrait"/>
          <w:cols w:equalWidth="0" w:num="1">
            <w:col w:w="10159"/>
          </w:cols>
          <w:pgMar w:left="300" w:top="37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80" w:right="379" w:firstLine="333"/>
        <w:spacing w:after="0" w:line="289" w:lineRule="auto"/>
        <w:rPr>
          <w:sz w:val="20"/>
          <w:szCs w:val="20"/>
          <w:color w:val="auto"/>
        </w:rPr>
      </w:pPr>
      <w:r>
        <w:rPr>
          <w:rFonts w:ascii="Times New Roman" w:cs="Times New Roman" w:eastAsia="Times New Roman" w:hAnsi="Times New Roman"/>
          <w:sz w:val="12"/>
          <w:szCs w:val="12"/>
          <w:color w:val="auto"/>
        </w:rPr>
        <w:t>Investing in the notes involves risks. Before deciding whether to purchase any of the notes, you should review and consider carefully the risks described below and the risk factors and other cautionary language incorporated in this prospectus supplement and the accompanying prospectus by reference to our most recent Annual Report on Form 10-K, any subsequent Quarterly Reports on Form 10-Q and any Current Reports on Form 8-K filed (and not furnished) by us with the SEC subsequent to the last day of the fiscal year covered by our most recent Annual Report on Form 10-K and all other information contained or incorporated by reference in this prospectus supplement and the accompanying prospectus, as updated by our subsequent filings under the Securities Exchange Act of 1934, as amended (the “Exchange Act”), that are incorporated by reference in this prospectus supplement and the accompanying prospectus, as well as any free writing prospectus we may provide you in connection with this offering. Please also carefully read the information under the heading “Forward-Looking Statements and Market Data” or any similar headings in this prospectus supplement, the accompanying prospectus, our most recent Annual Report on Form 10-K and any subsequent Quarterly Reports on Form 10-Q and Current Reports on Form 8-K filed (and not furnished) by us with the SEC subsequent to the last day of the fiscal year covered by our most recent Annual Report on Form 10-K. There may be other risks and uncertainties not known to us or that we deem immaterial that also could impair our business operations, financial results and the value of our securities. The occurrence of any of these risks could have a material adverse effect on our results of operations, financial condition, cash flows and/or prospects and might cause you to lose all or part of your investment in the notes. In that regard, unless otherwise expressly stated or the context otherwise requires, references to our indebtedness generally or our senior indebtedness appearing under this heading “Risk Factors” and similar headings in our most recent Annual Report on Form 10-K include the notes offered hereby.</w:t>
      </w:r>
    </w:p>
    <w:p>
      <w:pPr>
        <w:spacing w:after="0" w:line="200" w:lineRule="exact"/>
        <w:rPr>
          <w:sz w:val="20"/>
          <w:szCs w:val="20"/>
          <w:color w:val="auto"/>
        </w:rPr>
      </w:pPr>
    </w:p>
    <w:p>
      <w:pPr>
        <w:spacing w:after="0" w:line="332" w:lineRule="exact"/>
        <w:rPr>
          <w:sz w:val="20"/>
          <w:szCs w:val="20"/>
          <w:color w:val="auto"/>
        </w:rPr>
      </w:pPr>
    </w:p>
    <w:p>
      <w:pPr>
        <w:ind w:left="1480" w:right="55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The notes will be effectively subordinated in right of payment to all indebtedness and other liabilities and any preferred equity of Sempra’s subsidiaries, and the indenture under which the notes will be issued does not limit the aggregate amount of indebtedness and other liabilities that Sempra and its subsidiaries may incur.</w:t>
      </w:r>
    </w:p>
    <w:p>
      <w:pPr>
        <w:spacing w:after="0" w:line="59" w:lineRule="exact"/>
        <w:rPr>
          <w:sz w:val="20"/>
          <w:szCs w:val="20"/>
          <w:color w:val="auto"/>
        </w:rPr>
      </w:pPr>
    </w:p>
    <w:p>
      <w:pPr>
        <w:ind w:left="1480" w:right="399" w:firstLine="333"/>
        <w:spacing w:after="0" w:line="246" w:lineRule="auto"/>
        <w:rPr>
          <w:sz w:val="20"/>
          <w:szCs w:val="20"/>
          <w:color w:val="auto"/>
        </w:rPr>
      </w:pPr>
      <w:r>
        <w:rPr>
          <w:rFonts w:ascii="Times New Roman" w:cs="Times New Roman" w:eastAsia="Times New Roman" w:hAnsi="Times New Roman"/>
          <w:sz w:val="14"/>
          <w:szCs w:val="14"/>
          <w:color w:val="auto"/>
        </w:rPr>
        <w:t>The notes will be the unsecured and unsubordinated obligations of Sempra, and will be obligations of Sempra exclusively and will not be the obligations of any of its consolidated entities, equity method investees or other affiliates. Because Sempra is a holding company and substantially all the assets that produce Sempra’s earnings are owned by its consolidated subsidiaries or its equity method investees, which are entities Sempra does not control, the notes will be effectively subordinated in right of payment to all existing and future indebtedness and other liabilities and any preferred equity of Sempra’s subsidiaries. At March 31, 2026, Sempra’s consolidated subsidiaries had total indebtedness and other liabilities of approximately $53.6 billion owing to unaffiliated third parties, to which the notes would be effectively subordinated in right of payment. The notes will also be effectively subordinated in right of payment to any secured indebtedness we have or may incur (to the extent of the value of the collateral securing such secured indebtedness).</w:t>
      </w:r>
    </w:p>
    <w:p>
      <w:pPr>
        <w:spacing w:after="0" w:line="150"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The indenture under which the notes will be issued does not limit the amount of indebtedness (including secured indebtedness) and other liabilities that may be incurred by Sempra or any of its subsidiaries. The incurrence by Sempra or its subsidiaries of additional indebtedness and liabilities may have adverse consequences for you as a holder of the notes, including making it more difficult for Sempra to satisfy its obligations with respect to the notes, a loss of all or part of the trading value of your notes and the risk that one or more of the credit ratings on the notes could be lowered or withdrawn. Both Sempra and its subsidiaries expect to incur substantial amounts of additional indebtedness in the future.</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SOFR (as defined below) may be more volatile than other benchmark or market rates.</w:t>
      </w:r>
    </w:p>
    <w:p>
      <w:pPr>
        <w:spacing w:after="0" w:line="88" w:lineRule="exact"/>
        <w:rPr>
          <w:sz w:val="20"/>
          <w:szCs w:val="20"/>
          <w:color w:val="auto"/>
        </w:rPr>
      </w:pPr>
    </w:p>
    <w:p>
      <w:pPr>
        <w:ind w:left="1480" w:right="379" w:firstLine="333"/>
        <w:spacing w:after="0" w:line="316" w:lineRule="auto"/>
        <w:rPr>
          <w:sz w:val="20"/>
          <w:szCs w:val="20"/>
          <w:color w:val="auto"/>
        </w:rPr>
      </w:pPr>
      <w:r>
        <w:rPr>
          <w:rFonts w:ascii="Times New Roman" w:cs="Times New Roman" w:eastAsia="Times New Roman" w:hAnsi="Times New Roman"/>
          <w:sz w:val="12"/>
          <w:szCs w:val="12"/>
          <w:color w:val="auto"/>
        </w:rPr>
        <w:t>Since the initial publication of SOFR, daily changes in SOFR have, on occasion, been more volatile than daily changes in other benchmark or market rates, such as United States dollar London Inter-bank Offered Rate. Although changes in Compounded SOFR generally are not expected to be as volatile as changes in daily levels of SOFR, the return on and value of the notes may fluctuate more than floating rate debt securities that are linked to</w:t>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7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less volatile rates. In addition, the volatility of SOFR has reflected the underlying volatility of the overnight United States Treasury repurchase agreement (“repo”) market. The Federal Reserve Bank of New York has at times conducted operations in the overnight United States Treasury repo market in order to help maintain the federal funds rate within a target range. The Federal Reserve Bank of New York may not continue to conduct such operations in the future, and the duration and extent of any such operations is inherently uncertain. The effect of any such operations, or of the cessation of such operations to the extent they are commenced, is uncertain and could be materially adverse to investors in the notes.</w:t>
      </w:r>
    </w:p>
    <w:p>
      <w:pPr>
        <w:spacing w:after="0" w:line="226" w:lineRule="exact"/>
        <w:rPr>
          <w:sz w:val="20"/>
          <w:szCs w:val="20"/>
          <w:color w:val="auto"/>
        </w:rPr>
      </w:pPr>
    </w:p>
    <w:p>
      <w:pPr>
        <w:ind w:left="1480" w:right="3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interest rate on the notes is based on a Compounded SOFR rate and the SOFR Index (as defined below), both of which have a limited history in the marketplace.</w:t>
      </w:r>
    </w:p>
    <w:p>
      <w:pPr>
        <w:spacing w:after="0" w:line="50" w:lineRule="exact"/>
        <w:rPr>
          <w:sz w:val="20"/>
          <w:szCs w:val="20"/>
          <w:color w:val="auto"/>
        </w:rPr>
      </w:pPr>
    </w:p>
    <w:p>
      <w:pPr>
        <w:ind w:left="1480" w:right="419" w:firstLine="333"/>
        <w:spacing w:after="0" w:line="295" w:lineRule="auto"/>
        <w:rPr>
          <w:sz w:val="20"/>
          <w:szCs w:val="20"/>
          <w:color w:val="auto"/>
        </w:rPr>
      </w:pPr>
      <w:r>
        <w:rPr>
          <w:rFonts w:ascii="Times New Roman" w:cs="Times New Roman" w:eastAsia="Times New Roman" w:hAnsi="Times New Roman"/>
          <w:sz w:val="12"/>
          <w:szCs w:val="12"/>
          <w:color w:val="auto"/>
        </w:rPr>
        <w:t>For each Interest Period (as defined below), the interest rate on the notes is based on Compounded SOFR, which is calculated using the SOFR Index published by the Federal Reserve Bank of New York according to the specific formula described under the heading “Description of the Notes— Compounded SOFR and the SOFR Index,” not the SOFR rate published on or in respect of a particular date during such Interest Period or an arithmetic average of SOFR rates during such period. For this and other reasons, the interest rate on the notes during any Interest Period will not necessarily be the same as the interest rate on other SOFR-linked investments that use an alternative basis to determine the applicable interest rate. Further, if the SOFR rate in respect of a particular date during an Interest Period is negative, its contribution to the SOFR Index will be less than one, resulting in a reduction to Compounded SOFR used to calculate the interest payable on the notes on the Interest Payment Date (as defined below) for such Interest Period.</w:t>
      </w:r>
    </w:p>
    <w:p>
      <w:pPr>
        <w:spacing w:after="0" w:line="120"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Limited market precedent exists for securities that use SOFR as part of the interest rate calculation and the method for calculating an interest rate based upon SOFR in those precedents varies. In addition, the Federal Reserve Bank of New York only began publishing the SOFR Index in March 2020. Accordingly, the use of the SOFR Index or the specific formula for the Compounded SOFR rate used in the notes may not continue to be utilized by other market participants. If the market adopts a different calculation method, that would likely adversely affect the liquidity and market value of the notes.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Compounded SOFR with respect to a particular Interest Period will only be determinable near the end of the relevant Interest Period.</w:t>
      </w:r>
    </w:p>
    <w:p>
      <w:pPr>
        <w:spacing w:after="0" w:line="88"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The level of Compounded SOFR applicable to a particular Interest Period and, therefore, the amount of interest payable with respect to such Interest Period will be determined on the Interest Payment Determination Date (as defined below) for such Interest Period. Because each such date is near the end of such Interest Period, investors will not know the amount of interest payable with respect to a particular Interest Period until shortly prior to the related Interest Payment Date and it may be difficult for an investor to reliably estimate the amount of interest that will be payable on each such Interest Payment Date.</w:t>
      </w:r>
    </w:p>
    <w:p>
      <w:pPr>
        <w:spacing w:after="0" w:line="226" w:lineRule="exact"/>
        <w:rPr>
          <w:sz w:val="20"/>
          <w:szCs w:val="20"/>
          <w:color w:val="auto"/>
        </w:rPr>
      </w:pPr>
    </w:p>
    <w:p>
      <w:pPr>
        <w:ind w:left="1480" w:right="6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SOFR Index may be modified or discontinued and the notes may bear interest by reference to a rate other than Compounded SOFR, which could adversely affect the notes.</w:t>
      </w:r>
    </w:p>
    <w:p>
      <w:pPr>
        <w:spacing w:after="0" w:line="50" w:lineRule="exact"/>
        <w:rPr>
          <w:sz w:val="20"/>
          <w:szCs w:val="20"/>
          <w:color w:val="auto"/>
        </w:rPr>
      </w:pPr>
    </w:p>
    <w:p>
      <w:pPr>
        <w:ind w:left="1480" w:right="339" w:firstLine="333"/>
        <w:spacing w:after="0" w:line="246" w:lineRule="auto"/>
        <w:rPr>
          <w:sz w:val="20"/>
          <w:szCs w:val="20"/>
          <w:color w:val="auto"/>
        </w:rPr>
      </w:pPr>
      <w:r>
        <w:rPr>
          <w:rFonts w:ascii="Times New Roman" w:cs="Times New Roman" w:eastAsia="Times New Roman" w:hAnsi="Times New Roman"/>
          <w:sz w:val="14"/>
          <w:szCs w:val="14"/>
          <w:color w:val="auto"/>
        </w:rPr>
        <w:t>The SOFR Index is published by the Federal Reserve Bank of New York based on data received by it from sources other than Sempra, and Sempra has no control over its methods of calculation, publication schedule, rate revision practices or availability of the SOFR Index at any time. Particularly given its relatively recent introduction, the SOFR Index may be discontinued or fundamentally altered in a manner that is materially adverse to the interests of investors in the notes. If the manner in which the SOFR Index is calculated, including the manner in which SOFR is calculated, is changed, that change may result in a reduction in the amount of interest payable on the notes and the trading prices of the notes. In addition, the Federal Reserve Bank of New York may withdraw, modify or amend the published SOFR Index or SOFR data in its sole discretion and without notice. The interest rate for any Interest Period will not be adjusted for any modifications or amendments to the SOFR Index or SOFR data that the Federal Reserve Bank of New York may publish after the interest rate for that Interest Period has been determined.</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7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firstLine="333"/>
        <w:spacing w:after="0" w:line="288" w:lineRule="auto"/>
        <w:rPr>
          <w:sz w:val="20"/>
          <w:szCs w:val="20"/>
          <w:color w:val="auto"/>
        </w:rPr>
      </w:pPr>
      <w:r>
        <w:rPr>
          <w:rFonts w:ascii="Times New Roman" w:cs="Times New Roman" w:eastAsia="Times New Roman" w:hAnsi="Times New Roman"/>
          <w:sz w:val="12"/>
          <w:szCs w:val="12"/>
          <w:color w:val="auto"/>
        </w:rPr>
        <w:t>If Sempra (or its designee (which may be an independent financial advisor or any other designee of Sempra) (any of such entities, a “Designee”)) determines that a Benchmark Transition Event (as defined below) and its related Benchmark Replacement Date (as defined below) have occurred with respect to determining Compounded SOFR, then the interest rate on the notes will no longer be determined by reference to the SOFR Index, but instead will be determined by reference to a different rate, plus a spread adjustment, which is referred to as a “Benchmark Replacement” (as defined below), as further described under the heading “Description of the Notes—Effect of Benchmark Transition Event.” If a particular Benchmark Replacement or Benchmark Replacement Adjustment (as defined below) cannot be determined, then the next-available Benchmark Replacement or Benchmark Replacement Adjustment will apply. These replacement rates and adjustments may be selected, recommended or formulated by (i) the Relevant Governmental Body (as defined below) (such as the Alternative Reference Rates Committee), (ii) the International Swaps and Derivatives Association (the “ISDA”) or (iii) in certain circumstances, Sempra (or its Designee). Upon the occurrence of a Benchmark Transition Event and its related Benchmark Replacement Date, the terms of the notes expressly authorize Sempra (or its Designee), without approval of the holders of the notes, to make Benchmark Replacement Conforming Changes (as defined below) with respect to, among other things, changes to the definition or interpretation of “Interest Period,” the timing and frequency of determining rates and making payments of interest, rounding of amounts or tenors and other administrative matters. The determination of a Benchmark Replacement, the calculation of the interest rate on the notes by reference to a Benchmark Replacement (including the application of a Benchmark Replacement Adjustment), any implementation of Benchmark Replacement Conforming Changes and any other determinations, decisions or elections that may be made under the terms of the notes in connection with a Benchmark Transition Event could adversely affect the value of the notes, the return on the notes and the price at which an investor can sell the notes.</w:t>
      </w:r>
    </w:p>
    <w:p>
      <w:pPr>
        <w:spacing w:after="0" w:line="200" w:lineRule="exact"/>
        <w:rPr>
          <w:sz w:val="20"/>
          <w:szCs w:val="20"/>
          <w:color w:val="auto"/>
        </w:rPr>
      </w:pPr>
    </w:p>
    <w:p>
      <w:pPr>
        <w:spacing w:after="0" w:line="260" w:lineRule="exact"/>
        <w:rPr>
          <w:sz w:val="20"/>
          <w:szCs w:val="20"/>
          <w:color w:val="auto"/>
        </w:rPr>
      </w:pPr>
    </w:p>
    <w:p>
      <w:pPr>
        <w:ind w:left="1480" w:right="359" w:firstLine="333"/>
        <w:spacing w:after="0" w:line="288" w:lineRule="auto"/>
        <w:rPr>
          <w:sz w:val="20"/>
          <w:szCs w:val="20"/>
          <w:color w:val="auto"/>
        </w:rPr>
      </w:pPr>
      <w:r>
        <w:rPr>
          <w:rFonts w:ascii="Times New Roman" w:cs="Times New Roman" w:eastAsia="Times New Roman" w:hAnsi="Times New Roman"/>
          <w:sz w:val="12"/>
          <w:szCs w:val="12"/>
          <w:color w:val="auto"/>
        </w:rPr>
        <w:t>In addition, (i) the composition and characteristics of the Benchmark Replacement will not be the same as those of Compounded SOFR, the Benchmark Replacement may not be the economic equivalent of Compounded SOFR, the Benchmark Replacement may not perform in the same way as Compounded SOFR would have performed at any time and the Benchmark Replacement may not be a comparable substitute for Compounded SOFR (each of which means that a Benchmark Transition Event could adversely affect the value of the notes, the return on the notes and the price at which an investor can sell the notes), (ii) any failure of the Benchmark Replacement to gain market acceptance could adversely affect the value of the notes,</w:t>
      </w:r>
    </w:p>
    <w:p>
      <w:pPr>
        <w:spacing w:after="0" w:line="1" w:lineRule="exact"/>
        <w:rPr>
          <w:sz w:val="20"/>
          <w:szCs w:val="20"/>
          <w:color w:val="auto"/>
        </w:rPr>
      </w:pPr>
    </w:p>
    <w:p>
      <w:pPr>
        <w:ind w:left="1480" w:right="559" w:hanging="3"/>
        <w:spacing w:after="0" w:line="244" w:lineRule="auto"/>
        <w:tabs>
          <w:tab w:leader="none" w:pos="171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Benchmark Replacement may have a very limited history and the future performance of the Benchmark Replacement may not be predictable based on historical performance, (iv) the secondary trading market for notes linked to the Benchmark Replacement may be limited and (v) the administrator of the Benchmark Replacement may make changes that could change the value of the Benchmark Replacement or discontinue the Benchmark Replacement and has no obligation to consider investors’ interests in doing so.</w:t>
      </w:r>
    </w:p>
    <w:p>
      <w:pPr>
        <w:spacing w:after="0" w:line="228" w:lineRule="exact"/>
        <w:rPr>
          <w:sz w:val="20"/>
          <w:szCs w:val="20"/>
          <w:color w:val="auto"/>
        </w:rPr>
      </w:pPr>
    </w:p>
    <w:p>
      <w:pPr>
        <w:ind w:left="1480" w:right="5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Upon the occurrence of a Benchmark Transition Event and its related Benchmark Replacement Date, Sempra (or its Designee) will make certain determinations with respect to the notes, which determinations may adversely affect the notes.</w:t>
      </w:r>
    </w:p>
    <w:p>
      <w:pPr>
        <w:spacing w:after="0" w:line="50" w:lineRule="exact"/>
        <w:rPr>
          <w:sz w:val="20"/>
          <w:szCs w:val="20"/>
          <w:color w:val="auto"/>
        </w:rPr>
      </w:pPr>
    </w:p>
    <w:p>
      <w:pPr>
        <w:ind w:left="1480" w:right="459" w:firstLine="333"/>
        <w:spacing w:after="0" w:line="246" w:lineRule="auto"/>
        <w:rPr>
          <w:sz w:val="20"/>
          <w:szCs w:val="20"/>
          <w:color w:val="auto"/>
        </w:rPr>
      </w:pPr>
      <w:r>
        <w:rPr>
          <w:rFonts w:ascii="Times New Roman" w:cs="Times New Roman" w:eastAsia="Times New Roman" w:hAnsi="Times New Roman"/>
          <w:sz w:val="14"/>
          <w:szCs w:val="14"/>
          <w:color w:val="auto"/>
        </w:rPr>
        <w:t>If a Benchmark Transition Event and its related Benchmark Replacement Date have occurred, Sempra (or its Designee) will make certain determinations with respect to the notes in its (or its Designee’s) sole discretion as further described under the heading “Description of the Notes— Effect of Benchmark Transition Event.” Any determination, decision or election pursuant to the benchmark replacement provisions not made by Sempra’s Designee will be made by Sempra. Any of these determinations may adversely affect the value of the notes, the return on the notes and the price at which an investor can sell the notes. Moreover, certain determinations may require the exercise of discretion and the making of subjective judgments, such as with respect to Compounded SOFR or the occurrence or non-occurrence of a Benchmark Transition Event and any Benchmark Replacement Conforming Changes. These potentially subjective determinations may adversely affect the value of the notes, the return on the notes and the price at which an investor can sell the notes. For further information regarding these types of determinations, see “Description of the Notes—Effect of Benchmark Transition Event.”</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7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459" w:firstLine="333"/>
        <w:spacing w:after="0" w:line="248" w:lineRule="auto"/>
        <w:rPr>
          <w:sz w:val="20"/>
          <w:szCs w:val="20"/>
          <w:color w:val="auto"/>
        </w:rPr>
      </w:pPr>
      <w:r>
        <w:rPr>
          <w:rFonts w:ascii="Times New Roman" w:cs="Times New Roman" w:eastAsia="Times New Roman" w:hAnsi="Times New Roman"/>
          <w:sz w:val="14"/>
          <w:szCs w:val="14"/>
          <w:color w:val="auto"/>
        </w:rPr>
        <w:t>We estimate that the net proceeds to us from the sale of the notes will be approximately $998.5 million after deducting the underwriting discount but before deducting estimated offering expenses payable by us. We intend to use a substantial portion of the net proceeds from this offering to repay outstanding commercial paper and potentially other indebtedness and to use any remaining net proceeds for other general corporate purposes. As of June 3, 2026, such commercial paper bore interest at rates of 4.186% per annum or less and will mature at various dates in June 2026. We estimate that our expenses for this offering, excluding the underwriting discount, will be approximately $1.7 million.</w:t>
      </w:r>
    </w:p>
    <w:p>
      <w:pPr>
        <w:spacing w:after="0" w:line="149" w:lineRule="exact"/>
        <w:rPr>
          <w:sz w:val="20"/>
          <w:szCs w:val="20"/>
          <w:color w:val="auto"/>
        </w:rPr>
      </w:pPr>
    </w:p>
    <w:p>
      <w:pPr>
        <w:ind w:left="1480" w:right="539" w:firstLine="333"/>
        <w:spacing w:after="0" w:line="250" w:lineRule="auto"/>
        <w:rPr>
          <w:sz w:val="20"/>
          <w:szCs w:val="20"/>
          <w:color w:val="auto"/>
        </w:rPr>
      </w:pPr>
      <w:r>
        <w:rPr>
          <w:rFonts w:ascii="Times New Roman" w:cs="Times New Roman" w:eastAsia="Times New Roman" w:hAnsi="Times New Roman"/>
          <w:sz w:val="14"/>
          <w:szCs w:val="14"/>
          <w:color w:val="auto"/>
        </w:rPr>
        <w:t>Pending application of the net proceeds from this offering for the foregoing intended purposes, we expect to invest such net proceeds in various instruments which may include, but would not be limited to, short- and intermediate-term, interest-bearing obligations, including bank deposits and certificates of deposit with financial institutions having investment-grade ratings, U.S. government obligations or money market funds primarily invested in securities issued by the U.S. government or its agencies.</w:t>
      </w:r>
    </w:p>
    <w:p>
      <w:pPr>
        <w:spacing w:after="0" w:line="146" w:lineRule="exact"/>
        <w:rPr>
          <w:sz w:val="20"/>
          <w:szCs w:val="20"/>
          <w:color w:val="auto"/>
        </w:rPr>
      </w:pPr>
    </w:p>
    <w:p>
      <w:pPr>
        <w:ind w:left="1480" w:right="399" w:firstLine="333"/>
        <w:spacing w:after="0" w:line="245" w:lineRule="auto"/>
        <w:rPr>
          <w:sz w:val="20"/>
          <w:szCs w:val="20"/>
          <w:color w:val="auto"/>
        </w:rPr>
      </w:pPr>
      <w:r>
        <w:rPr>
          <w:rFonts w:ascii="Times New Roman" w:cs="Times New Roman" w:eastAsia="Times New Roman" w:hAnsi="Times New Roman"/>
          <w:sz w:val="14"/>
          <w:szCs w:val="14"/>
          <w:color w:val="auto"/>
        </w:rPr>
        <w:t>As described above, we intend to use a substantial portion of the net proceeds from this offering to repay outstanding commercial paper and potentially other indebtedness and to use any remaining net proceeds for other general corporate purposes. None of the underwriters participating in this offering and/or their affiliates hold a position in our commercial paper but may hold positions in other indebtedness of ours, one of the underwriters acts as a dealer under our commercial paper program, and affiliates of one of the underwriters participating in this offering are lenders under our credit facilities. To the extent that net proceeds from this offering are applied to repay any of our outstanding indebtedness (including commercial paper, bank loans or other indebtedness) held by any of the underwriters or their affiliates, they will receive proceeds from this offering through the repayment of that indebtedness. If the amount of such proceeds so received by any underwriter or its affiliates is 5% or more of the net proceeds of this offering (not including the underwriting discount), such underwriter would be deemed to have a conflict of interest within the meaning of Financial Industry Regulatory Authority, Inc. (“FINRA”) Rule 5121. In such event, this offering would be conducted in compliance with FINRA Rule 5121 and such underwriter would not be permitted to make sales in this offering to any discretionary account without the prior written approval of the customer. Pursuant to that rule, the appointment of a “qualified independent underwriter” would not be required in connection with this offering, as the notes are “investment grade rated” (as defined in FINRA Rule 5121). See “Underwriting (Conflicts of Interest)—Other Relationships” and “Underwriting (Conflicts of Interest)—Conflicts of Interest.”</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7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THE NOTES</w:t>
      </w:r>
    </w:p>
    <w:p>
      <w:pPr>
        <w:spacing w:after="0" w:line="168" w:lineRule="exact"/>
        <w:rPr>
          <w:sz w:val="20"/>
          <w:szCs w:val="20"/>
          <w:color w:val="auto"/>
        </w:rPr>
      </w:pPr>
    </w:p>
    <w:p>
      <w:pPr>
        <w:ind w:left="1480" w:right="479" w:firstLine="333"/>
        <w:spacing w:after="0" w:line="249" w:lineRule="auto"/>
        <w:rPr>
          <w:sz w:val="20"/>
          <w:szCs w:val="20"/>
          <w:color w:val="auto"/>
        </w:rPr>
      </w:pPr>
      <w:r>
        <w:rPr>
          <w:rFonts w:ascii="Times New Roman" w:cs="Times New Roman" w:eastAsia="Times New Roman" w:hAnsi="Times New Roman"/>
          <w:sz w:val="14"/>
          <w:szCs w:val="14"/>
          <w:i w:val="1"/>
          <w:iCs w:val="1"/>
          <w:color w:val="auto"/>
        </w:rPr>
        <w:t>The notes will be a series of our senior debt securities issued under an indenture between Sempra, as issuer, and U.S. Bank Trust Company, National Association, as successor in interest to U.S. Bank National Association, as successor in interest to U.S. Bank Trust National Association, as trustee (the “trustee”), dated as of February 23, 2000 (the “indenture”). In this section and under the heading “Description of Debt Securities” in the accompanying prospectus, references to “Sempra,” “we,” “us,” “our” and similar terms mean, unless otherwise specified or the context otherwise requires, Sempra excluding its consolidated entities.</w:t>
      </w:r>
    </w:p>
    <w:p>
      <w:pPr>
        <w:spacing w:after="0" w:line="145" w:lineRule="exact"/>
        <w:rPr>
          <w:sz w:val="20"/>
          <w:szCs w:val="20"/>
          <w:color w:val="auto"/>
        </w:rPr>
      </w:pPr>
    </w:p>
    <w:p>
      <w:pPr>
        <w:ind w:left="1480" w:right="459" w:firstLine="333"/>
        <w:spacing w:after="0" w:line="248" w:lineRule="auto"/>
        <w:rPr>
          <w:sz w:val="20"/>
          <w:szCs w:val="20"/>
          <w:color w:val="auto"/>
        </w:rPr>
      </w:pPr>
      <w:r>
        <w:rPr>
          <w:rFonts w:ascii="Times New Roman" w:cs="Times New Roman" w:eastAsia="Times New Roman" w:hAnsi="Times New Roman"/>
          <w:sz w:val="14"/>
          <w:szCs w:val="14"/>
          <w:i w:val="1"/>
          <w:iCs w:val="1"/>
          <w:color w:val="auto"/>
        </w:rPr>
        <w:t>The indenture is the “senior indenture” referred to under “Description of Debt Securities” in the accompanying prospectus and the notes are a series of our senior debt securities referred to under such heading. The summary of selected provisions of the notes and the indenture appearing below supplements, and to the extent inconsistent, supersedes and replaces, the description of the general terms and provisions of the senior debt securities and the indenture contained in the accompanying prospectus. This summary is not complete and is qualified by reference to the provisions of the notes and the indenture. Forms of the notes and the indenture have been or will be filed with the SEC and you may obtain copies as described under “Where You Can Find More Information” in the accompanying prospectus.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The notes will constitute a separate series of our senior debt securities under the indenture and will be issued in the aggregate principal amount of $1,000,000,000. As described below under “—Other,” we may, from time to time, without notice to or consent of the holders of the notes, issue additional notes, and any such additional notes shall form a single series under the indenture with the notes offered by this prospectus supplement, provided that such additional notes shall be fungible with the notes previously issued for United States federal income tax purposes.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Interest Rate and Maturity</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notes will mature on January 7, 2028. The notes will not be redeemable at our option prior to maturity.</w:t>
      </w:r>
    </w:p>
    <w:p>
      <w:pPr>
        <w:spacing w:after="0" w:line="166" w:lineRule="exact"/>
        <w:rPr>
          <w:sz w:val="20"/>
          <w:szCs w:val="20"/>
          <w:color w:val="auto"/>
        </w:rPr>
      </w:pPr>
    </w:p>
    <w:p>
      <w:pPr>
        <w:ind w:left="1480" w:right="499" w:firstLine="333"/>
        <w:spacing w:after="0" w:line="248" w:lineRule="auto"/>
        <w:rPr>
          <w:sz w:val="20"/>
          <w:szCs w:val="20"/>
          <w:color w:val="auto"/>
        </w:rPr>
      </w:pPr>
      <w:r>
        <w:rPr>
          <w:rFonts w:ascii="Times New Roman" w:cs="Times New Roman" w:eastAsia="Times New Roman" w:hAnsi="Times New Roman"/>
          <w:sz w:val="14"/>
          <w:szCs w:val="14"/>
          <w:color w:val="auto"/>
        </w:rPr>
        <w:t>Interest on the notes will accrue from June 9, 2026 (the “Original Issue Date”) and will be payable quarterly in arrears on October 7, January 7, April 7 and July 7 of each year (each, an “Interest Payment Date”), beginning on October 7, 2026, to the holders of record of the notes at the close of business (i) on the business day immediately preceding such Interest Payment Date if the notes are in book-entry only form, or (ii) on the immediately preceding September 22, December 23, March 23, and June 22 (whether or not a business day), respectively, if the notes are not in book-entry only form.</w:t>
      </w:r>
    </w:p>
    <w:p>
      <w:pPr>
        <w:spacing w:after="0" w:line="149" w:lineRule="exact"/>
        <w:rPr>
          <w:sz w:val="20"/>
          <w:szCs w:val="20"/>
          <w:color w:val="auto"/>
        </w:rPr>
      </w:pPr>
    </w:p>
    <w:p>
      <w:pPr>
        <w:ind w:left="1480" w:right="399" w:firstLine="333"/>
        <w:spacing w:after="0" w:line="248" w:lineRule="auto"/>
        <w:rPr>
          <w:sz w:val="20"/>
          <w:szCs w:val="20"/>
          <w:color w:val="auto"/>
        </w:rPr>
      </w:pPr>
      <w:r>
        <w:rPr>
          <w:rFonts w:ascii="Times New Roman" w:cs="Times New Roman" w:eastAsia="Times New Roman" w:hAnsi="Times New Roman"/>
          <w:sz w:val="14"/>
          <w:szCs w:val="14"/>
          <w:color w:val="auto"/>
        </w:rPr>
        <w:t>The notes will bear interest at an annual rate equal to Compounded SOFR, determined as described below, plus 67 basis points (the “Margin”). Interest on the notes will accrue from and including the Original Issue Date to but excluding the first Interest Payment Date. Starting on the first Interest Payment Date, interest on the notes will accrue from and including the last Interest Payment Date on which we have paid, or duly provided for the payment of, interest on the notes to but excluding the next succeeding Interest Payment Date. No interest will accrue on the notes for the day that the notes mature.</w:t>
      </w:r>
    </w:p>
    <w:p>
      <w:pPr>
        <w:spacing w:after="0" w:line="149"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The amount of interest payable for any period will be computed on the basis of a 360-day year and the actual number of days in the Observation Period (as defined below).</w:t>
      </w:r>
    </w:p>
    <w:p>
      <w:pPr>
        <w:spacing w:after="0" w:line="136" w:lineRule="exact"/>
        <w:rPr>
          <w:sz w:val="20"/>
          <w:szCs w:val="20"/>
          <w:color w:val="auto"/>
        </w:rPr>
      </w:pPr>
    </w:p>
    <w:p>
      <w:pPr>
        <w:jc w:val="both"/>
        <w:ind w:left="1480" w:right="599" w:firstLine="333"/>
        <w:spacing w:after="0" w:line="316" w:lineRule="auto"/>
        <w:rPr>
          <w:sz w:val="20"/>
          <w:szCs w:val="20"/>
          <w:color w:val="auto"/>
        </w:rPr>
      </w:pPr>
      <w:r>
        <w:rPr>
          <w:rFonts w:ascii="Times New Roman" w:cs="Times New Roman" w:eastAsia="Times New Roman" w:hAnsi="Times New Roman"/>
          <w:sz w:val="12"/>
          <w:szCs w:val="12"/>
          <w:color w:val="auto"/>
        </w:rPr>
        <w:t>If any Interest Payment Date falls on a day that is not a business day, we will be required to make the interest payment on the next succeeding business day unless that business day is in the next succeeding calendar month, in which case (other than in the case of the maturity date) we will be required to make the interest payment on the immediately preceding business day. If an interest payment is made on the next succeeding</w:t>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7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business day, no interest will accrue as a result of the delay in payment. If the maturity date of the notes falls on a day that is not a business day, the payment due on such date will be postponed to the next succeeding business day, and no further interest will accrue in respect of such postponement. As used in this section, “business day,” when used with respect to any place of payment, means a day other than (i) a Saturday or a Sunday or (ii) a day on which banking institutions in that place of payment are authorized or obligated by law or executive order to remain closed.</w:t>
      </w:r>
    </w:p>
    <w:p>
      <w:pPr>
        <w:spacing w:after="0" w:line="146" w:lineRule="exact"/>
        <w:rPr>
          <w:sz w:val="20"/>
          <w:szCs w:val="20"/>
          <w:color w:val="auto"/>
        </w:rPr>
      </w:pPr>
    </w:p>
    <w:p>
      <w:pPr>
        <w:ind w:left="1480" w:right="399" w:firstLine="333"/>
        <w:spacing w:after="0" w:line="294" w:lineRule="auto"/>
        <w:rPr>
          <w:sz w:val="20"/>
          <w:szCs w:val="20"/>
          <w:color w:val="auto"/>
        </w:rPr>
      </w:pPr>
      <w:r>
        <w:rPr>
          <w:rFonts w:ascii="Times New Roman" w:cs="Times New Roman" w:eastAsia="Times New Roman" w:hAnsi="Times New Roman"/>
          <w:sz w:val="12"/>
          <w:szCs w:val="12"/>
          <w:color w:val="auto"/>
        </w:rPr>
        <w:t>As further described below, on each Interest Payment Determination Date relating to the applicable Interest Payment Date, the Calculation Agent (as defined below) will calculate the amount of accrued interest payable on the notes by multiplying (i) the outstanding principal amount of the notes by</w:t>
      </w:r>
    </w:p>
    <w:p>
      <w:pPr>
        <w:spacing w:after="0" w:line="1" w:lineRule="exact"/>
        <w:rPr>
          <w:sz w:val="20"/>
          <w:szCs w:val="20"/>
          <w:color w:val="auto"/>
        </w:rPr>
      </w:pPr>
    </w:p>
    <w:p>
      <w:pPr>
        <w:ind w:left="1480" w:right="819" w:hanging="3"/>
        <w:spacing w:after="0" w:line="247"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 of (a) the interest rate for the relevant Interest Period multiplied by (b) the quotient of the actual number of calendar days in such Observation Period divided by 360. In no event will the interest rate on the notes be less than zero.</w:t>
      </w:r>
    </w:p>
    <w:p>
      <w:pPr>
        <w:spacing w:after="0" w:line="147"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The term “Interest Period” means the period commencing on any Interest Payment Date (or, with respect to the initial Interest Period only, commencing on the Original Issue Date) to, but excluding, the next succeeding Interest Payment Date and, in the case of the last such period, the period from and including the Interest Payment Date immediately preceding the maturity date to, but excluding, the maturity date.</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Compounded SOFR and the SOFR Index</w:t>
      </w:r>
    </w:p>
    <w:p>
      <w:pPr>
        <w:spacing w:after="0" w:line="88" w:lineRule="exact"/>
        <w:rPr>
          <w:sz w:val="20"/>
          <w:szCs w:val="20"/>
          <w:color w:val="auto"/>
        </w:rPr>
      </w:pPr>
    </w:p>
    <w:p>
      <w:pPr>
        <w:ind w:left="1480" w:right="699" w:firstLine="333"/>
        <w:spacing w:after="0" w:line="264" w:lineRule="auto"/>
        <w:rPr>
          <w:sz w:val="20"/>
          <w:szCs w:val="20"/>
          <w:color w:val="auto"/>
        </w:rPr>
      </w:pPr>
      <w:r>
        <w:rPr>
          <w:rFonts w:ascii="Times New Roman" w:cs="Times New Roman" w:eastAsia="Times New Roman" w:hAnsi="Times New Roman"/>
          <w:sz w:val="14"/>
          <w:szCs w:val="14"/>
          <w:color w:val="auto"/>
        </w:rPr>
        <w:t>SOFR is published by the Federal Reserve Bank of New York and is intended to be a broad measure of the cost of borrowing cash overnight collateralized by United States Treasury securities.</w:t>
      </w:r>
    </w:p>
    <w:p>
      <w:pPr>
        <w:spacing w:after="0" w:line="136"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The SOFR Index is published by the Federal Reserve Bank of New York and measures the cumulative impact of compounding SOFR on a unit of investment over time, with the initial value set to 1.00000000 on April 2, 2018, the first value date of SOFR. The SOFR Index value reflects the effect of compounding SOFR each business day and allows the calculation of compounded SOFR averages over custom time periods.</w:t>
      </w:r>
    </w:p>
    <w:p>
      <w:pPr>
        <w:spacing w:after="0" w:line="142" w:lineRule="exact"/>
        <w:rPr>
          <w:sz w:val="20"/>
          <w:szCs w:val="20"/>
          <w:color w:val="auto"/>
        </w:rPr>
      </w:pPr>
    </w:p>
    <w:p>
      <w:pPr>
        <w:ind w:left="1480" w:right="519" w:firstLine="333"/>
        <w:spacing w:after="0" w:line="248" w:lineRule="auto"/>
        <w:rPr>
          <w:sz w:val="20"/>
          <w:szCs w:val="20"/>
          <w:color w:val="auto"/>
        </w:rPr>
      </w:pPr>
      <w:r>
        <w:rPr>
          <w:rFonts w:ascii="Times New Roman" w:cs="Times New Roman" w:eastAsia="Times New Roman" w:hAnsi="Times New Roman"/>
          <w:sz w:val="14"/>
          <w:szCs w:val="14"/>
          <w:color w:val="auto"/>
        </w:rPr>
        <w:t>The Federal Reserve Bank of New York notes on its publication page for the SOFR Index that use of the SOFR Index is subject to important limitations, indemnification obligations and disclaimers, including that the Federal Reserve Bank of New York may alter the methods of calculation, publication schedule, rate revision practices or availability of the SOFR Index at any time without notice. The interest rate for any Interest Period will not be adjusted for any modifications or amendments to the SOFR Index or SOFR data that the Federal Reserve Bank of New York may publish after the interest rate for that Interest Period has been determined.</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Compounded SOFR</w:t>
      </w:r>
    </w:p>
    <w:p>
      <w:pPr>
        <w:spacing w:after="0" w:line="86"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“Compounded SOFR” will be determined by the Calculation Agent in accordance with the following formula (and the resulting percentage will be rounded, if necessary, to the nearest one hundred-thousandth of a percentage point):</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Compounded SOFR = ((SOFR IndexEnd / SOFR IndexStart)—1) × (360 / dc)</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where:</w:t>
      </w:r>
    </w:p>
    <w:p>
      <w:pPr>
        <w:spacing w:after="0" w:line="166" w:lineRule="exact"/>
        <w:rPr>
          <w:sz w:val="20"/>
          <w:szCs w:val="20"/>
          <w:color w:val="auto"/>
        </w:rPr>
      </w:pPr>
    </w:p>
    <w:p>
      <w:pPr>
        <w:jc w:val="both"/>
        <w:ind w:left="1480" w:right="519" w:firstLine="333"/>
        <w:spacing w:after="0" w:line="254" w:lineRule="auto"/>
        <w:rPr>
          <w:sz w:val="20"/>
          <w:szCs w:val="20"/>
          <w:color w:val="auto"/>
        </w:rPr>
      </w:pPr>
      <w:r>
        <w:rPr>
          <w:rFonts w:ascii="Times New Roman" w:cs="Times New Roman" w:eastAsia="Times New Roman" w:hAnsi="Times New Roman"/>
          <w:sz w:val="14"/>
          <w:szCs w:val="14"/>
          <w:color w:val="auto"/>
        </w:rPr>
        <w:t>“SOFR IndexStart” = For periods other than the initial Interest Period, the SOFR Index value on the preceding Interest Payment Determination Date, and, for the initial Interest Period, the SOFR Index value two United States Government Securities Business Days (as defined below) before the Original Issue Date;</w:t>
      </w:r>
    </w:p>
    <w:p>
      <w:pPr>
        <w:spacing w:after="0" w:line="142"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“SOFR IndexEnd” = The SOFR Index value on the Interest Payment Determination Date relating to the applicable Interest Payment Date (or, in the final Interest Period, relating to the maturity date); and</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7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“dc” is the number of calendar days in the relevant Observation Period.</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For purposes of determining Compounded SOFR:</w:t>
      </w:r>
    </w:p>
    <w:p>
      <w:pPr>
        <w:spacing w:after="0" w:line="166" w:lineRule="exact"/>
        <w:rPr>
          <w:sz w:val="20"/>
          <w:szCs w:val="20"/>
          <w:color w:val="auto"/>
        </w:rPr>
      </w:pPr>
    </w:p>
    <w:p>
      <w:pPr>
        <w:ind w:left="1480" w:right="759" w:firstLine="333"/>
        <w:spacing w:after="0" w:line="264" w:lineRule="auto"/>
        <w:rPr>
          <w:sz w:val="20"/>
          <w:szCs w:val="20"/>
          <w:color w:val="auto"/>
        </w:rPr>
      </w:pPr>
      <w:r>
        <w:rPr>
          <w:rFonts w:ascii="Times New Roman" w:cs="Times New Roman" w:eastAsia="Times New Roman" w:hAnsi="Times New Roman"/>
          <w:sz w:val="14"/>
          <w:szCs w:val="14"/>
          <w:color w:val="auto"/>
        </w:rPr>
        <w:t>“Interest Payment Determination Date” means the date that is two United States Government Securities Business Days before each Interest Payment Date.</w:t>
      </w:r>
    </w:p>
    <w:p>
      <w:pPr>
        <w:spacing w:after="0" w:line="136" w:lineRule="exact"/>
        <w:rPr>
          <w:sz w:val="20"/>
          <w:szCs w:val="20"/>
          <w:color w:val="auto"/>
        </w:rPr>
      </w:pPr>
    </w:p>
    <w:p>
      <w:pPr>
        <w:jc w:val="both"/>
        <w:ind w:left="1480" w:right="639" w:firstLine="333"/>
        <w:spacing w:after="0" w:line="316" w:lineRule="auto"/>
        <w:rPr>
          <w:sz w:val="20"/>
          <w:szCs w:val="20"/>
          <w:color w:val="auto"/>
        </w:rPr>
      </w:pPr>
      <w:r>
        <w:rPr>
          <w:rFonts w:ascii="Times New Roman" w:cs="Times New Roman" w:eastAsia="Times New Roman" w:hAnsi="Times New Roman"/>
          <w:sz w:val="12"/>
          <w:szCs w:val="12"/>
          <w:color w:val="auto"/>
        </w:rPr>
        <w:t>“Observation Period” means, in respect of each Interest Period, the period from, and including, the date that is two United States Government Securities Business Days preceding the first date in such Interest Period to, but excluding, the date that is two United States Government Securities Business Days preceding the Interest Payment Date for such Interest Period (or in the final Interest Period, preceding the maturity date).</w:t>
      </w:r>
    </w:p>
    <w:p>
      <w:pPr>
        <w:spacing w:after="0" w:line="109" w:lineRule="exact"/>
        <w:rPr>
          <w:sz w:val="20"/>
          <w:szCs w:val="20"/>
          <w:color w:val="auto"/>
        </w:rPr>
      </w:pPr>
    </w:p>
    <w:p>
      <w:pPr>
        <w:ind w:left="1480" w:right="379" w:firstLine="333"/>
        <w:spacing w:after="0" w:line="291" w:lineRule="auto"/>
        <w:rPr>
          <w:sz w:val="20"/>
          <w:szCs w:val="20"/>
          <w:color w:val="auto"/>
        </w:rPr>
      </w:pPr>
      <w:r>
        <w:rPr>
          <w:rFonts w:ascii="Times New Roman" w:cs="Times New Roman" w:eastAsia="Times New Roman" w:hAnsi="Times New Roman"/>
          <w:sz w:val="12"/>
          <w:szCs w:val="12"/>
          <w:color w:val="auto"/>
        </w:rPr>
        <w:t>“SOFR Index” means, with respect to any United States Government Securities Business Day: (1) the SOFR Index value as published by the SOFR Administrator as such index appears on the SOFR Administrator’s Website at 3:00 p.m. (New York City time) on such United States Government Securities Business Day (the “SOFR Index Determination Time”); provided that: (2) if a SOFR Index value does not so appear as specified in clause</w:t>
      </w:r>
    </w:p>
    <w:p>
      <w:pPr>
        <w:ind w:left="1680" w:hanging="203"/>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at the SOFR Index Determination Time, then: (i) if a Benchmark Transition Event and its related Benchmark Replacement Date have not</w:t>
      </w:r>
    </w:p>
    <w:p>
      <w:pPr>
        <w:spacing w:after="0" w:line="2" w:lineRule="exact"/>
        <w:rPr>
          <w:rFonts w:ascii="Times New Roman" w:cs="Times New Roman" w:eastAsia="Times New Roman" w:hAnsi="Times New Roman"/>
          <w:sz w:val="14"/>
          <w:szCs w:val="14"/>
          <w:color w:val="auto"/>
        </w:rPr>
      </w:pPr>
    </w:p>
    <w:p>
      <w:pPr>
        <w:ind w:left="1480" w:right="479"/>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occurred with respect to SOFR, then Compounded SOFR shall be the rate determined pursuant to the “SOFR Index Unavailable Provisions” described below; or (ii) if a Benchmark Transition Event and its related Benchmark Replacement Date have occurred with respect to SOFR, then Compounded SOFR shall be the rate determined pursuant to the “Effect of Benchmark Transition Event” provisions described below.</w:t>
      </w:r>
    </w:p>
    <w:p>
      <w:pPr>
        <w:spacing w:after="0" w:line="14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“SOFR” means the daily secured overnight financing rate as provided by the SOFR Administrator on the SOFR Administrator’s Website.</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“SOFR Administrator” means the Federal Reserve Bank of New York (or a successor administrator of SOFR).</w:t>
      </w:r>
    </w:p>
    <w:p>
      <w:pPr>
        <w:spacing w:after="0" w:line="166" w:lineRule="exact"/>
        <w:rPr>
          <w:sz w:val="20"/>
          <w:szCs w:val="20"/>
          <w:color w:val="auto"/>
        </w:rPr>
      </w:pPr>
    </w:p>
    <w:p>
      <w:pPr>
        <w:ind w:left="1480" w:right="519" w:firstLine="333"/>
        <w:spacing w:after="0" w:line="264" w:lineRule="auto"/>
        <w:rPr>
          <w:sz w:val="20"/>
          <w:szCs w:val="20"/>
          <w:color w:val="auto"/>
        </w:rPr>
      </w:pPr>
      <w:r>
        <w:rPr>
          <w:rFonts w:ascii="Times New Roman" w:cs="Times New Roman" w:eastAsia="Times New Roman" w:hAnsi="Times New Roman"/>
          <w:sz w:val="14"/>
          <w:szCs w:val="14"/>
          <w:color w:val="auto"/>
        </w:rPr>
        <w:t>“SOFR Administrator’s Website” means the website of the Federal Reserve Bank of New York, currently at http://www.newyorkfed.org, or any successor source.</w:t>
      </w:r>
    </w:p>
    <w:p>
      <w:pPr>
        <w:spacing w:after="0" w:line="136"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“United States Government Securities Business Day” means any day except for a Saturday, a Sunday or a day on which the Securities Industry and Financial Markets Association recommends that the fixed income departments of its members be closed for the entire day for purposes of trading in United States government securities.</w:t>
      </w:r>
    </w:p>
    <w:p>
      <w:pPr>
        <w:spacing w:after="0" w:line="142" w:lineRule="exact"/>
        <w:rPr>
          <w:sz w:val="20"/>
          <w:szCs w:val="20"/>
          <w:color w:val="auto"/>
        </w:rPr>
      </w:pPr>
    </w:p>
    <w:p>
      <w:pPr>
        <w:ind w:left="1480" w:right="379" w:firstLine="333"/>
        <w:spacing w:after="0" w:line="297" w:lineRule="auto"/>
        <w:rPr>
          <w:sz w:val="20"/>
          <w:szCs w:val="20"/>
          <w:color w:val="auto"/>
        </w:rPr>
      </w:pPr>
      <w:r>
        <w:rPr>
          <w:rFonts w:ascii="Times New Roman" w:cs="Times New Roman" w:eastAsia="Times New Roman" w:hAnsi="Times New Roman"/>
          <w:sz w:val="12"/>
          <w:szCs w:val="12"/>
          <w:color w:val="auto"/>
        </w:rPr>
        <w:t>Notwithstanding anything to the contrary in the documentation relating to the notes, if we (or our Designee) determine on or prior to the relevant Reference Time (as defined below) that a Benchmark Transition Event and its related Benchmark Replacement Date have occurred with respect to determining Compounded SOFR, then the benchmark replacement provisions set forth below under “Effect of Benchmark Transition Event” will thereafter apply to all determinations of the rate of interest payable on the notes; provided, however, that the Calculation Agent shall use the interest rate in effect for the immediately prior interest period if we (or our Designee) have not notified the Calculation Agent of a Benchmark Replacement in accordance with the provisions of the indenture and the terms of notes within 30 days prior to the next Interest Payment Date.</w:t>
      </w:r>
    </w:p>
    <w:p>
      <w:pPr>
        <w:spacing w:after="0" w:line="119" w:lineRule="exact"/>
        <w:rPr>
          <w:sz w:val="20"/>
          <w:szCs w:val="20"/>
          <w:color w:val="auto"/>
        </w:rPr>
      </w:pPr>
    </w:p>
    <w:p>
      <w:pPr>
        <w:jc w:val="both"/>
        <w:ind w:left="1480" w:right="819" w:firstLine="333"/>
        <w:spacing w:after="0" w:line="254" w:lineRule="auto"/>
        <w:rPr>
          <w:sz w:val="20"/>
          <w:szCs w:val="20"/>
          <w:color w:val="auto"/>
        </w:rPr>
      </w:pPr>
      <w:r>
        <w:rPr>
          <w:rFonts w:ascii="Times New Roman" w:cs="Times New Roman" w:eastAsia="Times New Roman" w:hAnsi="Times New Roman"/>
          <w:sz w:val="14"/>
          <w:szCs w:val="14"/>
          <w:color w:val="auto"/>
        </w:rPr>
        <w:t>For the avoidance of doubt, in accordance with the benchmark replacement provisions, after a Benchmark Transition Event and its related Benchmark Replacement Date have occurred, the interest rate for each Interest Period on the notes will be an annual rate equal to the sum of the Benchmark Replacement and the Margin.</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SOFR Index Unavailable Provisions</w:t>
      </w:r>
    </w:p>
    <w:p>
      <w:pPr>
        <w:spacing w:after="0" w:line="86" w:lineRule="exact"/>
        <w:rPr>
          <w:sz w:val="20"/>
          <w:szCs w:val="20"/>
          <w:color w:val="auto"/>
        </w:rPr>
      </w:pPr>
    </w:p>
    <w:p>
      <w:pPr>
        <w:ind w:left="1480" w:right="599" w:firstLine="333"/>
        <w:spacing w:after="0" w:line="264" w:lineRule="auto"/>
        <w:rPr>
          <w:sz w:val="20"/>
          <w:szCs w:val="20"/>
          <w:color w:val="auto"/>
        </w:rPr>
      </w:pPr>
      <w:r>
        <w:rPr>
          <w:rFonts w:ascii="Times New Roman" w:cs="Times New Roman" w:eastAsia="Times New Roman" w:hAnsi="Times New Roman"/>
          <w:sz w:val="14"/>
          <w:szCs w:val="14"/>
          <w:color w:val="auto"/>
        </w:rPr>
        <w:t>If a SOFR IndexStart or SOFR IndexEnd is not published on the associated Interest Payment Determination Date and a Benchmark Transition Event and its related Benchmark Replacement Date have not occurred with</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7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respect to SOFR, then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currently located at https://www.newyorkfed.org/markets/reference-rates/additional-information-about-reference-rates. For the purposes of this provision, references in the SOFR Averages compounding formula and related definitions to “calculation period” shall be replaced with “Observation Period” and the words “that is, 30-, 90-, or 180-calendar days” shall be removed. If SOFR does not so appear for any day, “i” in the Observation Period, SOFRi for such day “i” shall be SOFR published in respect of the first preceding United States Government Securities Business Day for which SOFR was published on the SOFR Administrator’s Website.</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Effect of Benchmark Transition Event</w:t>
      </w:r>
    </w:p>
    <w:p>
      <w:pPr>
        <w:spacing w:after="0" w:line="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Benchmark Replacement</w:t>
      </w:r>
    </w:p>
    <w:p>
      <w:pPr>
        <w:spacing w:after="0" w:line="86" w:lineRule="exact"/>
        <w:rPr>
          <w:sz w:val="20"/>
          <w:szCs w:val="20"/>
          <w:color w:val="auto"/>
        </w:rPr>
      </w:pPr>
    </w:p>
    <w:p>
      <w:pPr>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If we (or our Designee) determine that a Benchmark Transition Event and its related Benchmark Replacement Date have occurred prior to the Reference Time in respect of any determination of the Benchmark on any date, the Benchmark Replacement will replace the then-current Benchmark for all purposes relating to the notes in respect of such determination on such date and all determinations on all subsequent dates.</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Benchmark Replacement Conforming Changes</w:t>
      </w:r>
    </w:p>
    <w:p>
      <w:pPr>
        <w:spacing w:after="0" w:line="86"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In connection with the implementation of a Benchmark Replacement, we (or our Designee) will have the right to make Benchmark Replacement Conforming Changes from time to time.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Decisions, Determinations and Elections</w:t>
      </w:r>
    </w:p>
    <w:p>
      <w:pPr>
        <w:spacing w:after="0" w:line="86"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Any determination, decision or election that may be made by us (or our Designee) pursuant to this subsection “Effect of Benchmark Transition Event,”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our (or our Designee’s) sole discretion, and, notwithstanding anything to the contrary in any documentation relating to the notes, shall become effective without consent from the holders of the notes or any other party.</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Certain Defined Terms</w:t>
      </w:r>
    </w:p>
    <w:p>
      <w:pPr>
        <w:spacing w:after="0" w:line="8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As used in this subsection “Effect of Benchmark Transition Event,” the following terms have the following meanings:</w:t>
      </w:r>
    </w:p>
    <w:p>
      <w:pPr>
        <w:spacing w:after="0" w:line="166" w:lineRule="exact"/>
        <w:rPr>
          <w:sz w:val="20"/>
          <w:szCs w:val="20"/>
          <w:color w:val="auto"/>
        </w:rPr>
      </w:pPr>
    </w:p>
    <w:p>
      <w:pPr>
        <w:jc w:val="both"/>
        <w:ind w:left="1480" w:right="479" w:firstLine="333"/>
        <w:spacing w:after="0" w:line="254" w:lineRule="auto"/>
        <w:rPr>
          <w:sz w:val="20"/>
          <w:szCs w:val="20"/>
          <w:color w:val="auto"/>
        </w:rPr>
      </w:pPr>
      <w:r>
        <w:rPr>
          <w:rFonts w:ascii="Times New Roman" w:cs="Times New Roman" w:eastAsia="Times New Roman" w:hAnsi="Times New Roman"/>
          <w:sz w:val="14"/>
          <w:szCs w:val="14"/>
          <w:color w:val="auto"/>
        </w:rPr>
        <w:t>“Benchmark” means, initially, Compounded SOFR, as such term is defined above; provided that if a Benchmark Transition Event and its related Benchmark Replacement Date have occurred with respect to Compounded SOFR (or the published SOFR Index used in the calculation thereof) or the then-current Benchmark, then “Benchmark” means the applicable Benchmark Replacement.</w:t>
      </w:r>
    </w:p>
    <w:p>
      <w:pPr>
        <w:spacing w:after="0" w:line="142" w:lineRule="exact"/>
        <w:rPr>
          <w:sz w:val="20"/>
          <w:szCs w:val="20"/>
          <w:color w:val="auto"/>
        </w:rPr>
      </w:pPr>
    </w:p>
    <w:p>
      <w:pPr>
        <w:ind w:left="1480" w:right="399" w:firstLine="333"/>
        <w:spacing w:after="0" w:line="297" w:lineRule="auto"/>
        <w:rPr>
          <w:sz w:val="20"/>
          <w:szCs w:val="20"/>
          <w:color w:val="auto"/>
        </w:rPr>
      </w:pPr>
      <w:r>
        <w:rPr>
          <w:rFonts w:ascii="Times New Roman" w:cs="Times New Roman" w:eastAsia="Times New Roman" w:hAnsi="Times New Roman"/>
          <w:sz w:val="12"/>
          <w:szCs w:val="12"/>
          <w:color w:val="auto"/>
        </w:rPr>
        <w:t>“Benchmark Replacement” means the first alternative set forth in the order below that can be determined by us (or our Designee) as of the Benchmark Replacement Date: (1) the sum of: (a) the alternate rate of interest that has been selected or recommended by the Relevant Governmental Body as the replacement for the then-current Benchmark and (b) the Benchmark Replacement Adjustment; (2) the sum of: (a) the ISDA Fallback Rate (as defined below) and (b) the Benchmark Replacement Adjustment; and (3) the sum of: (a) the alternate rate of interest that has been selected by us (or our Designee) as the replacement for the then-current Benchmark giving due consideration to any industry-accepted rate of interest as a replacement for the then-current Benchmark for United States dollar denominated floating rate notes at such time and (b) the Benchmark Replacement Adjustment.</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7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“Benchmark Replacement Adjustment” means the first alternative set forth in the order below that can be determined by us (or our Designee) as of the Benchmark Replacement Date: (1) the spread adjustment, or method for calculating or determining such spread adjustment (which may be a positive or negative value or zero) that has been selected or recommended by the Relevant Governmental Body for the applicable Unadjusted Benchmark Replacement (as defined below); (2) if the applicable Unadjusted Benchmark Replacement is equivalent to the ISDA Fallback Rate, then the ISDA Fallback Adjustment; and (3) the spread adjustment (which may be a positive or negative value or zero) that has been selected by us (or our Designee) giving due consideration to any industry-accepted spread adjustment, or method for calculating or determining such spread adjustment, for the replacement of the then-current Benchmark with the applicable Unadjusted Benchmark Replacement for United States dollar denominated floating rate notes at such time. The Benchmark Replacement Adjustment shall not include the Margin specified in this prospectus supplement and such Margin shall be applied to the Benchmark Replacement to determine the interest payable on the notes.</w:t>
      </w:r>
    </w:p>
    <w:p>
      <w:pPr>
        <w:spacing w:after="0" w:line="149"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“Benchmark Replacement Conforming Changes” means, with respect to any Benchmark Replacement, any technical, administrative or operational changes (including changes to the definition or interpretation of “Interest Period,” timing and frequency of determining rates and making payments of interest, rounding of amounts or tenor, and other administrative matters), or any other changes to any other terms or provisions of the notes, in each case that we (or our Designee) decides may be appropriate to reflect the adoption of such Benchmark Replacement in a manner substantially consistent with market practice (or, if we (or our Designee) decides that adoption of any portion of such market practice is not administratively feasible or if we (or our Designee) determines that no market practice for use of the Benchmark Replacement exists, in such other manner as we (or our Designee) determines is reasonably necessary or practicable).</w:t>
      </w:r>
    </w:p>
    <w:p>
      <w:pPr>
        <w:spacing w:after="0" w:line="147"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“Benchmark Replacement Date” means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(2) in the case of clause (3) of the definition of “Benchmark Transition Event,” the date of the public statement or publication of information referenced therein. 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47"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“Benchmark Transition Event” means the occurrence of one or more of the following events with respect to the then-current Benchmark (including the daily published component used in the calculation thereof): (1) 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 (2) 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 (3) a public statement or publication of information by the regulatory supervisor for the administrator of the Benchmark announcing that the Benchmark is no longer representative.</w:t>
      </w:r>
    </w:p>
    <w:p>
      <w:pPr>
        <w:spacing w:after="0" w:line="152"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“ISDA Definitions” means the 2021 ISDA Definitions published by the ISDA or any successor thereto, as amended or supplemented from time to time, or any successor definitional booklet for interest rate derivatives published from time to time.</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7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19" w:firstLine="333"/>
        <w:spacing w:after="0" w:line="349" w:lineRule="auto"/>
        <w:rPr>
          <w:sz w:val="20"/>
          <w:szCs w:val="20"/>
          <w:color w:val="auto"/>
        </w:rPr>
      </w:pPr>
      <w:r>
        <w:rPr>
          <w:rFonts w:ascii="Times New Roman" w:cs="Times New Roman" w:eastAsia="Times New Roman" w:hAnsi="Times New Roman"/>
          <w:sz w:val="12"/>
          <w:szCs w:val="12"/>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89" w:lineRule="exact"/>
        <w:rPr>
          <w:sz w:val="20"/>
          <w:szCs w:val="20"/>
          <w:color w:val="auto"/>
        </w:rPr>
      </w:pPr>
    </w:p>
    <w:p>
      <w:pPr>
        <w:jc w:val="both"/>
        <w:ind w:left="1480" w:right="679" w:firstLine="333"/>
        <w:spacing w:after="0" w:line="349" w:lineRule="auto"/>
        <w:rPr>
          <w:sz w:val="20"/>
          <w:szCs w:val="20"/>
          <w:color w:val="auto"/>
        </w:rPr>
      </w:pPr>
      <w:r>
        <w:rPr>
          <w:rFonts w:ascii="Times New Roman" w:cs="Times New Roman" w:eastAsia="Times New Roman" w:hAnsi="Times New Roman"/>
          <w:sz w:val="12"/>
          <w:szCs w:val="12"/>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89"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“Reference Time” with respect to any determination of the Benchmark means (1) if the Benchmark is Compounded SOFR, the SOFR Index Determination Time, as such time is defined above, and (2) if the Benchmark is not Compounded SOFR, the time determined by us (or our Designee) in accordance with the Benchmark Replacement Conforming Changes.</w:t>
      </w:r>
    </w:p>
    <w:p>
      <w:pPr>
        <w:spacing w:after="0" w:line="142" w:lineRule="exact"/>
        <w:rPr>
          <w:sz w:val="20"/>
          <w:szCs w:val="20"/>
          <w:color w:val="auto"/>
        </w:rPr>
      </w:pPr>
    </w:p>
    <w:p>
      <w:pPr>
        <w:ind w:left="1480" w:right="779" w:firstLine="333"/>
        <w:spacing w:after="0" w:line="264" w:lineRule="auto"/>
        <w:rPr>
          <w:sz w:val="20"/>
          <w:szCs w:val="20"/>
          <w:color w:val="auto"/>
        </w:rPr>
      </w:pPr>
      <w:r>
        <w:rPr>
          <w:rFonts w:ascii="Times New Roman" w:cs="Times New Roman" w:eastAsia="Times New Roman" w:hAnsi="Times New Roman"/>
          <w:sz w:val="14"/>
          <w:szCs w:val="14"/>
          <w:color w:val="auto"/>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“Unadjusted Benchmark Replacement” means the Benchmark Replacement excluding the Benchmark Replacement Adjustment.</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Calculation of the Floating Interest Rate</w:t>
      </w:r>
    </w:p>
    <w:p>
      <w:pPr>
        <w:spacing w:after="0" w:line="88" w:lineRule="exact"/>
        <w:rPr>
          <w:sz w:val="20"/>
          <w:szCs w:val="20"/>
          <w:color w:val="auto"/>
        </w:rPr>
      </w:pPr>
    </w:p>
    <w:p>
      <w:pPr>
        <w:ind w:left="1480" w:right="759" w:firstLine="333"/>
        <w:spacing w:after="0" w:line="264" w:lineRule="auto"/>
        <w:rPr>
          <w:sz w:val="20"/>
          <w:szCs w:val="20"/>
          <w:color w:val="auto"/>
        </w:rPr>
      </w:pPr>
      <w:r>
        <w:rPr>
          <w:rFonts w:ascii="Times New Roman" w:cs="Times New Roman" w:eastAsia="Times New Roman" w:hAnsi="Times New Roman"/>
          <w:sz w:val="14"/>
          <w:szCs w:val="14"/>
          <w:color w:val="auto"/>
        </w:rPr>
        <w:t>The “Calculation Agent” means a banking institution or trust company appointed by us to act as calculation agent, initially U.S. Bank Trust Company, National Association.</w:t>
      </w:r>
    </w:p>
    <w:p>
      <w:pPr>
        <w:spacing w:after="0" w:line="136" w:lineRule="exact"/>
        <w:rPr>
          <w:sz w:val="20"/>
          <w:szCs w:val="20"/>
          <w:color w:val="auto"/>
        </w:rPr>
      </w:pPr>
    </w:p>
    <w:p>
      <w:pPr>
        <w:jc w:val="both"/>
        <w:ind w:left="1480" w:right="619" w:firstLine="333"/>
        <w:spacing w:after="0" w:line="349" w:lineRule="auto"/>
        <w:rPr>
          <w:sz w:val="20"/>
          <w:szCs w:val="20"/>
          <w:color w:val="auto"/>
        </w:rPr>
      </w:pPr>
      <w:r>
        <w:rPr>
          <w:rFonts w:ascii="Times New Roman" w:cs="Times New Roman" w:eastAsia="Times New Roman" w:hAnsi="Times New Roman"/>
          <w:sz w:val="12"/>
          <w:szCs w:val="12"/>
          <w:color w:val="auto"/>
        </w:rPr>
        <w:t>Absent wilful misconduct, bad faith or manifest error, the calculation of the applicable interest rate for each Interest Period by the Calculation Agent, or in certain circumstances described above, by us (or our Designee), will be final and binding on us, the trustee and the holders of the notes.</w:t>
      </w:r>
    </w:p>
    <w:p>
      <w:pPr>
        <w:spacing w:after="0" w:line="89" w:lineRule="exact"/>
        <w:rPr>
          <w:sz w:val="20"/>
          <w:szCs w:val="20"/>
          <w:color w:val="auto"/>
        </w:rPr>
      </w:pPr>
    </w:p>
    <w:p>
      <w:pPr>
        <w:ind w:left="1480" w:right="359" w:firstLine="333"/>
        <w:spacing w:after="0" w:line="295" w:lineRule="auto"/>
        <w:rPr>
          <w:sz w:val="20"/>
          <w:szCs w:val="20"/>
          <w:color w:val="auto"/>
        </w:rPr>
      </w:pPr>
      <w:r>
        <w:rPr>
          <w:rFonts w:ascii="Times New Roman" w:cs="Times New Roman" w:eastAsia="Times New Roman" w:hAnsi="Times New Roman"/>
          <w:sz w:val="12"/>
          <w:szCs w:val="12"/>
          <w:color w:val="auto"/>
        </w:rPr>
        <w:t>None of the trustee, paying agent, registrar or Calculation Agent shall be under any obligation (i) to monitor, determine or verify the unavailability or cessation of SOFR, the SOFR Index or any applicable Benchmark, or whether or when there has occurred, or to give notice to any other transaction party of the occurrence of, any Benchmark Transition Event or related Benchmark Replacement Date, (ii) to select, determine or designate any alternative method, Benchmark Replacement or alternative index, or other successor or replacement alternative index, or whether any conditions to the designation of such a rate or index have been satisfied, (iii) to select, determine or designate any Benchmark Replacement Adjustment, or other modifier to any replacement or successor index, or (iv) to determine whether or what Benchmark Replacement Conforming Changes with respect to such alternative method, Benchmark Replacement or alternative index are necessary or advisable, if any, in connection with any of the foregoing.</w:t>
      </w:r>
    </w:p>
    <w:p>
      <w:pPr>
        <w:spacing w:after="0" w:line="120"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None of the trustee, paying agent, registrar or Calculation Agent shall be (i) liable for any inability, failure or delay on its part to perform any of its duties described in this prospectus supplement and the accompanying prospectus as a result of the unavailability of SOFR, the SOFR Index or other applicable Benchmark Replacement, including as a result of any failure, inability, delay, error or inaccuracy on the part of any other transaction party in providing any direction, instruction, notice or information contemplated by this prospectus supplement and the accompanying prospectus and reasonably required for the performance of such duties or (ii) required to succeed to, assume or otherwise perform any of our duties or our Designee’s duties in connection with the foregoing, or to appoint a successor or replacement in the event of its resignation or removal, or to remove and replace us or our Designee in the event of a default, breach or failure of performance on the part of us or our Designee with respect to the duties and obligations under the indenture and the notes.</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7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 Listing</w:t>
      </w:r>
    </w:p>
    <w:p>
      <w:pPr>
        <w:spacing w:after="0" w:line="88"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We do not intend to apply for the listing or trading of the notes on any securities exchange or trading facility or for inclusion of the notes in any automated quotation system.</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88" w:lineRule="exact"/>
        <w:rPr>
          <w:sz w:val="20"/>
          <w:szCs w:val="20"/>
          <w:color w:val="auto"/>
        </w:rPr>
      </w:pPr>
    </w:p>
    <w:p>
      <w:pPr>
        <w:ind w:left="1480" w:right="359" w:firstLine="333"/>
        <w:spacing w:after="0" w:line="244" w:lineRule="auto"/>
        <w:rPr>
          <w:sz w:val="20"/>
          <w:szCs w:val="20"/>
          <w:color w:val="auto"/>
        </w:rPr>
      </w:pPr>
      <w:r>
        <w:rPr>
          <w:rFonts w:ascii="Times New Roman" w:cs="Times New Roman" w:eastAsia="Times New Roman" w:hAnsi="Times New Roman"/>
          <w:sz w:val="14"/>
          <w:szCs w:val="14"/>
          <w:color w:val="auto"/>
        </w:rPr>
        <w:t>The notes will be our unsecured and unsubordinated obligations and will rank equally in right of payment with all of our other existing and future unsecured and unsubordinated indebtedness and guarantees. The notes will rank senior in right of payment to all of our existing and future indebtedness that is subordinated to the notes. The notes will be effectively subordinated in right of payment to any secured indebtedness we have or may incur (to the extent of the value of the collateral securing such secured indebtedness). The notes are our obligations exclusively and are not the obligations of any of our consolidated entities, equity method investees or other affiliates. Because we are a holding company and substantially all the assets that produce our earnings are owned by our consolidated subsidiaries or our equity method investees, which are entities we do not control, the notes will be effectively subordinated in right of payment to all existing and future indebtedness and other liabilities and any preferred equity of our subsidiaries. At March 31, 2026, our consolidated subsidiaries had total indebtedness and other liabilities of approximately $53.6 billion owing to unaffiliated third parties. In addition, at March 31, 2026, our consolidated subsidiaries had approximately $1.9 billion of liabilities owed to us. The indenture does not limit the amount of secured indebtedness that may be incurred by us or the amount of other indebtedness or liabilities that may be incurred by us or any of our subsidiaries. For additional information, see “Risk Factors—The notes will be effectively subordinated in right of payment to all indebtedness and other liabilities and any preferred equity of Sempra’s subsidiaries, and the indenture under which the notes will be issued does not limit the aggregate amount of indebtedness and other liabilities that Sempra and its subsidiaries may incur” in this prospectus supplement and “Description of Debt Securities— Holding Company Structure” in the accompanying prospectus and “Risk Factors—Risks Related to Sempra—Operational and Structural Risks— Sempra’s ability to pay dividends and meet its obligations largely depends on the performance of its subsidiaries and entities accounted for as equity method investments” in our Annual Report on Form 10-K for the year ended December 31, 2025, incorporated by reference in this prospectus supplement and the accompanying prospectus.</w:t>
      </w:r>
    </w:p>
    <w:p>
      <w:pPr>
        <w:spacing w:after="0" w:line="2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notes will not be redeemable at our option prior to maturity.</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An “event of default” occurs with respect to the notes if:</w:t>
      </w:r>
    </w:p>
    <w:p>
      <w:pPr>
        <w:spacing w:after="0" w:line="94" w:lineRule="exact"/>
        <w:rPr>
          <w:sz w:val="20"/>
          <w:szCs w:val="20"/>
          <w:color w:val="auto"/>
        </w:rPr>
      </w:pPr>
    </w:p>
    <w:p>
      <w:pPr>
        <w:ind w:left="2220" w:hanging="416"/>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any interest on any note when it becomes due and payable and such default continues for 30 days;</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any principal of or premium, if any, on any note on the due date;</w:t>
      </w:r>
    </w:p>
    <w:p>
      <w:pPr>
        <w:spacing w:after="0" w:line="94" w:lineRule="exact"/>
        <w:rPr>
          <w:rFonts w:ascii="Times New Roman" w:cs="Times New Roman" w:eastAsia="Times New Roman" w:hAnsi="Times New Roman"/>
          <w:sz w:val="14"/>
          <w:szCs w:val="14"/>
          <w:color w:val="auto"/>
        </w:rPr>
      </w:pPr>
    </w:p>
    <w:p>
      <w:pPr>
        <w:ind w:left="2220" w:right="359" w:hanging="416"/>
        <w:spacing w:after="0" w:line="305" w:lineRule="auto"/>
        <w:tabs>
          <w:tab w:leader="none" w:pos="22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remain in default in the performance, or breach, of any other covenant or warranty in the indenture (excluding covenants and warranties solely applicable to another series of debt securities issued under the indenture) or the notes for 60 days after there has been given to us, by registered or certified mail, a written notice of default specifying such default or breach and requiring remedy of the default or breach; the notice must be sent by either the trustee or registered holders of at least 33% of the principal amount of the outstanding notes; or</w:t>
      </w:r>
    </w:p>
    <w:p>
      <w:pPr>
        <w:spacing w:after="0" w:line="44" w:lineRule="exact"/>
        <w:rPr>
          <w:rFonts w:ascii="Times New Roman" w:cs="Times New Roman" w:eastAsia="Times New Roman" w:hAnsi="Times New Roman"/>
          <w:sz w:val="12"/>
          <w:szCs w:val="12"/>
          <w:color w:val="auto"/>
        </w:rPr>
      </w:pPr>
    </w:p>
    <w:p>
      <w:pPr>
        <w:ind w:left="2220" w:right="759" w:hanging="416"/>
        <w:spacing w:after="0" w:line="264"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Sempra files for bankruptcy or other specified events of bankruptcy, insolvency, receivership or reorganization occur with respect to Sempra.</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7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59" w:firstLine="333"/>
        <w:spacing w:after="0" w:line="254" w:lineRule="auto"/>
        <w:rPr>
          <w:sz w:val="20"/>
          <w:szCs w:val="20"/>
          <w:color w:val="auto"/>
        </w:rPr>
      </w:pPr>
      <w:r>
        <w:rPr>
          <w:rFonts w:ascii="Times New Roman" w:cs="Times New Roman" w:eastAsia="Times New Roman" w:hAnsi="Times New Roman"/>
          <w:sz w:val="14"/>
          <w:szCs w:val="14"/>
          <w:color w:val="auto"/>
        </w:rPr>
        <w:t>No event of default with respect to the notes will necessarily constitute an event of default with respect to the debt securities of any other series issued under the indenture, and no event of default with respect to any other series of debt securities issued under the indenture will necessarily constitute an event of default with respect to the notes.</w:t>
      </w:r>
    </w:p>
    <w:p>
      <w:pPr>
        <w:spacing w:after="0" w:line="142" w:lineRule="exact"/>
        <w:rPr>
          <w:sz w:val="20"/>
          <w:szCs w:val="20"/>
          <w:color w:val="auto"/>
        </w:rPr>
      </w:pPr>
    </w:p>
    <w:p>
      <w:pPr>
        <w:jc w:val="both"/>
        <w:ind w:left="1480" w:right="519" w:firstLine="333"/>
        <w:spacing w:after="0" w:line="305" w:lineRule="auto"/>
        <w:rPr>
          <w:sz w:val="20"/>
          <w:szCs w:val="20"/>
          <w:color w:val="auto"/>
        </w:rPr>
      </w:pPr>
      <w:r>
        <w:rPr>
          <w:rFonts w:ascii="Times New Roman" w:cs="Times New Roman" w:eastAsia="Times New Roman" w:hAnsi="Times New Roman"/>
          <w:sz w:val="12"/>
          <w:szCs w:val="12"/>
          <w:color w:val="auto"/>
        </w:rPr>
        <w:t>The description set forth under this heading “—Events of Default” supersedes and replaces, insofar as it relates to the notes, the description set forth under the heading “Description of Debt Securities—Events of Default” (other than the last paragraph under such heading) in the accompanying prospectus. As of March 31, 2026, we had approximately $750 million aggregate principal amount of outstanding prior senior debt securities (as such term is defined in the last paragraph under the heading “Description of Debt Securities—Events of Default” in the accompanying prospectus).</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Acceleration</w:t>
      </w:r>
    </w:p>
    <w:p>
      <w:pPr>
        <w:spacing w:after="0" w:line="88"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If an event of default described under “—Events of Default” above occurs and is continuing with respect to the notes, then either the trustee or the registered holders of at least 33% in principal amount of the outstanding notes may declare the principal amount of all of the notes, together with accrued and unpaid interest thereon, to be due and payable immediately, and upon any such declaration the principal of and accrued and unpaid interest on the notes shall become immediately due and payable.</w:t>
      </w:r>
    </w:p>
    <w:p>
      <w:pPr>
        <w:spacing w:after="0" w:line="146" w:lineRule="exact"/>
        <w:rPr>
          <w:sz w:val="20"/>
          <w:szCs w:val="20"/>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The description set forth under this heading “—Acceleration” supersedes and replaces, insofar as it relates to the notes, the description set forth under the heading “Description of Debt Securities—Remedies—Acceleration” in the accompanying prospectus.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Limitation on Proceedings</w:t>
      </w:r>
    </w:p>
    <w:p>
      <w:pPr>
        <w:spacing w:after="0" w:line="88"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The following language supersedes and replaces, insofar as it relates to the notes, the fourth full paragraph (i.e., the paragraph beginning with the words “In addition, each indenture provides…”) under the heading “Description of Debt Securities—Remedies—Control by Registered Holders; Limitations” in the accompanying prospectus and shall apply to the notes instead of such paragraph: “In addition, the indenture provides that no registered holder of notes will have any right to institute any proceeding, judicial or otherwise, with respect to the indenture or for the appointment of a receiver or trustee or for any other remedy thereunder unless: (a) the registered holder has previously given the trustee written notice of a continuing event of default with respect to the notes; (b) the registered holders of at least 33% in principal amount of the outstanding notes have made written request to the trustee to institute proceedings in respect of that event of default and have offered the trustee reasonable indemnity against costs, expenses and liabilities incurred in complying with the request; and (c) for 60 days after receipt of the notice, the trustee has failed to institute a proceeding and no direction inconsistent with the request has been given to the trustee during such 60-day period by the registered holders of a majority in principal amount of the outstanding notes. Furthermore, no registered holder of notes will be entitled to institute any action if and to the extent that the action would disturb or prejudice the rights of other registered holders of the notes under the indenture.”</w:t>
      </w:r>
    </w:p>
    <w:p>
      <w:pPr>
        <w:spacing w:after="0" w:line="2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88"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The notes will not be subject to a sinking fund or entitled to any guarantees and you will not be permitted to require us to redeem or repurchase the notes at your option.</w:t>
      </w:r>
    </w:p>
    <w:p>
      <w:pPr>
        <w:spacing w:after="0" w:line="136" w:lineRule="exact"/>
        <w:rPr>
          <w:sz w:val="20"/>
          <w:szCs w:val="20"/>
          <w:color w:val="auto"/>
        </w:rPr>
      </w:pPr>
    </w:p>
    <w:p>
      <w:pPr>
        <w:ind w:left="1480" w:right="439" w:firstLine="333"/>
        <w:spacing w:after="0" w:line="305" w:lineRule="auto"/>
        <w:rPr>
          <w:sz w:val="20"/>
          <w:szCs w:val="20"/>
          <w:color w:val="auto"/>
        </w:rPr>
      </w:pPr>
      <w:r>
        <w:rPr>
          <w:rFonts w:ascii="Times New Roman" w:cs="Times New Roman" w:eastAsia="Times New Roman" w:hAnsi="Times New Roman"/>
          <w:sz w:val="12"/>
          <w:szCs w:val="12"/>
          <w:color w:val="auto"/>
        </w:rPr>
        <w:t>We will pay the principal of and premium, if any, on the notes at the maturity date for the notes or as otherwise required, upon presentation of the notes at the office of the trustee, as our paying agent. In our discretion, we may appoint one or more additional paying agents and security registrars for the notes and change or designate one or more additional places for payment and for registration of transfer of the notes, but we must at all times maintain a place of payment for the notes and a place for registration of transfer of the notes in the Borough of Manhattan, The City of New York.</w:t>
      </w:r>
    </w:p>
    <w:p>
      <w:pPr>
        <w:spacing w:after="0" w:line="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7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We may, from time to time, without notice to or the consent of the holders of notes, increase the principal amount of the notes offered hereby and issue such increased principal amount, or any portion thereof. Any additional notes so issued shall have the same form and terms (other than the offering price, the Original Issue Date and, under certain circumstances, the date from which interest thereon shall begin to accrue and the first Interest Payment Date), and shall carry the same right to receive accrued and unpaid interest, as the notes previously issued and such additional notes shall form a single series under the indenture with the notes offered by this prospectus supplement, provided that such additional notes shall be fungible with the notes previously issued for United States federal income tax purposes.</w:t>
      </w:r>
    </w:p>
    <w:p>
      <w:pPr>
        <w:spacing w:after="0" w:line="150"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The notes initially will be issued in book-entry form and represented by one or more global notes deposited with, or on behalf of, The Depository Trust Company, as Depositary, and registered in the name of Cede &amp; Co., its nominee. This means that you will not be entitled to receive a certificate for the notes that you purchase except in limited circumstances described in the accompanying prospectus under the heading “Global Securities.” The notes will be issued only in fully registered form without coupons, in denominations of $2,000 and integral multiples of $1,000 in excess thereof. We expect that payments due on notes in book-entry form will be paid by wire transfer of funds to the Depositary or its nominee. For additional information regarding notes in global form and the book-entry system, see “Global Securities” in the accompanying prospectus.</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7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MATERIAL UNITED STATES FEDERAL TAX CONSIDERATIONS</w:t>
      </w:r>
    </w:p>
    <w:p>
      <w:pPr>
        <w:spacing w:after="0" w:line="170"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The following is a summary of certain material United States federal income tax considerations relating to the ownership and disposition of the notes,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each as of the date hereof. These authorities may be changed, perhaps retroactively, so as to result in United States federal income tax consequences different from those set forth below. We have not sought any ruling from the Internal Revenue Service (the “IRS”) or an opinion of counsel with respect to the statements made and the conclusions reached in the following summary, and there can be no assurance that the IRS or a court will agree with such statements and conclusions.</w:t>
      </w:r>
    </w:p>
    <w:p>
      <w:pPr>
        <w:spacing w:after="0" w:line="147" w:lineRule="exact"/>
        <w:rPr>
          <w:sz w:val="20"/>
          <w:szCs w:val="20"/>
          <w:color w:val="auto"/>
        </w:rPr>
      </w:pPr>
    </w:p>
    <w:p>
      <w:pPr>
        <w:ind w:left="1480" w:right="499" w:firstLine="333"/>
        <w:spacing w:after="0" w:line="250" w:lineRule="auto"/>
        <w:rPr>
          <w:sz w:val="20"/>
          <w:szCs w:val="20"/>
          <w:color w:val="auto"/>
        </w:rPr>
      </w:pPr>
      <w:r>
        <w:rPr>
          <w:rFonts w:ascii="Times New Roman" w:cs="Times New Roman" w:eastAsia="Times New Roman" w:hAnsi="Times New Roman"/>
          <w:sz w:val="14"/>
          <w:szCs w:val="14"/>
          <w:color w:val="auto"/>
        </w:rPr>
        <w:t>This summary is limited to holders who purchase the notes upon their initial issuance at their initial “issue price” within the meaning of Section 1273 of the Code (i.e., the first price at which a substantial amount of notes is sold to the public for cash, not including sales to bond houses, brokers or similar persons or organizations acting in the capacity of underwriters, placement agents or wholesalers) and who hold the notes as “capital assets” within the meaning of Section 1221 of the Code (generally, property held for investment).</w:t>
      </w:r>
    </w:p>
    <w:p>
      <w:pPr>
        <w:spacing w:after="0" w:line="146"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This summary does not address United States federal tax laws other than income tax laws, and it does not address tax considerations arising under the laws of any foreign, state or local jurisdiction. In addition, this discussion does not address all tax considerations that may be applicable to a holder’s particular circumstances, including the impact of the Medicare contribution tax on net investment income or the alternative minimum tax, or to holders that may be subject to special tax rules, including, without limitation:</w:t>
      </w:r>
    </w:p>
    <w:p>
      <w:pPr>
        <w:spacing w:after="0" w:line="75" w:lineRule="exact"/>
        <w:rPr>
          <w:sz w:val="20"/>
          <w:szCs w:val="20"/>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or other financial institutions;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or real estate investment trusts;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 or commodities;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elect to use a mark-to-market method of accounting for their securities holdings;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persons or entities (except to the extent specifically set forth below);</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S-corporations, partnerships or other pass-through entities or arrangements (and investors therein);</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their use of financial statements;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certain former citizens or long-term residents of the United States;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United States dollar;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who hold the notes as a position in a hedging transaction, “straddle,” “conversion transaction” or other risk reduction transaction;</w:t>
      </w:r>
    </w:p>
    <w:p>
      <w:pPr>
        <w:spacing w:after="0" w:line="1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the notes under the constructive sale provisions of the Code; or</w:t>
      </w:r>
    </w:p>
    <w:p>
      <w:pPr>
        <w:spacing w:after="0" w:line="9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the notes being taken into account in an “applicable financial statement” (within the meaning of Section 451(b) of the Code).</w:t>
      </w:r>
    </w:p>
    <w:p>
      <w:pPr>
        <w:spacing w:after="0" w:line="136"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If an entity or arrangement treated as a partnership for United States federal income tax purposes holds notes, the tax treatment of a partner in the partnership generally will depend upon the status of the partner, the activities of the partnership, and certain determinations made at the partner level. Accordingly, partnerships holding our notes and the partners in such partnerships should consult their tax advisors regarding the tax consequences of the purchase, ownership and disposition of the notes.</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7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right="399" w:firstLine="333"/>
        <w:spacing w:after="0" w:line="249" w:lineRule="auto"/>
        <w:rPr>
          <w:sz w:val="20"/>
          <w:szCs w:val="20"/>
          <w:color w:val="auto"/>
        </w:rPr>
      </w:pPr>
      <w:r>
        <w:rPr>
          <w:rFonts w:ascii="Times New Roman" w:cs="Times New Roman" w:eastAsia="Times New Roman" w:hAnsi="Times New Roman"/>
          <w:sz w:val="14"/>
          <w:szCs w:val="14"/>
          <w:b w:val="1"/>
          <w:bCs w:val="1"/>
          <w:color w:val="auto"/>
        </w:rPr>
        <w:t>THIS SUMMARY OF CERTAIN MATERIAL UNITED STATES FEDERAL INCOME TAX CONSIDERATIONS IS FOR GENERAL INFORMATION ONLY AND IS NOT TAX ADVICE. YOU ARE URGED TO CONSULT YOUR TAX ADVISOR WITH RESPECT TO THE APPLICATION OF UNITED STATES FEDERAL INCOME TAX LAWS TO YOUR PARTICULAR SITUATION AS WELL AS ANY TAX CONSEQUENCES OF THE OWNERSHIP AND DISPOSITION OF THE NOTES ARISING UNDER OTHER UNITED STATES FEDERAL TAX RULES OR UNDER THE LAWS OF ANY STATE, LOCAL, FOREIGN OR OTHER TAXING JURISDICTION OR UNDER ANY APPLICABLE TAX TREATY.</w:t>
      </w:r>
    </w:p>
    <w:p>
      <w:pPr>
        <w:spacing w:after="0" w:line="2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Consequences to U.S. Holders</w:t>
      </w:r>
    </w:p>
    <w:p>
      <w:pPr>
        <w:spacing w:after="0" w:line="88"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The following is a summary of certain material United States federal income tax consequences that will apply to you if you are a U.S. holder (as defined below) of the notes. Certain consequences to non-U.S. holders (as defined below) of the notes are described under “—Consequences to Non-U.S. Holders” below. The term “U.S. holder” means a beneficial owner of a note that, for United States federal income tax purposes, is or is treated as:</w:t>
      </w:r>
    </w:p>
    <w:p>
      <w:pPr>
        <w:spacing w:after="0" w:line="75" w:lineRule="exact"/>
        <w:rPr>
          <w:sz w:val="20"/>
          <w:szCs w:val="20"/>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in or under the laws of the United States or of any state thereof or the District of Columbia;</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4"/>
          <w:szCs w:val="14"/>
          <w:color w:val="auto"/>
        </w:rPr>
      </w:pPr>
    </w:p>
    <w:p>
      <w:pPr>
        <w:ind w:left="2220" w:right="359" w:hanging="334"/>
        <w:spacing w:after="0" w:line="25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United States court and the control of one or more “United States persons” (within the meaning of Section 7701(a)(30) of the Code), or (ii) has a valid election in effect under applicable Treasury Regulations to be treated as a United States person for United States federal income tax purposes.</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Payments of Interest</w:t>
      </w:r>
    </w:p>
    <w:p>
      <w:pPr>
        <w:spacing w:after="0" w:line="86"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You generally will be required to recognize any stated interest as ordinary income at the time it is paid or accrued on the notes in accordance with your regular method of accounting for United States federal income tax purposes.</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Sale, Exchange, Redemption or Other Taxable Disposition of Notes</w:t>
      </w:r>
    </w:p>
    <w:p>
      <w:pPr>
        <w:spacing w:after="0" w:line="86"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You generally will recognize capital gain or loss upon the sale, exchange, redemption or other taxable disposition of a note in an amount equal to the difference between (i) the sum of cash plus the fair market value of all other property received on such disposition (except to the extent such cash or property is attributable to accrued but unpaid interest not previously included in income, which generally will be taxable as ordinary income as discussed above in “—Consequences to U.S. Holders—Payments of Interest”) and (ii) your adjusted tax basis in the note. Your adjusted tax basis in a note generally will equal the amount you paid for the note. Under current law, if you are a non-corporate U.S. holder, including an individual, and have held the note for more than one year at the time of disposition, such capital gain generally will be taxable at a reduced rate. Your ability to deduct capital losses may be limited.</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Backup Withholding and Information Reporting</w:t>
      </w:r>
    </w:p>
    <w:p>
      <w:pPr>
        <w:spacing w:after="0" w:line="86" w:lineRule="exact"/>
        <w:rPr>
          <w:sz w:val="20"/>
          <w:szCs w:val="20"/>
          <w:color w:val="auto"/>
        </w:rPr>
      </w:pPr>
    </w:p>
    <w:p>
      <w:pPr>
        <w:jc w:val="both"/>
        <w:ind w:left="1480" w:right="859" w:firstLine="333"/>
        <w:spacing w:after="0" w:line="254" w:lineRule="auto"/>
        <w:rPr>
          <w:sz w:val="20"/>
          <w:szCs w:val="20"/>
          <w:color w:val="auto"/>
        </w:rPr>
      </w:pPr>
      <w:r>
        <w:rPr>
          <w:rFonts w:ascii="Times New Roman" w:cs="Times New Roman" w:eastAsia="Times New Roman" w:hAnsi="Times New Roman"/>
          <w:sz w:val="14"/>
          <w:szCs w:val="14"/>
          <w:color w:val="auto"/>
        </w:rPr>
        <w:t>Payments of interest and principal on notes held by U.S. holders and the proceeds received upon the sale, exchange, redemption or other disposition of the notes may be subject to information reporting and backup withholding. Payments to certain holders (including, among others, corporations and certain tax-exempt</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7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659"/>
        <w:spacing w:after="0" w:line="264" w:lineRule="auto"/>
        <w:rPr>
          <w:sz w:val="20"/>
          <w:szCs w:val="20"/>
          <w:color w:val="auto"/>
        </w:rPr>
      </w:pPr>
      <w:r>
        <w:rPr>
          <w:rFonts w:ascii="Times New Roman" w:cs="Times New Roman" w:eastAsia="Times New Roman" w:hAnsi="Times New Roman"/>
          <w:sz w:val="14"/>
          <w:szCs w:val="14"/>
          <w:color w:val="auto"/>
        </w:rPr>
        <w:t>organizations) are generally not subject to information reporting or backup withholding. If you are a U.S. holder and you are not otherwise exempt, payments to you will be subject to backup withholding if:</w:t>
      </w:r>
    </w:p>
    <w:p>
      <w:pPr>
        <w:spacing w:after="0" w:line="65" w:lineRule="exact"/>
        <w:rPr>
          <w:sz w:val="20"/>
          <w:szCs w:val="20"/>
          <w:color w:val="auto"/>
        </w:rPr>
      </w:pPr>
    </w:p>
    <w:p>
      <w:pPr>
        <w:ind w:left="2220" w:right="419" w:hanging="334"/>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fail to furnish your taxpayer identification number (“TIN”), which, for an individual, is ordinarily his or her social security number, in the manner required by the Code and applicable Treasury Regulations;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agent (or other payor) are notified by the IRS that the TIN you furnished is incorrect;</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“notified payee underreporting” with respect to interest or dividends paid to you, as described in the Code; or</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have failed to certify under penalty of perjury that you have furnished a correct TIN and that you are not subject to backup withholding under the Code.</w:t>
      </w:r>
    </w:p>
    <w:p>
      <w:pPr>
        <w:spacing w:after="0" w:line="136" w:lineRule="exact"/>
        <w:rPr>
          <w:sz w:val="20"/>
          <w:szCs w:val="20"/>
          <w:color w:val="auto"/>
        </w:rPr>
      </w:pPr>
    </w:p>
    <w:p>
      <w:pPr>
        <w:jc w:val="both"/>
        <w:ind w:left="1480" w:right="559" w:firstLine="333"/>
        <w:spacing w:after="0" w:line="250" w:lineRule="auto"/>
        <w:rPr>
          <w:sz w:val="20"/>
          <w:szCs w:val="20"/>
          <w:color w:val="auto"/>
        </w:rPr>
      </w:pPr>
      <w:r>
        <w:rPr>
          <w:rFonts w:ascii="Times New Roman" w:cs="Times New Roman" w:eastAsia="Times New Roman" w:hAnsi="Times New Roman"/>
          <w:sz w:val="14"/>
          <w:szCs w:val="14"/>
          <w:color w:val="auto"/>
        </w:rPr>
        <w:t>You should consult your tax advisor regarding your qualification for an exemption from backup withholding and information reporting and the procedures for obtaining such an exemption, if applicable. Backup withholding is not an additional tax, and you may use amounts withheld under the backup withholding rules as a credit against your United States federal income tax liability or may claim a refund as long as you provide the required information to the IRS in a timely manner.</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Consequences to Non-U.S. Holders</w:t>
      </w:r>
    </w:p>
    <w:p>
      <w:pPr>
        <w:spacing w:after="0" w:line="88" w:lineRule="exact"/>
        <w:rPr>
          <w:sz w:val="20"/>
          <w:szCs w:val="20"/>
          <w:color w:val="auto"/>
        </w:rPr>
      </w:pPr>
    </w:p>
    <w:p>
      <w:pPr>
        <w:jc w:val="both"/>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The following is a summary of certain material United States federal income tax consequences that will apply to you if you are a non-U.S. holder of notes. The term “non-U.S. holder” means a beneficial owner of a note that is not a partnership (or other entity or arrangement treated as a partnership for United States federal income tax purposes) or a U.S. holder.</w:t>
      </w:r>
    </w:p>
    <w:p>
      <w:pPr>
        <w:spacing w:after="0" w:line="142" w:lineRule="exact"/>
        <w:rPr>
          <w:sz w:val="20"/>
          <w:szCs w:val="20"/>
          <w:color w:val="auto"/>
        </w:rPr>
      </w:pPr>
    </w:p>
    <w:p>
      <w:pPr>
        <w:ind w:left="1480" w:right="439" w:firstLine="333"/>
        <w:spacing w:after="0" w:line="254" w:lineRule="auto"/>
        <w:rPr>
          <w:sz w:val="20"/>
          <w:szCs w:val="20"/>
          <w:color w:val="auto"/>
        </w:rPr>
      </w:pPr>
      <w:r>
        <w:rPr>
          <w:rFonts w:ascii="Times New Roman" w:cs="Times New Roman" w:eastAsia="Times New Roman" w:hAnsi="Times New Roman"/>
          <w:sz w:val="14"/>
          <w:szCs w:val="14"/>
          <w:color w:val="auto"/>
        </w:rPr>
        <w:t>Special rules may apply to certain non-U.S. holders such as “controlled foreign corporations,” “foreign controlled foreign corporations” and “passive foreign investment companies.” Such entities should consult their tax advisors to determine the United States federal, state, local and other tax consequences that may be relevant to them.</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Payments of Interest</w:t>
      </w:r>
    </w:p>
    <w:p>
      <w:pPr>
        <w:spacing w:after="0" w:line="86"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Subject to the discussion of backup withholding and information reporting and FATCA below, United States federal withholding tax will not apply to any payment to you of interest on a note provided that such interest is not effectively connected with your conduct of a United States trade or business and:</w:t>
      </w:r>
    </w:p>
    <w:p>
      <w:pPr>
        <w:spacing w:after="0" w:line="71" w:lineRule="exact"/>
        <w:rPr>
          <w:sz w:val="20"/>
          <w:szCs w:val="20"/>
          <w:color w:val="auto"/>
        </w:rPr>
      </w:pPr>
    </w:p>
    <w:p>
      <w:pPr>
        <w:ind w:left="2220" w:hanging="334"/>
        <w:spacing w:after="0"/>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own, actually or constructively, 10% or more of the total combined voting power of all classes of our stock entitled to vote;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“controlled foreign corporation” with respect to which we are, directly or indirectly, a “related person”;</w:t>
      </w:r>
    </w:p>
    <w:p>
      <w:pPr>
        <w:spacing w:after="0" w:line="94" w:lineRule="exact"/>
        <w:rPr>
          <w:rFonts w:ascii="Times New Roman" w:cs="Times New Roman" w:eastAsia="Times New Roman" w:hAnsi="Times New Roman"/>
          <w:sz w:val="14"/>
          <w:szCs w:val="14"/>
          <w:color w:val="auto"/>
        </w:rPr>
      </w:pPr>
    </w:p>
    <w:p>
      <w:pPr>
        <w:ind w:left="2220" w:right="559" w:hanging="334"/>
        <w:spacing w:after="0" w:line="264"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bank whose receipt of interest on the notes is in connection with an extension of credit made pursuant to a loan agreement entered into in the ordinary course of its trade or business; and</w:t>
      </w:r>
    </w:p>
    <w:p>
      <w:pPr>
        <w:spacing w:after="0" w:line="64" w:lineRule="exact"/>
        <w:rPr>
          <w:rFonts w:ascii="Times New Roman" w:cs="Times New Roman" w:eastAsia="Times New Roman" w:hAnsi="Times New Roman"/>
          <w:sz w:val="14"/>
          <w:szCs w:val="14"/>
          <w:color w:val="auto"/>
        </w:rPr>
      </w:pPr>
    </w:p>
    <w:p>
      <w:pPr>
        <w:ind w:left="2220" w:right="379" w:hanging="334"/>
        <w:spacing w:after="0" w:line="297" w:lineRule="auto"/>
        <w:tabs>
          <w:tab w:leader="none" w:pos="22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you provide your name and address, and certify, under penalties of perjury, that you are not a United States person (which certification may be made on an IRS Form W-8BEN or IRS Form W-8BEN-E, as applicable (or substitute Form W-8BEN or Form W-8BEN-E, or the appropriate successor form for either form)) or (b) a securities clearing organization, bank, or other financial institution that holds customers’ securities in the ordinary course of its business holds the note on your behalf and certifies, under penalties of perjury, that it has received IRS Form W-8BEN or IRS Form W-8BEN-E, as applicable (or substitute Form W-8BEN or Form W-8BEN-E, or the appropriate successor form for either form), from you or from another qualifying financial institution intermediary,</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7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359"/>
        <w:spacing w:after="0" w:line="250" w:lineRule="auto"/>
        <w:rPr>
          <w:sz w:val="20"/>
          <w:szCs w:val="20"/>
          <w:color w:val="auto"/>
        </w:rPr>
      </w:pPr>
      <w:r>
        <w:rPr>
          <w:rFonts w:ascii="Times New Roman" w:cs="Times New Roman" w:eastAsia="Times New Roman" w:hAnsi="Times New Roman"/>
          <w:sz w:val="14"/>
          <w:szCs w:val="14"/>
          <w:color w:val="auto"/>
        </w:rPr>
        <w:t>and, in certain circumstances, provides a copy of the IRS Form W-8BEN or IRS Form W-8BEN-E, as applicable (or substitute Form W-8BEN or Form W-8BEN-E, or the appropriate successor form for either form). If you hold your notes through certain foreign intermediaries or certain foreign partnerships, such foreign intermediaries or partnerships must also satisfy the certification requirements of applicable Treasury Regulations.</w:t>
      </w:r>
    </w:p>
    <w:p>
      <w:pPr>
        <w:spacing w:after="0" w:line="146"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If you cannot satisfy the requirements described above, you will be subject to a 30% United States federal withholding tax with respect to payments of interest on the notes, unless you provide us with a properly executed (1) IRS Form W-8BEN or IRS Form W-8BEN-E, as applicable (or substitute Form W-8BEN or Form W-8BEN-E, or the appropriate successor form for either form) claiming an exemption from or reduction in withholding under the benefit of an applicable United States income tax treaty or (2) IRS Form W-8ECI (or successor form) stating that the interest paid on the note is not subject to withholding tax because it is effectively connected with your conduct of a trade or business in the United States.</w:t>
      </w:r>
    </w:p>
    <w:p>
      <w:pPr>
        <w:spacing w:after="0" w:line="149"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If you are engaged in a trade or business in the United States and interest on a note is effectively connected with your conduct of that trade or business (and, if required by an applicable income tax treaty, such interest is attributable to a permanent establishment maintained by you in the United States), you will be subject to United States federal income tax on that interest on a net income basis (although you will be exempt from the 30% withholding tax, provided the certification requirements described above are satisfied) in the same manner as if you were a United States person as defined under the Code. In addition, if you are a foreign corporation, you may be subject to a branch profits tax equal to 30% (or lower applicable treaty rate) of your earnings and profits for the taxable year, subject to adjustments, that are effectively connected with your conduct of a trade or business in the United States. For this purpose, interest will be included in the earnings and profits of such foreign corporation.</w:t>
      </w:r>
    </w:p>
    <w:p>
      <w:pPr>
        <w:spacing w:after="0" w:line="147" w:lineRule="exact"/>
        <w:rPr>
          <w:sz w:val="20"/>
          <w:szCs w:val="20"/>
          <w:color w:val="auto"/>
        </w:rPr>
      </w:pPr>
    </w:p>
    <w:p>
      <w:pPr>
        <w:ind w:left="1480" w:right="379" w:firstLine="333"/>
        <w:spacing w:after="0" w:line="305" w:lineRule="auto"/>
        <w:rPr>
          <w:sz w:val="20"/>
          <w:szCs w:val="20"/>
          <w:color w:val="auto"/>
        </w:rPr>
      </w:pPr>
      <w:r>
        <w:rPr>
          <w:rFonts w:ascii="Times New Roman" w:cs="Times New Roman" w:eastAsia="Times New Roman" w:hAnsi="Times New Roman"/>
          <w:sz w:val="12"/>
          <w:szCs w:val="12"/>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Sale, Exchange, Redemption or Other Taxable Disposition of Notes</w:t>
      </w:r>
    </w:p>
    <w:p>
      <w:pPr>
        <w:spacing w:after="0" w:line="86" w:lineRule="exact"/>
        <w:rPr>
          <w:sz w:val="20"/>
          <w:szCs w:val="20"/>
          <w:color w:val="auto"/>
        </w:rPr>
      </w:pPr>
    </w:p>
    <w:p>
      <w:pPr>
        <w:ind w:left="1480" w:right="499" w:firstLine="333"/>
        <w:spacing w:after="0" w:line="250" w:lineRule="auto"/>
        <w:rPr>
          <w:sz w:val="20"/>
          <w:szCs w:val="20"/>
          <w:color w:val="auto"/>
        </w:rPr>
      </w:pPr>
      <w:r>
        <w:rPr>
          <w:rFonts w:ascii="Times New Roman" w:cs="Times New Roman" w:eastAsia="Times New Roman" w:hAnsi="Times New Roman"/>
          <w:sz w:val="14"/>
          <w:szCs w:val="14"/>
          <w:color w:val="auto"/>
        </w:rPr>
        <w:t>Subject to the discussion of backup withholding and information reporting and FATCA below, any gain realized upon the sale, exchange, redemption or other taxable disposition of a note (other than any amount allocable to accrued and unpaid interest, which will be taxable as interest and may be subject to the rules discussed above in “—Consequences to Non-U.S. Holders—Payments of Interest”) generally will not be subject to United States federal income tax unless:</w:t>
      </w:r>
    </w:p>
    <w:p>
      <w:pPr>
        <w:spacing w:after="0" w:line="75" w:lineRule="exact"/>
        <w:rPr>
          <w:sz w:val="20"/>
          <w:szCs w:val="20"/>
          <w:color w:val="auto"/>
        </w:rPr>
      </w:pPr>
    </w:p>
    <w:p>
      <w:pPr>
        <w:ind w:left="2220" w:right="519" w:hanging="334"/>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gain is effectively connected with your conduct of a trade or business in the United States (and, if an income tax treaty applies, such gain is attributable to a permanent establishment maintained by you in the United States); or</w:t>
      </w:r>
    </w:p>
    <w:p>
      <w:pPr>
        <w:spacing w:after="0" w:line="64" w:lineRule="exact"/>
        <w:rPr>
          <w:rFonts w:ascii="Times New Roman" w:cs="Times New Roman" w:eastAsia="Times New Roman" w:hAnsi="Times New Roman"/>
          <w:sz w:val="14"/>
          <w:szCs w:val="14"/>
          <w:color w:val="auto"/>
        </w:rPr>
      </w:pPr>
    </w:p>
    <w:p>
      <w:pPr>
        <w:ind w:left="2220" w:right="659" w:hanging="334"/>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an individual who is present in the United States for 183 days or more in the taxable year of that disposition, and certain other conditions are met.</w:t>
      </w:r>
    </w:p>
    <w:p>
      <w:pPr>
        <w:spacing w:after="0" w:line="136" w:lineRule="exact"/>
        <w:rPr>
          <w:sz w:val="20"/>
          <w:szCs w:val="20"/>
          <w:color w:val="auto"/>
        </w:rPr>
      </w:pPr>
    </w:p>
    <w:p>
      <w:pPr>
        <w:jc w:val="both"/>
        <w:ind w:left="1480" w:right="539" w:firstLine="333"/>
        <w:spacing w:after="0" w:line="248" w:lineRule="auto"/>
        <w:rPr>
          <w:sz w:val="20"/>
          <w:szCs w:val="20"/>
          <w:color w:val="auto"/>
        </w:rPr>
      </w:pPr>
      <w:r>
        <w:rPr>
          <w:rFonts w:ascii="Times New Roman" w:cs="Times New Roman" w:eastAsia="Times New Roman" w:hAnsi="Times New Roman"/>
          <w:sz w:val="14"/>
          <w:szCs w:val="14"/>
          <w:color w:val="auto"/>
        </w:rPr>
        <w:t>If your gain is effectively connected with your conduct of a United States trade or business (and, if required by an applicable income tax treaty, such gain is attributable to a permanent establishment maintained by you in the United States), you generally will be subject to United States federal income tax on the net gain derived from the sale, exchange, redemption or other disposition in the same manner as if you were a United States person (as defined under the Code). If you are a corporation, any such effectively connected gain received by you may also, under certain circumstances, be subject to the branch profits tax at a 30% rate (or such lower rate as may be</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7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39"/>
        <w:spacing w:after="0" w:line="248" w:lineRule="auto"/>
        <w:rPr>
          <w:sz w:val="20"/>
          <w:szCs w:val="20"/>
          <w:color w:val="auto"/>
        </w:rPr>
      </w:pPr>
      <w:r>
        <w:rPr>
          <w:rFonts w:ascii="Times New Roman" w:cs="Times New Roman" w:eastAsia="Times New Roman" w:hAnsi="Times New Roman"/>
          <w:sz w:val="14"/>
          <w:szCs w:val="14"/>
          <w:color w:val="auto"/>
        </w:rPr>
        <w:t>prescribed under an applicable United States income tax treaty). If you are described in the second bullet point above, you will be subject to United States federal income tax on the gain derived from the sale, exchange, redemption or other disposition at a 30% rate (or such lower rate as may be prescribed under an applicable United States income tax treaty), which gain may be offset by United States source capital losses, even though you are not considered a resident of the United States, provided you have timely filed U.S. federal income tax returns with respect to such losses. Non-U.S. holders should consult their tax advisors regarding any applicable income tax treaties that may provide for different rules.</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Backup Withholding and Information Reporting</w:t>
      </w:r>
    </w:p>
    <w:p>
      <w:pPr>
        <w:spacing w:after="0" w:line="86" w:lineRule="exact"/>
        <w:rPr>
          <w:sz w:val="20"/>
          <w:szCs w:val="20"/>
          <w:color w:val="auto"/>
        </w:rPr>
      </w:pPr>
    </w:p>
    <w:p>
      <w:pPr>
        <w:jc w:val="both"/>
        <w:ind w:left="1480" w:right="379" w:firstLine="333"/>
        <w:spacing w:after="0" w:line="316" w:lineRule="auto"/>
        <w:rPr>
          <w:sz w:val="20"/>
          <w:szCs w:val="20"/>
          <w:color w:val="auto"/>
        </w:rPr>
      </w:pPr>
      <w:r>
        <w:rPr>
          <w:rFonts w:ascii="Times New Roman" w:cs="Times New Roman" w:eastAsia="Times New Roman" w:hAnsi="Times New Roman"/>
          <w:sz w:val="12"/>
          <w:szCs w:val="12"/>
          <w:color w:val="auto"/>
        </w:rPr>
        <w:t>Payments to a non-U.S. holder of interest on a note, and amounts withheld from such payments, if any, generally will be required to be reported to the IRS and the non-U.S. holder. Copies of the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09"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If you are a non-U.S. holder, you will generally not be subject to backup withholding and information reporting with respect to the proceeds of the sale of a note within the United States or conducted through certain United States-related financial intermediaries, if the payor receives the statement described above under “—Consequences to Non-U.S. Holders—Payments of Interest” and does not have actual knowledge or reason to know that you are a United States person, as defined under the Code, or you otherwise establish an exemption.</w:t>
      </w:r>
    </w:p>
    <w:p>
      <w:pPr>
        <w:spacing w:after="0" w:line="146"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Proceeds of a disposition of a note paid outside the United States and conducted through a non-U.S. office of a non-U.S. broker generally will not be subject to backup withholding or information reporting.</w:t>
      </w:r>
    </w:p>
    <w:p>
      <w:pPr>
        <w:spacing w:after="0" w:line="136" w:lineRule="exact"/>
        <w:rPr>
          <w:sz w:val="20"/>
          <w:szCs w:val="20"/>
          <w:color w:val="auto"/>
        </w:rPr>
      </w:pPr>
    </w:p>
    <w:p>
      <w:pPr>
        <w:ind w:left="1480" w:right="599" w:firstLine="333"/>
        <w:spacing w:after="0" w:line="264" w:lineRule="auto"/>
        <w:rPr>
          <w:sz w:val="20"/>
          <w:szCs w:val="20"/>
          <w:color w:val="auto"/>
        </w:rPr>
      </w:pPr>
      <w:r>
        <w:rPr>
          <w:rFonts w:ascii="Times New Roman" w:cs="Times New Roman" w:eastAsia="Times New Roman" w:hAnsi="Times New Roman"/>
          <w:sz w:val="14"/>
          <w:szCs w:val="14"/>
          <w:color w:val="auto"/>
        </w:rPr>
        <w:t>Backup withholding is not an additional tax. You generally will be entitled to credit any amounts withheld under the backup withholding rules against your United States federal income tax liability provided that the required information is furnished to the IRS in a timely manner.</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Foreign Account Tax Compliance Act</w:t>
      </w:r>
    </w:p>
    <w:p>
      <w:pPr>
        <w:spacing w:after="0" w:line="86" w:lineRule="exact"/>
        <w:rPr>
          <w:sz w:val="20"/>
          <w:szCs w:val="20"/>
          <w:color w:val="auto"/>
        </w:rPr>
      </w:pPr>
    </w:p>
    <w:p>
      <w:pPr>
        <w:ind w:left="1480" w:right="359" w:firstLine="333"/>
        <w:spacing w:after="0" w:line="291" w:lineRule="auto"/>
        <w:rPr>
          <w:sz w:val="20"/>
          <w:szCs w:val="20"/>
          <w:color w:val="auto"/>
        </w:rPr>
      </w:pPr>
      <w:r>
        <w:rPr>
          <w:rFonts w:ascii="Times New Roman" w:cs="Times New Roman" w:eastAsia="Times New Roman" w:hAnsi="Times New Roman"/>
          <w:sz w:val="12"/>
          <w:szCs w:val="12"/>
          <w:color w:val="auto"/>
        </w:rPr>
        <w:t>Pursuant to legislation commonly referred to as “FATCA” and regulations promulgated thereunder, payments to foreign entities of interest on, or (subject to the proposed U.S. Treasury Regulations discussed below) gross proceeds from the sale or other disposition of debt obligations of a U.S. issuer will be subject to a withholding tax (separate and apart from, but without duplication of, the withholding tax described above) at a rate of 30%, unless (1) a foreign financial institution that is a payee undertakes certain diligence and reporting obligations, (2) a non-financial foreign entity that is a payee either certifies it does not have any “substantial United States owners” (as defined in the Code) or furnishes identifying information regarding each substantial United States owner, or (3) a foreign financial institution or non-financial foreign entity that is a payee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88" w:lineRule="exact"/>
        <w:rPr>
          <w:sz w:val="20"/>
          <w:szCs w:val="20"/>
          <w:color w:val="auto"/>
        </w:rPr>
      </w:pPr>
    </w:p>
    <w:p>
      <w:pPr>
        <w:jc w:val="both"/>
        <w:ind w:left="1480" w:right="379" w:firstLine="333"/>
        <w:spacing w:after="0" w:line="291" w:lineRule="auto"/>
        <w:rPr>
          <w:sz w:val="20"/>
          <w:szCs w:val="20"/>
          <w:color w:val="auto"/>
        </w:rPr>
      </w:pPr>
      <w:r>
        <w:rPr>
          <w:rFonts w:ascii="Times New Roman" w:cs="Times New Roman" w:eastAsia="Times New Roman" w:hAnsi="Times New Roman"/>
          <w:sz w:val="12"/>
          <w:szCs w:val="12"/>
          <w:color w:val="auto"/>
        </w:rPr>
        <w:t>Under the applicable Treasury Regulations and administrative guidance, withholding under FATCA generally applies to payments of interest on a note. While withholding under FATCA would have applied also to payments of gross proceeds from the sale or other disposition of notes, proposed U.S. Treasury Regulations eliminate FATCA withholding on payments of gross proceeds entirely. Taxpayers generally may rely on these proposed U.S.</w:t>
      </w:r>
    </w:p>
    <w:p>
      <w:pPr>
        <w:ind w:left="1480" w:right="519"/>
        <w:spacing w:after="0" w:line="247" w:lineRule="auto"/>
        <w:rPr>
          <w:sz w:val="20"/>
          <w:szCs w:val="20"/>
          <w:color w:val="auto"/>
        </w:rPr>
      </w:pPr>
      <w:r>
        <w:rPr>
          <w:rFonts w:ascii="Times New Roman" w:cs="Times New Roman" w:eastAsia="Times New Roman" w:hAnsi="Times New Roman"/>
          <w:sz w:val="14"/>
          <w:szCs w:val="14"/>
          <w:color w:val="auto"/>
        </w:rPr>
        <w:t>Treasury Regulations until final U.S. Treasury Regulations are issued. You should consult your tax advisor regarding the possible effect of FATCA on your investment in the notes.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7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7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BMO Capital Markets Corp. and Academy Securities, Inc. are acting as representatives of the underwriters named below.</w:t>
      </w:r>
    </w:p>
    <w:p>
      <w:pPr>
        <w:spacing w:after="0" w:line="166" w:lineRule="exact"/>
        <w:rPr>
          <w:sz w:val="20"/>
          <w:szCs w:val="20"/>
          <w:color w:val="auto"/>
        </w:rPr>
      </w:pPr>
    </w:p>
    <w:p>
      <w:pPr>
        <w:ind w:left="1480" w:right="579" w:firstLine="333"/>
        <w:spacing w:after="0" w:line="254" w:lineRule="auto"/>
        <w:rPr>
          <w:sz w:val="20"/>
          <w:szCs w:val="20"/>
          <w:color w:val="auto"/>
        </w:rPr>
      </w:pPr>
      <w:r>
        <w:rPr>
          <w:rFonts w:ascii="Times New Roman" w:cs="Times New Roman" w:eastAsia="Times New Roman" w:hAnsi="Times New Roman"/>
          <w:sz w:val="14"/>
          <w:szCs w:val="14"/>
          <w:color w:val="auto"/>
        </w:rPr>
        <w:t>Subject to the terms and conditions stated in the underwriting agreement dated the date of this prospectus supplement, each underwriter named below has severally agreed to purchase, and we have agreed to sell to that underwriter, the principal amount of notes set forth below opposite the underwriter’s name.</w:t>
      </w:r>
    </w:p>
    <w:p>
      <w:pPr>
        <w:spacing w:after="0" w:line="142" w:lineRule="exact"/>
        <w:rPr>
          <w:sz w:val="20"/>
          <w:szCs w:val="20"/>
          <w:color w:val="auto"/>
        </w:rPr>
      </w:pPr>
    </w:p>
    <w:tbl>
      <w:tblPr>
        <w:tblLayout w:type="fixed"/>
        <w:tblInd w:w="28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Principal</w:t>
            </w:r>
          </w:p>
        </w:tc>
        <w:tc>
          <w:tcPr>
            <w:tcW w:w="0" w:type="dxa"/>
            <w:vAlign w:val="bottom"/>
          </w:tcPr>
          <w:p>
            <w:pPr>
              <w:spacing w:after="0"/>
              <w:rPr>
                <w:sz w:val="1"/>
                <w:szCs w:val="1"/>
                <w:color w:val="auto"/>
              </w:rPr>
            </w:pPr>
          </w:p>
        </w:tc>
      </w:tr>
      <w:tr>
        <w:trPr>
          <w:trHeight w:val="112"/>
        </w:trPr>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0" w:type="dxa"/>
            <w:vAlign w:val="bottom"/>
          </w:tcPr>
          <w:p>
            <w:pPr>
              <w:spacing w:after="0"/>
              <w:rPr>
                <w:sz w:val="1"/>
                <w:szCs w:val="1"/>
                <w:color w:val="auto"/>
              </w:rPr>
            </w:pPr>
          </w:p>
        </w:tc>
      </w:tr>
      <w:tr>
        <w:trPr>
          <w:trHeight w:val="121"/>
        </w:trPr>
        <w:tc>
          <w:tcPr>
            <w:tcW w:w="306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BMO Capital Markets Corp.</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910,000,000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399" w:firstLine="333"/>
        <w:spacing w:after="0" w:line="250"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several underwriters to purchase the notes included in this offering are subject to approval of certain legal matters by counsel and to other conditions. The underwriters are obligated to purchase all of the notes if they purchase any of the notes. This offering of the notes by the underwriters is subject to receipt and acceptance and to the underwriters’ right to reject any order in whole or in part.</w:t>
      </w:r>
    </w:p>
    <w:p>
      <w:pPr>
        <w:spacing w:after="0" w:line="146" w:lineRule="exact"/>
        <w:rPr>
          <w:sz w:val="20"/>
          <w:szCs w:val="20"/>
          <w:color w:val="auto"/>
        </w:rPr>
      </w:pPr>
    </w:p>
    <w:p>
      <w:pPr>
        <w:ind w:left="1480" w:right="379" w:firstLine="333"/>
        <w:spacing w:after="0" w:line="305" w:lineRule="auto"/>
        <w:rPr>
          <w:sz w:val="20"/>
          <w:szCs w:val="20"/>
          <w:color w:val="auto"/>
        </w:rPr>
      </w:pPr>
      <w:r>
        <w:rPr>
          <w:rFonts w:ascii="Times New Roman" w:cs="Times New Roman" w:eastAsia="Times New Roman" w:hAnsi="Times New Roman"/>
          <w:sz w:val="12"/>
          <w:szCs w:val="12"/>
          <w:color w:val="auto"/>
        </w:rPr>
        <w:t>The underwriters propose to offer the notes directly to the public initially at the public offering price set forth on the cover page of this prospectus supplement. Notes sold by the underwriters to dealers may be sold at the public offering price less a concession not to exceed 0.100% of the principal amount of the notes. The underwriters may allow, and such dealers may reallow, a concession not to exceed 0.050% of the principal amount of the notes on sales to other dealers. After the initial offering of the notes to the public, the representatives may change the public offering price and concessions.</w:t>
      </w:r>
    </w:p>
    <w:p>
      <w:pPr>
        <w:spacing w:after="0" w:line="116"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and we do not intend to apply for the listing or trading of the notes on any securities exchange or trading facility or for inclusion of the notes in any automated quotation system. There can be no assurance that there will be a secondary market for the notes or the continued liquidity of such market if one develops. The underwriters have advised us that they intend to make a market in the notes, but they are not obligated to do so and may discontinue market making at any time without notice.</w:t>
      </w:r>
    </w:p>
    <w:p>
      <w:pPr>
        <w:spacing w:after="0" w:line="146" w:lineRule="exact"/>
        <w:rPr>
          <w:sz w:val="20"/>
          <w:szCs w:val="20"/>
          <w:color w:val="auto"/>
        </w:rPr>
      </w:pPr>
    </w:p>
    <w:p>
      <w:pPr>
        <w:ind w:left="1480" w:right="799" w:firstLine="333"/>
        <w:spacing w:after="0" w:line="264" w:lineRule="auto"/>
        <w:rPr>
          <w:sz w:val="20"/>
          <w:szCs w:val="20"/>
          <w:color w:val="auto"/>
        </w:rPr>
      </w:pPr>
      <w:r>
        <w:rPr>
          <w:rFonts w:ascii="Times New Roman" w:cs="Times New Roman" w:eastAsia="Times New Roman" w:hAnsi="Times New Roman"/>
          <w:sz w:val="14"/>
          <w:szCs w:val="14"/>
          <w:color w:val="auto"/>
        </w:rPr>
        <w:t>The following table shows the underwriting discount that we are to pay to the underwriters in connection with this offering (expressed as a percentage of the principal amount of the notes).</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12"/>
        </w:trPr>
        <w:tc>
          <w:tcPr>
            <w:tcW w:w="25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2"/>
                <w:szCs w:val="2"/>
                <w:b w:val="1"/>
                <w:bCs w:val="1"/>
                <w:color w:val="auto"/>
                <w:w w:val="97"/>
              </w:rPr>
              <w:t> </w:t>
            </w:r>
          </w:p>
        </w:tc>
      </w:tr>
      <w:tr>
        <w:trPr>
          <w:trHeight w:val="131"/>
        </w:trPr>
        <w:tc>
          <w:tcPr>
            <w:tcW w:w="2540" w:type="dxa"/>
            <w:vAlign w:val="bottom"/>
            <w:tcBorders>
              <w:bottom w:val="single" w:sz="8" w:color="CCEEFF"/>
            </w:tcBorders>
          </w:tcPr>
          <w:p>
            <w:pPr>
              <w:spacing w:after="0"/>
              <w:rPr>
                <w:sz w:val="11"/>
                <w:szCs w:val="11"/>
                <w:color w:val="auto"/>
              </w:rPr>
            </w:pPr>
          </w:p>
        </w:tc>
        <w:tc>
          <w:tcPr>
            <w:tcW w:w="21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w w:val="90"/>
              </w:rPr>
              <w:t>Paid by Sempra </w:t>
            </w:r>
          </w:p>
        </w:tc>
        <w:tc>
          <w:tcPr>
            <w:tcW w:w="160" w:type="dxa"/>
            <w:vAlign w:val="bottom"/>
            <w:tcBorders>
              <w:bottom w:val="single" w:sz="8" w:color="CCEEFF"/>
            </w:tcBorders>
          </w:tcPr>
          <w:p>
            <w:pPr>
              <w:spacing w:after="0"/>
              <w:rPr>
                <w:sz w:val="11"/>
                <w:szCs w:val="11"/>
                <w:color w:val="auto"/>
              </w:rPr>
            </w:pPr>
          </w:p>
        </w:tc>
      </w:tr>
      <w:tr>
        <w:trPr>
          <w:trHeight w:val="154"/>
        </w:trPr>
        <w:tc>
          <w:tcPr>
            <w:tcW w:w="25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Per note</w:t>
            </w:r>
          </w:p>
        </w:tc>
        <w:tc>
          <w:tcPr>
            <w:tcW w:w="2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0.150%</w:t>
            </w:r>
          </w:p>
        </w:tc>
      </w:tr>
    </w:tbl>
    <w:p>
      <w:pPr>
        <w:spacing w:after="0" w:line="151"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It is expected that delivery of the notes will be made against payment therefor on or about the date specified in the last paragraph of the cover page of this prospectus supplement, which will be the third business day following the date of the pricing of the notes. Under Rule 15c6-1 under the Securities Exchange Act of 1934, as amended, trades in the secondary market generally are required to settle in one business day, unless the parties to any such trade expressly agree otherwise. Accordingly, purchasers who wish to trade the notes before the first business day prior to the closing of this offering will be required, by virtue of the fact that the normal settlement date for that trade would occur prior to the closing date for the issuance of the notes, to specify alternative settlement arrangements to prevent a failed settlement, and should consult their own advisers with respect to these matters.</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7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from us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prices of the notes while this offering is in progress.</w:t>
      </w:r>
    </w:p>
    <w:p>
      <w:pPr>
        <w:spacing w:after="0" w:line="150" w:lineRule="exact"/>
        <w:rPr>
          <w:sz w:val="20"/>
          <w:szCs w:val="20"/>
          <w:color w:val="auto"/>
        </w:rPr>
      </w:pPr>
    </w:p>
    <w:p>
      <w:pPr>
        <w:ind w:left="1480" w:right="559" w:firstLine="333"/>
        <w:spacing w:after="0" w:line="254" w:lineRule="auto"/>
        <w:rPr>
          <w:sz w:val="20"/>
          <w:szCs w:val="20"/>
          <w:color w:val="auto"/>
        </w:rPr>
      </w:pPr>
      <w:r>
        <w:rPr>
          <w:rFonts w:ascii="Times New Roman" w:cs="Times New Roman" w:eastAsia="Times New Roman" w:hAnsi="Times New Roman"/>
          <w:sz w:val="14"/>
          <w:szCs w:val="14"/>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42" w:lineRule="exact"/>
        <w:rPr>
          <w:sz w:val="20"/>
          <w:szCs w:val="20"/>
          <w:color w:val="auto"/>
        </w:rPr>
      </w:pPr>
    </w:p>
    <w:p>
      <w:pPr>
        <w:ind w:left="1480" w:right="439" w:firstLine="333"/>
        <w:spacing w:after="0" w:line="250" w:lineRule="auto"/>
        <w:rPr>
          <w:sz w:val="20"/>
          <w:szCs w:val="20"/>
          <w:color w:val="auto"/>
        </w:rPr>
      </w:pPr>
      <w:r>
        <w:rPr>
          <w:rFonts w:ascii="Times New Roman" w:cs="Times New Roman" w:eastAsia="Times New Roman" w:hAnsi="Times New Roman"/>
          <w:sz w:val="14"/>
          <w:szCs w:val="14"/>
          <w:color w:val="auto"/>
        </w:rPr>
        <w:t>Any of these activities may have the effect of preventing or retarding a decline in the market prices of the notes. They may also cause the market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 without notice.</w:t>
      </w:r>
    </w:p>
    <w:p>
      <w:pPr>
        <w:spacing w:after="0" w:line="146" w:lineRule="exact"/>
        <w:rPr>
          <w:sz w:val="20"/>
          <w:szCs w:val="20"/>
          <w:color w:val="auto"/>
        </w:rPr>
      </w:pPr>
    </w:p>
    <w:p>
      <w:pPr>
        <w:ind w:left="1480" w:right="499" w:firstLine="333"/>
        <w:spacing w:after="0" w:line="316" w:lineRule="auto"/>
        <w:rPr>
          <w:sz w:val="20"/>
          <w:szCs w:val="20"/>
          <w:color w:val="auto"/>
        </w:rPr>
      </w:pPr>
      <w:r>
        <w:rPr>
          <w:rFonts w:ascii="Times New Roman" w:cs="Times New Roman" w:eastAsia="Times New Roman" w:hAnsi="Times New Roman"/>
          <w:sz w:val="12"/>
          <w:szCs w:val="12"/>
          <w:color w:val="auto"/>
        </w:rPr>
        <w:t>Neither we nor any of the underwriters makes any representation or prediction as to the direction or magnitude of any effect that any of the transactions described above, if commenced, may have on the market price of the notes. In addition, neither we nor any of the underwriters makes any representation that any of these transactions will be engaged in or that the transactions, if commenced, will not be discontinued without notice.</w:t>
      </w:r>
    </w:p>
    <w:p>
      <w:pPr>
        <w:spacing w:after="0" w:line="109" w:lineRule="exact"/>
        <w:rPr>
          <w:sz w:val="20"/>
          <w:szCs w:val="20"/>
          <w:color w:val="auto"/>
        </w:rPr>
      </w:pPr>
    </w:p>
    <w:p>
      <w:pPr>
        <w:ind w:left="1480" w:right="459" w:firstLine="333"/>
        <w:spacing w:after="0" w:line="254" w:lineRule="auto"/>
        <w:rPr>
          <w:sz w:val="20"/>
          <w:szCs w:val="20"/>
          <w:color w:val="auto"/>
        </w:rPr>
      </w:pPr>
      <w:r>
        <w:rPr>
          <w:rFonts w:ascii="Times New Roman" w:cs="Times New Roman" w:eastAsia="Times New Roman" w:hAnsi="Times New Roman"/>
          <w:sz w:val="14"/>
          <w:szCs w:val="14"/>
          <w:color w:val="auto"/>
        </w:rPr>
        <w:t>We estimate that our total expenses for this offering, excluding the underwriting discount, will be approximately $1.7 million. We have agreed to indemnify the several underwriters against certain liabilities, including liabilities under the Securities Act of 1933, as amended, or to contribute to payments the underwriters may be required to make because of any of those liabilities.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88"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We have agreed that, without the prior written consent of the representatives, we will not, during the period beginning on and including the date of this prospectus supplement and ending on and including the later of (i) the termination of trading restrictions for the notes as notified to us by the representatives (but only if the representatives have notified us in writing on the Original Issue Date of the notes that such trading restrictions have not been terminated) and (ii) the Original Issue Date of the notes, offer, sell, contract to sell, grant any option for the sale of or otherwise dispose of any notes, any debt securities of Sempra which are substantially similar to the notes (“Similar Securities”) or any securities convertible into, exchangeable into or exercisable for any notes or Similar Securities, provided that this agreement shall not apply to the offer, issuance or sale of, or any contract to sell, (i) the notes to the underwriters pursuant to the underwriting agreement or (ii) commercial paper or other debt securities with scheduled maturities of less than one year. For purposes of clarity, it is understood and agreed that the term Similar Securities, as used in this paragraph, excludes commercial paper or other debt securities with scheduled maturities of less than one year.</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88"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trustee and brokerage activities. Some or all of the underwriters and/or their affiliates have in the past acted and/or are acting and/or may in the future act as lenders to, and/or have from time to time in the past performed and/or are performing and/or may in the future perform certain investment banking, advisory, general financing, trustee and commercial</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7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19"/>
        <w:spacing w:after="0" w:line="250" w:lineRule="auto"/>
        <w:rPr>
          <w:sz w:val="20"/>
          <w:szCs w:val="20"/>
          <w:color w:val="auto"/>
        </w:rPr>
      </w:pPr>
      <w:r>
        <w:rPr>
          <w:rFonts w:ascii="Times New Roman" w:cs="Times New Roman" w:eastAsia="Times New Roman" w:hAnsi="Times New Roman"/>
          <w:sz w:val="14"/>
          <w:szCs w:val="14"/>
          <w:color w:val="auto"/>
        </w:rPr>
        <w:t>banking and other commercial transactions and services for, us and/or our affiliates for which they have received and in the future may receive customary fees and expenses. The underwriters and their affiliates may, from time to time, engage in other transactions with or perform other services for us and our affiliates in the ordinary course of their business for which they receive customary fees and expenses. In addition, affiliates of all of the underwriters are lenders under our credit facilities.</w:t>
      </w:r>
    </w:p>
    <w:p>
      <w:pPr>
        <w:spacing w:after="0" w:line="146" w:lineRule="exact"/>
        <w:rPr>
          <w:sz w:val="20"/>
          <w:szCs w:val="20"/>
          <w:color w:val="auto"/>
        </w:rPr>
      </w:pPr>
    </w:p>
    <w:p>
      <w:pPr>
        <w:ind w:left="1480" w:right="419" w:firstLine="333"/>
        <w:spacing w:after="0" w:line="245" w:lineRule="auto"/>
        <w:rPr>
          <w:sz w:val="20"/>
          <w:szCs w:val="20"/>
          <w:color w:val="auto"/>
        </w:rPr>
      </w:pPr>
      <w:r>
        <w:rPr>
          <w:rFonts w:ascii="Times New Roman" w:cs="Times New Roman" w:eastAsia="Times New Roman" w:hAnsi="Times New Roman"/>
          <w:sz w:val="14"/>
          <w:szCs w:val="14"/>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may consist of either the purchase of credit default swaps or the creation of short positions in our securities, including potentially the notes offered hereby. Any such credit default swaps or short positions could adversely affect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88"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As described in this prospectus supplement under “Use of Proceeds,” we intend to use a substantial portion of the net proceeds from this offering to repay outstanding commercial paper and potentially other indebtedness and to use any remaining net proceeds for other general corporate purposes. None of the underwriters participating in this offering and/or their affiliates hold a position in our commercial paper but may hold positions in other indebtedness of ours, one of the underwriters acts as a dealer under our commercial paper program, and affiliates of one of the underwriters participating in this offering are lenders under our credit facilities. To the extent that net proceeds from this offering are applied to repay any of our outstanding indebtedness (including commercial paper, bank loans or other indebtedness) held by any of the underwriters or their affiliates, they will receive proceeds from this offering through the repayment of that indebtedness. If the amount of such proceeds so received by any underwriter or its affiliates is 5% or more of the net proceeds of this offering (not including the underwriting discount), such underwriter would be deemed to have a conflict of interest within the meaning of FINRA Rule 5121. In such event, this offering would be conducted in compliance with FINRA Rule 5121 and such underwriter would not be permitted to make sales in this offering to any discretionary account without the prior written approval of the customer. Pursuant to that rule, the appointment of a “qualified independent underwriter” would not be required in connection with this offering, as the notes are “investment grade rated” (as defined in FINRA Rule 5121).</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European Economic Area</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Prohibition of Sales to EEA Retail Investors</w:t>
      </w:r>
    </w:p>
    <w:p>
      <w:pPr>
        <w:spacing w:after="0" w:line="8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notes shall not be offered, sold or otherwise made available to any retail investor in the EEA. For the purposes of this provision:</w:t>
      </w:r>
    </w:p>
    <w:p>
      <w:pPr>
        <w:spacing w:after="0" w:line="94" w:lineRule="exact"/>
        <w:rPr>
          <w:sz w:val="20"/>
          <w:szCs w:val="20"/>
          <w:color w:val="auto"/>
        </w:rPr>
      </w:pPr>
    </w:p>
    <w:p>
      <w:pPr>
        <w:ind w:left="2220" w:hanging="416"/>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“retail investor” means a person who is one (or more) of the following:</w:t>
      </w:r>
    </w:p>
    <w:p>
      <w:pPr>
        <w:spacing w:after="0" w:line="94" w:lineRule="exact"/>
        <w:rPr>
          <w:rFonts w:ascii="Times New Roman" w:cs="Times New Roman" w:eastAsia="Times New Roman" w:hAnsi="Times New Roman"/>
          <w:sz w:val="14"/>
          <w:szCs w:val="14"/>
          <w:color w:val="auto"/>
        </w:rPr>
      </w:pPr>
    </w:p>
    <w:p>
      <w:pPr>
        <w:ind w:left="2540" w:hanging="317"/>
        <w:spacing w:after="0"/>
        <w:tabs>
          <w:tab w:leader="none" w:pos="25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retail client as defined in point (11) of Article 4(1) of MiFID II, or</w:t>
      </w:r>
    </w:p>
    <w:p>
      <w:pPr>
        <w:spacing w:after="0" w:line="94" w:lineRule="exact"/>
        <w:rPr>
          <w:rFonts w:ascii="Times New Roman" w:cs="Times New Roman" w:eastAsia="Times New Roman" w:hAnsi="Times New Roman"/>
          <w:sz w:val="14"/>
          <w:szCs w:val="14"/>
          <w:color w:val="auto"/>
        </w:rPr>
      </w:pPr>
    </w:p>
    <w:p>
      <w:pPr>
        <w:ind w:left="2540" w:right="679" w:hanging="317"/>
        <w:spacing w:after="0" w:line="264" w:lineRule="auto"/>
        <w:tabs>
          <w:tab w:leader="none" w:pos="25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customer within the meaning of the Insurance Distribution Directive, where that customer would not qualify as a professional client as defined in point (10) of Article 4(1) of MiFID II; or</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7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540" w:hanging="317"/>
        <w:spacing w:after="0"/>
        <w:tabs>
          <w:tab w:leader="none" w:pos="25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an EEA Qualified Investor, and</w:t>
      </w:r>
    </w:p>
    <w:p>
      <w:pPr>
        <w:spacing w:after="0" w:line="94" w:lineRule="exact"/>
        <w:rPr>
          <w:rFonts w:ascii="Times New Roman" w:cs="Times New Roman" w:eastAsia="Times New Roman" w:hAnsi="Times New Roman"/>
          <w:sz w:val="14"/>
          <w:szCs w:val="14"/>
          <w:color w:val="auto"/>
        </w:rPr>
      </w:pPr>
    </w:p>
    <w:p>
      <w:pPr>
        <w:ind w:left="2220" w:right="539" w:hanging="416"/>
        <w:spacing w:after="0" w:line="264"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United Kingdom</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Prohibition of Sales to United Kingdom Retail Investors</w:t>
      </w:r>
    </w:p>
    <w:p>
      <w:pPr>
        <w:spacing w:after="0" w:line="86"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The notes shall not be offered, sold, distributed or otherwise made available to any retail investor in the United Kingdom. For the purposes of this provision:</w:t>
      </w:r>
    </w:p>
    <w:p>
      <w:pPr>
        <w:spacing w:after="0" w:line="65" w:lineRule="exact"/>
        <w:rPr>
          <w:sz w:val="20"/>
          <w:szCs w:val="20"/>
          <w:color w:val="auto"/>
        </w:rPr>
      </w:pPr>
    </w:p>
    <w:p>
      <w:pPr>
        <w:ind w:left="2220" w:hanging="416"/>
        <w:spacing w:after="0"/>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“retail investor” means a person who is either one (or both) of the following:</w:t>
      </w:r>
    </w:p>
    <w:p>
      <w:pPr>
        <w:spacing w:after="0" w:line="94" w:lineRule="exact"/>
        <w:rPr>
          <w:rFonts w:ascii="Times New Roman" w:cs="Times New Roman" w:eastAsia="Times New Roman" w:hAnsi="Times New Roman"/>
          <w:sz w:val="14"/>
          <w:szCs w:val="14"/>
          <w:color w:val="auto"/>
        </w:rPr>
      </w:pPr>
    </w:p>
    <w:p>
      <w:pPr>
        <w:ind w:left="2540" w:hanging="317"/>
        <w:spacing w:after="0"/>
        <w:tabs>
          <w:tab w:leader="none" w:pos="25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professional client, as defined in point (8) of Article 2(1) of UK MiFIR; or</w:t>
      </w:r>
    </w:p>
    <w:p>
      <w:pPr>
        <w:spacing w:after="0" w:line="94" w:lineRule="exact"/>
        <w:rPr>
          <w:rFonts w:ascii="Times New Roman" w:cs="Times New Roman" w:eastAsia="Times New Roman" w:hAnsi="Times New Roman"/>
          <w:sz w:val="14"/>
          <w:szCs w:val="14"/>
          <w:color w:val="auto"/>
        </w:rPr>
      </w:pPr>
    </w:p>
    <w:p>
      <w:pPr>
        <w:ind w:left="2540" w:hanging="317"/>
        <w:spacing w:after="0"/>
        <w:tabs>
          <w:tab w:leader="none" w:pos="25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UK Qualified Investor; and</w:t>
      </w:r>
    </w:p>
    <w:p>
      <w:pPr>
        <w:spacing w:after="0" w:line="94" w:lineRule="exact"/>
        <w:rPr>
          <w:rFonts w:ascii="Times New Roman" w:cs="Times New Roman" w:eastAsia="Times New Roman" w:hAnsi="Times New Roman"/>
          <w:sz w:val="14"/>
          <w:szCs w:val="14"/>
          <w:color w:val="auto"/>
        </w:rPr>
      </w:pPr>
    </w:p>
    <w:p>
      <w:pPr>
        <w:ind w:left="2220" w:right="539" w:hanging="416"/>
        <w:spacing w:after="0" w:line="264" w:lineRule="auto"/>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expression “offer” includes the communication in any form and by any means of sufficient information on the terms of the offer and the notes to be offered so as to enable an investor to decide to buy or subscribe for the notes.</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Other Regulatory Restrictions in the United Kingdom</w:t>
      </w:r>
    </w:p>
    <w:p>
      <w:pPr>
        <w:spacing w:after="0" w:line="86" w:lineRule="exact"/>
        <w:rPr>
          <w:sz w:val="20"/>
          <w:szCs w:val="20"/>
          <w:color w:val="auto"/>
        </w:rPr>
      </w:pPr>
    </w:p>
    <w:p>
      <w:pPr>
        <w:jc w:val="both"/>
        <w:ind w:left="1480" w:right="579" w:firstLine="333"/>
        <w:spacing w:after="0" w:line="254" w:lineRule="auto"/>
        <w:rPr>
          <w:sz w:val="20"/>
          <w:szCs w:val="20"/>
          <w:color w:val="auto"/>
        </w:rPr>
      </w:pPr>
      <w:r>
        <w:rPr>
          <w:rFonts w:ascii="Times New Roman" w:cs="Times New Roman" w:eastAsia="Times New Roman" w:hAnsi="Times New Roman"/>
          <w:sz w:val="14"/>
          <w:szCs w:val="14"/>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Sempra.</w:t>
      </w:r>
    </w:p>
    <w:p>
      <w:pPr>
        <w:spacing w:after="0" w:line="142" w:lineRule="exact"/>
        <w:rPr>
          <w:sz w:val="20"/>
          <w:szCs w:val="20"/>
          <w:color w:val="auto"/>
        </w:rPr>
      </w:pPr>
    </w:p>
    <w:p>
      <w:pPr>
        <w:ind w:left="1480" w:right="759" w:firstLine="333"/>
        <w:spacing w:after="0" w:line="264" w:lineRule="auto"/>
        <w:rPr>
          <w:sz w:val="20"/>
          <w:szCs w:val="20"/>
          <w:color w:val="auto"/>
        </w:rPr>
      </w:pPr>
      <w:r>
        <w:rPr>
          <w:rFonts w:ascii="Times New Roman" w:cs="Times New Roman" w:eastAsia="Times New Roman" w:hAnsi="Times New Roman"/>
          <w:sz w:val="14"/>
          <w:szCs w:val="14"/>
          <w:color w:val="auto"/>
        </w:rPr>
        <w:t>All applicable provisions of the FSMA must be complied with in respect of anything done by any person in relation to the notes in, from or otherwise involving the United Kingdom.</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Canada</w:t>
      </w:r>
    </w:p>
    <w:p>
      <w:pPr>
        <w:spacing w:after="0" w:line="86"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Securities Act (Ontario),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 Registrant Obligations</w:t>
      </w:r>
      <w:r>
        <w:rPr>
          <w:rFonts w:ascii="Times New Roman" w:cs="Times New Roman" w:eastAsia="Times New Roman" w:hAnsi="Times New Roman"/>
          <w:sz w:val="14"/>
          <w:szCs w:val="14"/>
          <w:color w:val="auto"/>
        </w:rPr>
        <w:t>. Any resale of the notes must be made in accordance with an exemption from, or in a transaction not subject to, the prospectus requirements of applicable securities laws.</w:t>
      </w:r>
    </w:p>
    <w:p>
      <w:pPr>
        <w:spacing w:after="0" w:line="146" w:lineRule="exact"/>
        <w:rPr>
          <w:sz w:val="20"/>
          <w:szCs w:val="20"/>
          <w:color w:val="auto"/>
        </w:rPr>
      </w:pPr>
    </w:p>
    <w:p>
      <w:pPr>
        <w:ind w:left="1480" w:right="599" w:firstLine="333"/>
        <w:spacing w:after="0" w:line="248"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9"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Japan</w:t>
      </w:r>
    </w:p>
    <w:p>
      <w:pPr>
        <w:spacing w:after="0" w:line="86" w:lineRule="exact"/>
        <w:rPr>
          <w:sz w:val="20"/>
          <w:szCs w:val="20"/>
          <w:color w:val="auto"/>
        </w:rPr>
      </w:pPr>
    </w:p>
    <w:p>
      <w:pPr>
        <w:ind w:left="1480" w:right="919" w:firstLine="333"/>
        <w:spacing w:after="0" w:line="264"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Instruments and Exchange Law of Japan (Law No. 25 of 1948, as amended) (the “Financial Instruments and Exchange Law”), and accordingly the</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7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419"/>
        <w:spacing w:after="0" w:line="247" w:lineRule="auto"/>
        <w:rPr>
          <w:sz w:val="20"/>
          <w:szCs w:val="20"/>
          <w:color w:val="auto"/>
        </w:rPr>
      </w:pPr>
      <w:r>
        <w:rPr>
          <w:rFonts w:ascii="Times New Roman" w:cs="Times New Roman" w:eastAsia="Times New Roman" w:hAnsi="Times New Roman"/>
          <w:sz w:val="14"/>
          <w:szCs w:val="14"/>
          <w:color w:val="auto"/>
        </w:rPr>
        <w:t>notes have not been offered or sold and will not be offered or sold, directly or indirectly, in Japan or to, or for the account or benefit of, any resident of Japan (which term as used herein means any person resident in Japan, including any corporation or other entity organized under the laws of Japan), or for the account or benefit of, others for re-offering or resale, directly or indirectly, in Japan or to, or for the account or benefit of any resident of Japan, except pursuant to an exemption from the registration requirements of, and otherwise in compliance with, the Financial Instruments and Exchange Law and any other applicable laws, regulations and guidelines promulgated by the relevant Japanese governmental and regulatory authorities and in effect at the relevant time.</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Korea</w:t>
      </w:r>
    </w:p>
    <w:p>
      <w:pPr>
        <w:spacing w:after="0" w:line="86" w:lineRule="exact"/>
        <w:rPr>
          <w:sz w:val="20"/>
          <w:szCs w:val="20"/>
          <w:color w:val="auto"/>
        </w:rPr>
      </w:pPr>
    </w:p>
    <w:p>
      <w:pPr>
        <w:ind w:left="1480" w:right="539" w:firstLine="333"/>
        <w:spacing w:after="0" w:line="247" w:lineRule="auto"/>
        <w:rPr>
          <w:sz w:val="20"/>
          <w:szCs w:val="20"/>
          <w:color w:val="auto"/>
        </w:rPr>
      </w:pPr>
      <w:r>
        <w:rPr>
          <w:rFonts w:ascii="Times New Roman" w:cs="Times New Roman" w:eastAsia="Times New Roman" w:hAnsi="Times New Roman"/>
          <w:sz w:val="14"/>
          <w:szCs w:val="14"/>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(the “FIEA”)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FIEA and its subordinate decrees and regulations) in connection with the purchase of the notes.</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Singapore</w:t>
      </w:r>
    </w:p>
    <w:p>
      <w:pPr>
        <w:spacing w:after="0" w:line="86" w:lineRule="exact"/>
        <w:rPr>
          <w:sz w:val="20"/>
          <w:szCs w:val="20"/>
          <w:color w:val="auto"/>
        </w:rPr>
      </w:pPr>
    </w:p>
    <w:p>
      <w:pPr>
        <w:ind w:left="1480" w:right="419" w:firstLine="333"/>
        <w:spacing w:after="0" w:line="24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not been and will not be registered as a prospectus under the Securities and Futures Act 2001 (the “SFA”) by the Monetary Authority of Singapore, and the offer of the notes in Singapore is made primarily pursuant to the exemptions under Sections 274 and 275 of the SFA.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53"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It is a condition of the offer that where the notes are subscribed for or acquired pursuant to an offer made in reliance on Section 275 of the SFA by a Relevant Person which is:</w:t>
      </w:r>
    </w:p>
    <w:p>
      <w:pPr>
        <w:spacing w:after="0" w:line="65" w:lineRule="exact"/>
        <w:rPr>
          <w:sz w:val="20"/>
          <w:szCs w:val="20"/>
          <w:color w:val="auto"/>
        </w:rPr>
      </w:pPr>
    </w:p>
    <w:p>
      <w:pPr>
        <w:ind w:left="2220" w:right="439" w:hanging="416"/>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the sole business of which is to hold investments and the entire share capital of which is owned by one or more individuals, each of whom is an Accredited Investor; or</w:t>
      </w:r>
    </w:p>
    <w:p>
      <w:pPr>
        <w:spacing w:after="0" w:line="64" w:lineRule="exact"/>
        <w:rPr>
          <w:rFonts w:ascii="Times New Roman" w:cs="Times New Roman" w:eastAsia="Times New Roman" w:hAnsi="Times New Roman"/>
          <w:sz w:val="14"/>
          <w:szCs w:val="14"/>
          <w:color w:val="auto"/>
        </w:rPr>
      </w:pPr>
    </w:p>
    <w:p>
      <w:pPr>
        <w:ind w:left="2220" w:right="339" w:hanging="416"/>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the sole purpose of which is to hold investments and each beneficiary of the trust is an individual who is an Accredited Investor,</w:t>
      </w:r>
    </w:p>
    <w:p>
      <w:pPr>
        <w:spacing w:after="0" w:line="136" w:lineRule="exact"/>
        <w:rPr>
          <w:sz w:val="20"/>
          <w:szCs w:val="20"/>
          <w:color w:val="auto"/>
        </w:rPr>
      </w:pPr>
    </w:p>
    <w:p>
      <w:pPr>
        <w:jc w:val="both"/>
        <w:ind w:left="1480" w:right="479"/>
        <w:spacing w:after="0" w:line="254" w:lineRule="auto"/>
        <w:rPr>
          <w:sz w:val="20"/>
          <w:szCs w:val="20"/>
          <w:color w:val="auto"/>
        </w:rPr>
      </w:pPr>
      <w:r>
        <w:rPr>
          <w:rFonts w:ascii="Times New Roman" w:cs="Times New Roman" w:eastAsia="Times New Roman" w:hAnsi="Times New Roman"/>
          <w:sz w:val="14"/>
          <w:szCs w:val="14"/>
          <w:color w:val="auto"/>
        </w:rPr>
        <w:t>the 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notes except:</w:t>
      </w:r>
    </w:p>
    <w:p>
      <w:pPr>
        <w:spacing w:after="0" w:line="71" w:lineRule="exact"/>
        <w:rPr>
          <w:sz w:val="20"/>
          <w:szCs w:val="20"/>
          <w:color w:val="auto"/>
        </w:rPr>
      </w:pPr>
    </w:p>
    <w:p>
      <w:pPr>
        <w:ind w:left="2220" w:right="499" w:hanging="416"/>
        <w:spacing w:after="0" w:line="264"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an Accredited Investor or other Relevant Person, or which arises from an offer referred to in Section 275(1A) of the SFA (in the case of that corporation) or Section 276(4)(c)(ii) of the SFA (in the case of that trust);</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7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416"/>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occurs by operation of law; or</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w:t>
      </w:r>
    </w:p>
    <w:p>
      <w:pPr>
        <w:spacing w:after="0" w:line="162"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b w:val="1"/>
          <w:bCs w:val="1"/>
          <w:color w:val="auto"/>
        </w:rPr>
        <w:t>Singapore’s Securities and Futures Act Product Classification</w:t>
      </w:r>
      <w:r>
        <w:rPr>
          <w:rFonts w:ascii="Times New Roman" w:cs="Times New Roman" w:eastAsia="Times New Roman" w:hAnsi="Times New Roman"/>
          <w:sz w:val="14"/>
          <w:szCs w:val="14"/>
          <w:color w:val="auto"/>
        </w:rPr>
        <w:t>—Solely for the purposes of its obligations pursuant to Sections 309B(1)(a)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309B(1)(c) of the SFA, Sempra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Switzerland</w:t>
      </w:r>
    </w:p>
    <w:p>
      <w:pPr>
        <w:spacing w:after="0" w:line="86" w:lineRule="exact"/>
        <w:rPr>
          <w:sz w:val="20"/>
          <w:szCs w:val="20"/>
          <w:color w:val="auto"/>
        </w:rPr>
      </w:pPr>
    </w:p>
    <w:p>
      <w:pPr>
        <w:jc w:val="both"/>
        <w:ind w:left="1480" w:right="559" w:firstLine="333"/>
        <w:spacing w:after="0" w:line="291" w:lineRule="auto"/>
        <w:rPr>
          <w:sz w:val="20"/>
          <w:szCs w:val="20"/>
          <w:color w:val="auto"/>
        </w:rPr>
      </w:pPr>
      <w:r>
        <w:rPr>
          <w:rFonts w:ascii="Times New Roman" w:cs="Times New Roman" w:eastAsia="Times New Roman" w:hAnsi="Times New Roman"/>
          <w:sz w:val="12"/>
          <w:szCs w:val="12"/>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w:t>
      </w:r>
    </w:p>
    <w:p>
      <w:pPr>
        <w:ind w:left="1480" w:right="559"/>
        <w:spacing w:after="0" w:line="245" w:lineRule="auto"/>
        <w:rPr>
          <w:sz w:val="20"/>
          <w:szCs w:val="20"/>
          <w:color w:val="auto"/>
        </w:rPr>
      </w:pPr>
      <w:r>
        <w:rPr>
          <w:rFonts w:ascii="Times New Roman" w:cs="Times New Roman" w:eastAsia="Times New Roman" w:hAnsi="Times New Roman"/>
          <w:sz w:val="14"/>
          <w:szCs w:val="14"/>
          <w:color w:val="auto"/>
        </w:rPr>
        <w:t>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United Arab Emirates</w:t>
      </w:r>
    </w:p>
    <w:p>
      <w:pPr>
        <w:spacing w:after="0" w:line="86"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7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ind w:left="1480" w:right="439" w:firstLine="333"/>
        <w:spacing w:after="0" w:line="254" w:lineRule="auto"/>
        <w:rPr>
          <w:sz w:val="20"/>
          <w:szCs w:val="20"/>
          <w:color w:val="auto"/>
        </w:rPr>
      </w:pPr>
      <w:r>
        <w:rPr>
          <w:rFonts w:ascii="Times New Roman" w:cs="Times New Roman" w:eastAsia="Times New Roman" w:hAnsi="Times New Roman"/>
          <w:sz w:val="14"/>
          <w:szCs w:val="14"/>
          <w:color w:val="auto"/>
        </w:rPr>
        <w:t>Latham &amp; Watkins LLP will pass upon the validity of the notes and various other legal matters relating to the issuance and sale of the notes on behalf of Sempra. Sidley Austin LLP will act as counsel for the underwriters. Sidley Austin LLP from time to time represents Sempra and certain of its subsidiaries in connection with certain legal matters.</w:t>
      </w:r>
    </w:p>
    <w:p>
      <w:pPr>
        <w:spacing w:after="0" w:line="30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499" w:firstLine="333"/>
        <w:spacing w:after="0" w:line="250" w:lineRule="auto"/>
        <w:rPr>
          <w:sz w:val="20"/>
          <w:szCs w:val="20"/>
          <w:color w:val="auto"/>
        </w:rPr>
      </w:pPr>
      <w:r>
        <w:rPr>
          <w:rFonts w:ascii="Times New Roman" w:cs="Times New Roman" w:eastAsia="Times New Roman" w:hAnsi="Times New Roman"/>
          <w:sz w:val="14"/>
          <w:szCs w:val="14"/>
          <w:color w:val="auto"/>
        </w:rPr>
        <w:t>The financial statements of Sempra incorporated by reference in this prospectus supplement and the accompanying prospectus and the effectiveness of Sempra’s internal control over financial reporting have been audited by Deloitte &amp; Touche LLP, an independent registered public accounting firm, as stated in their reports. Such financial statements are incorporated by reference in reliance upon the reports of such firm given upon their authority as experts in accounting and auditing.</w:t>
      </w:r>
    </w:p>
    <w:p>
      <w:pPr>
        <w:spacing w:after="0" w:line="146" w:lineRule="exact"/>
        <w:rPr>
          <w:sz w:val="20"/>
          <w:szCs w:val="20"/>
          <w:color w:val="auto"/>
        </w:rPr>
      </w:pPr>
    </w:p>
    <w:p>
      <w:pPr>
        <w:jc w:val="both"/>
        <w:ind w:left="1480" w:right="599" w:firstLine="333"/>
        <w:spacing w:after="0" w:line="316" w:lineRule="auto"/>
        <w:rPr>
          <w:sz w:val="20"/>
          <w:szCs w:val="20"/>
          <w:color w:val="auto"/>
        </w:rPr>
      </w:pPr>
      <w:r>
        <w:rPr>
          <w:rFonts w:ascii="Times New Roman" w:cs="Times New Roman" w:eastAsia="Times New Roman" w:hAnsi="Times New Roman"/>
          <w:sz w:val="12"/>
          <w:szCs w:val="12"/>
          <w:color w:val="auto"/>
        </w:rPr>
        <w:t>The financial statements of Oncor Electric Delivery Holdings Company LLC incorporated by reference in this prospectus supplement and the accompanying prospectus have been audited by Deloitte &amp; Touche LLP, independent auditors, as stated in their report. Such financial statements are incorporated by reference in reliance upon the report of such firm given upon their authority as experts in accounting and auditing.</w:t>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7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128905</wp:posOffset>
            </wp:positionV>
            <wp:extent cx="1303655" cy="266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Purchase Contracts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170180</wp:posOffset>
            </wp:positionV>
            <wp:extent cx="110871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We may offer and sell our common stock, preferred stock, debt securities, purchase contracts, units, depositary shares and warrants from time to time in one or more offerings. This prospectus provides you with a general description of the securities we may offer.</w:t>
      </w:r>
    </w:p>
    <w:p>
      <w:pPr>
        <w:spacing w:after="0" w:line="136" w:lineRule="exact"/>
        <w:rPr>
          <w:sz w:val="20"/>
          <w:szCs w:val="20"/>
          <w:color w:val="auto"/>
        </w:rPr>
      </w:pPr>
    </w:p>
    <w:p>
      <w:pPr>
        <w:ind w:left="1480" w:right="559" w:firstLine="333"/>
        <w:spacing w:after="0" w:line="250" w:lineRule="auto"/>
        <w:rPr>
          <w:sz w:val="20"/>
          <w:szCs w:val="20"/>
          <w:color w:val="auto"/>
        </w:rPr>
      </w:pPr>
      <w:r>
        <w:rPr>
          <w:rFonts w:ascii="Times New Roman" w:cs="Times New Roman" w:eastAsia="Times New Roman" w:hAnsi="Times New Roman"/>
          <w:sz w:val="14"/>
          <w:szCs w:val="14"/>
          <w:color w:val="auto"/>
        </w:rPr>
        <w:t>Each time we offer and sell securities pursuant to this prospectus, we will provide a supplement to this prospectus that contains specific information about the offering and the amounts, prices and terms of the particular securities being offered at that time.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6"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offer and sale of any of the securities, their names and any applicable purchase price, fee, commission or discount arrangement between or among them will be set forth, or will be calculable from the information set forth, in the applicable prospectus supplement. See the information under the headings “About this Prospectus” and “Plan of Distribution” for more detail. No securities may be sold without delivery of this prospectus and the applicable prospectus supplement describing the method and terms of the offering of such securities.</w:t>
      </w:r>
    </w:p>
    <w:p>
      <w:pPr>
        <w:spacing w:after="0" w:line="150"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trading symbol “SRE.” On May 14, 2026, the last reported sale price of our common stock on the New York Stock Exchange was $92.86 per share. Our 5.75% Junior Subordinated Notes Due 2079, which we refer to as the “junior subordinated notes” in this prospectus, are listed on the New York Stock Exchange under the trading symbol “SREA.” On May 14, 2026, the last reported sale price of the junior subordinated notes on the New York Stock Exchange was $21.55 per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165735</wp:posOffset>
            </wp:positionV>
            <wp:extent cx="110871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90" w:lineRule="exact"/>
        <w:rPr>
          <w:sz w:val="20"/>
          <w:szCs w:val="20"/>
          <w:color w:val="auto"/>
        </w:rPr>
      </w:pPr>
    </w:p>
    <w:p>
      <w:pPr>
        <w:ind w:left="1480" w:right="459" w:firstLine="333"/>
        <w:spacing w:after="0" w:line="281"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7 of this prospectus, and the information under any similar heading in the applicable prospectus supplement.</w:t>
      </w:r>
    </w:p>
    <w:p>
      <w:pPr>
        <w:spacing w:after="0" w:line="108" w:lineRule="exact"/>
        <w:rPr>
          <w:sz w:val="20"/>
          <w:szCs w:val="20"/>
          <w:color w:val="auto"/>
        </w:rPr>
      </w:pPr>
    </w:p>
    <w:p>
      <w:pPr>
        <w:ind w:left="1480" w:right="919" w:firstLine="333"/>
        <w:spacing w:after="0" w:line="270"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163195</wp:posOffset>
            </wp:positionV>
            <wp:extent cx="110871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9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The date of this prospectus is May 15, 2026.</w:t>
      </w:r>
    </w:p>
    <w:p>
      <w:pPr>
        <w:sectPr>
          <w:pgSz w:w="11900" w:h="16838" w:orient="portrait"/>
          <w:cols w:equalWidth="0" w:num="1">
            <w:col w:w="10159"/>
          </w:cols>
          <w:pgMar w:left="300" w:top="37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300" w:type="dxa"/>
            <w:vAlign w:val="bottom"/>
            <w:gridSpan w:val="2"/>
          </w:tcPr>
          <w:p>
            <w:pPr>
              <w:jc w:val="right"/>
              <w:ind w:right="3332"/>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297"/>
        </w:trPr>
        <w:tc>
          <w:tcPr>
            <w:tcW w:w="12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5"/>
              </w:rPr>
              <w:t>About This Prospectus</w:t>
            </w:r>
          </w:p>
        </w:tc>
        <w:tc>
          <w:tcPr>
            <w:tcW w:w="1760" w:type="dxa"/>
            <w:vAlign w:val="bottom"/>
            <w:gridSpan w:val="6"/>
            <w:vMerge w:val="restart"/>
          </w:tcPr>
          <w:p>
            <w:pPr>
              <w:spacing w:after="0"/>
              <w:rPr>
                <w:sz w:val="24"/>
                <w:szCs w:val="24"/>
                <w:color w:val="auto"/>
              </w:rPr>
            </w:pPr>
          </w:p>
        </w:tc>
        <w:tc>
          <w:tcPr>
            <w:tcW w:w="53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8"/>
        </w:trPr>
        <w:tc>
          <w:tcPr>
            <w:tcW w:w="1240" w:type="dxa"/>
            <w:vAlign w:val="bottom"/>
            <w:tcBorders>
              <w:bottom w:val="single" w:sz="8" w:color="0000EE"/>
            </w:tcBorders>
            <w:gridSpan w:val="7"/>
            <w:vMerge w:val="continue"/>
          </w:tcPr>
          <w:p>
            <w:pPr>
              <w:spacing w:after="0"/>
              <w:rPr>
                <w:sz w:val="10"/>
                <w:szCs w:val="10"/>
                <w:color w:val="auto"/>
              </w:rPr>
            </w:pPr>
          </w:p>
        </w:tc>
        <w:tc>
          <w:tcPr>
            <w:tcW w:w="1760" w:type="dxa"/>
            <w:vAlign w:val="bottom"/>
            <w:gridSpan w:val="6"/>
            <w:vMerge w:val="continue"/>
          </w:tcPr>
          <w:p>
            <w:pPr>
              <w:spacing w:after="0"/>
              <w:rPr>
                <w:sz w:val="10"/>
                <w:szCs w:val="10"/>
                <w:color w:val="auto"/>
              </w:rPr>
            </w:pPr>
          </w:p>
        </w:tc>
        <w:tc>
          <w:tcPr>
            <w:tcW w:w="5080" w:type="dxa"/>
            <w:vAlign w:val="bottom"/>
          </w:tcPr>
          <w:p>
            <w:pPr>
              <w:spacing w:after="0"/>
              <w:rPr>
                <w:sz w:val="10"/>
                <w:szCs w:val="10"/>
                <w:color w:val="auto"/>
              </w:rPr>
            </w:pPr>
          </w:p>
        </w:tc>
        <w:tc>
          <w:tcPr>
            <w:tcW w:w="2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3"/>
        </w:trPr>
        <w:tc>
          <w:tcPr>
            <w:tcW w:w="300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Forward-Looking Statements and Market Data</w:t>
            </w: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3"/>
        </w:trPr>
        <w:tc>
          <w:tcPr>
            <w:tcW w:w="2540" w:type="dxa"/>
            <w:vAlign w:val="bottom"/>
            <w:tcBorders>
              <w:top w:val="single" w:sz="8" w:color="0000EE"/>
            </w:tcBorders>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460" w:type="dxa"/>
            <w:vAlign w:val="bottom"/>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3"/>
        </w:trPr>
        <w:tc>
          <w:tcPr>
            <w:tcW w:w="420" w:type="dxa"/>
            <w:vAlign w:val="bottom"/>
            <w:tcBorders>
              <w:top w:val="single" w:sz="8" w:color="0000EE"/>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3"/>
              </w:rPr>
              <w:t>Sempra</w:t>
            </w:r>
          </w:p>
        </w:tc>
        <w:tc>
          <w:tcPr>
            <w:tcW w:w="1740" w:type="dxa"/>
            <w:vAlign w:val="bottom"/>
            <w:tcBorders>
              <w:top w:val="single" w:sz="8" w:color="0000EE"/>
            </w:tcBorders>
            <w:gridSpan w:val="10"/>
          </w:tcPr>
          <w:p>
            <w:pPr>
              <w:spacing w:after="0"/>
              <w:rPr>
                <w:sz w:val="12"/>
                <w:szCs w:val="12"/>
                <w:color w:val="auto"/>
              </w:rPr>
            </w:pPr>
          </w:p>
        </w:tc>
        <w:tc>
          <w:tcPr>
            <w:tcW w:w="840" w:type="dxa"/>
            <w:vAlign w:val="bottom"/>
            <w:gridSpan w:val="2"/>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3"/>
        </w:trPr>
        <w:tc>
          <w:tcPr>
            <w:tcW w:w="300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560" w:type="dxa"/>
            <w:vAlign w:val="bottom"/>
            <w:tcBorders>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Capital Stock</w:t>
            </w:r>
          </w:p>
        </w:tc>
        <w:tc>
          <w:tcPr>
            <w:tcW w:w="1440" w:type="dxa"/>
            <w:vAlign w:val="bottom"/>
            <w:gridSpan w:val="5"/>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3"/>
        </w:trPr>
        <w:tc>
          <w:tcPr>
            <w:tcW w:w="300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Other Securities</w:t>
            </w:r>
          </w:p>
        </w:tc>
        <w:tc>
          <w:tcPr>
            <w:tcW w:w="1300" w:type="dxa"/>
            <w:vAlign w:val="bottom"/>
            <w:gridSpan w:val="3"/>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3"/>
        </w:trPr>
        <w:tc>
          <w:tcPr>
            <w:tcW w:w="940" w:type="dxa"/>
            <w:vAlign w:val="bottom"/>
            <w:tcBorders>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4"/>
              </w:rPr>
              <w:t>Global Securities</w:t>
            </w:r>
          </w:p>
        </w:tc>
        <w:tc>
          <w:tcPr>
            <w:tcW w:w="2060" w:type="dxa"/>
            <w:vAlign w:val="bottom"/>
            <w:gridSpan w:val="8"/>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3"/>
        </w:trPr>
        <w:tc>
          <w:tcPr>
            <w:tcW w:w="108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1920" w:type="dxa"/>
            <w:vAlign w:val="bottom"/>
            <w:gridSpan w:val="7"/>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3"/>
        </w:trPr>
        <w:tc>
          <w:tcPr>
            <w:tcW w:w="760" w:type="dxa"/>
            <w:vAlign w:val="bottom"/>
            <w:tcBorders>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2240" w:type="dxa"/>
            <w:vAlign w:val="bottom"/>
            <w:gridSpan w:val="10"/>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3"/>
        </w:trPr>
        <w:tc>
          <w:tcPr>
            <w:tcW w:w="42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3"/>
              </w:rPr>
              <w:t>Experts</w:t>
            </w:r>
          </w:p>
        </w:tc>
        <w:tc>
          <w:tcPr>
            <w:tcW w:w="2580" w:type="dxa"/>
            <w:vAlign w:val="bottom"/>
            <w:gridSpan w:val="12"/>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7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0" w:lineRule="exact"/>
        <w:rPr>
          <w:sz w:val="20"/>
          <w:szCs w:val="20"/>
          <w:color w:val="auto"/>
        </w:rPr>
      </w:pPr>
    </w:p>
    <w:p>
      <w:pPr>
        <w:ind w:left="1480" w:right="399" w:firstLine="333"/>
        <w:spacing w:after="0" w:line="245"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U.S. Securities and Exchange Commission, or the “SEC,” as a “well-known seasoned issuer” as defined in Rule 405 under the Securities Act of 1933, as amended. By using a shelf registration statement, we may sell the securities described in this prospectus from time to time and in one or more offerings. This prospectus only provides you with a general description of the securities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that offering.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 together with the additional information under the heading “Where You Can Find More Information.”</w:t>
      </w:r>
    </w:p>
    <w:p>
      <w:pPr>
        <w:spacing w:after="0" w:line="153"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provide no assurance as to the reliability of, any other information that others may give you. We will not make an offer to sell securities in any jurisdiction where the offer or sale is not permitted. You should assume that the information contained in this prospectus and any applicable prospectus supplement to this prospectus is accurate only as of the date on its respective cover, that the information contained in any applicable free writing prospectus is accurate only as of the date of that free writing prospectus, and that any information contained in documents incorporated by reference is accurate only as of the dates of those respective documents, unless we indicate otherwise. Our business, financial condition, results of operations and prospects may have changed since those dates.</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 AND MARKET DATA</w:t>
      </w:r>
    </w:p>
    <w:p>
      <w:pPr>
        <w:spacing w:after="0" w:line="170" w:lineRule="exact"/>
        <w:rPr>
          <w:sz w:val="20"/>
          <w:szCs w:val="20"/>
          <w:color w:val="auto"/>
        </w:rPr>
      </w:pPr>
    </w:p>
    <w:p>
      <w:pPr>
        <w:ind w:left="1480" w:right="499" w:firstLine="333"/>
        <w:spacing w:after="0" w:line="300" w:lineRule="auto"/>
        <w:rPr>
          <w:sz w:val="20"/>
          <w:szCs w:val="20"/>
          <w:color w:val="auto"/>
        </w:rPr>
      </w:pPr>
      <w:r>
        <w:rPr>
          <w:rFonts w:ascii="Times New Roman" w:cs="Times New Roman" w:eastAsia="Times New Roman" w:hAnsi="Times New Roman"/>
          <w:sz w:val="12"/>
          <w:szCs w:val="12"/>
          <w:color w:val="auto"/>
        </w:rPr>
        <w:t>This prospectus and the documents incorporated by reference herein contain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w:t>
      </w:r>
    </w:p>
    <w:p>
      <w:pPr>
        <w:spacing w:after="0" w:line="118"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149" w:lineRule="exact"/>
        <w:rPr>
          <w:sz w:val="20"/>
          <w:szCs w:val="20"/>
          <w:color w:val="auto"/>
        </w:rPr>
      </w:pPr>
    </w:p>
    <w:p>
      <w:pPr>
        <w:ind w:left="1480" w:right="699" w:firstLine="333"/>
        <w:spacing w:after="0" w:line="264" w:lineRule="auto"/>
        <w:rPr>
          <w:sz w:val="20"/>
          <w:szCs w:val="20"/>
          <w:color w:val="auto"/>
        </w:rPr>
      </w:pPr>
      <w:r>
        <w:rPr>
          <w:rFonts w:ascii="Times New Roman" w:cs="Times New Roman" w:eastAsia="Times New Roman" w:hAnsi="Times New Roman"/>
          <w:sz w:val="14"/>
          <w:szCs w:val="14"/>
          <w:color w:val="auto"/>
        </w:rPr>
        <w:t>Factors, among others, that could cause actual results and events to differ materially from those expressed or implied in any forward-looking statement include:</w:t>
      </w:r>
    </w:p>
    <w:p>
      <w:pPr>
        <w:spacing w:after="0" w:line="65" w:lineRule="exact"/>
        <w:rPr>
          <w:sz w:val="20"/>
          <w:szCs w:val="20"/>
          <w:color w:val="auto"/>
        </w:rPr>
      </w:pPr>
    </w:p>
    <w:p>
      <w:pPr>
        <w:ind w:left="2220" w:right="479" w:hanging="334"/>
        <w:spacing w:after="0" w:line="254" w:lineRule="auto"/>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w:t>
      </w:r>
    </w:p>
    <w:p>
      <w:pPr>
        <w:spacing w:after="0" w:line="70" w:lineRule="exact"/>
        <w:rPr>
          <w:rFonts w:ascii="Times New Roman" w:cs="Times New Roman" w:eastAsia="Times New Roman" w:hAnsi="Times New Roman"/>
          <w:sz w:val="14"/>
          <w:szCs w:val="14"/>
          <w:color w:val="auto"/>
        </w:rPr>
      </w:pPr>
    </w:p>
    <w:p>
      <w:pPr>
        <w:jc w:val="both"/>
        <w:ind w:left="2220" w:right="699" w:hanging="334"/>
        <w:spacing w:after="0" w:line="291" w:lineRule="auto"/>
        <w:tabs>
          <w:tab w:leader="none" w:pos="22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Nacional de Energía, California Public Utilities Commission, U.S.</w:t>
      </w:r>
    </w:p>
    <w:p>
      <w:pPr>
        <w:ind w:left="2220" w:right="37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Department of Energy, U.S. Federal Energy Regulatory Commission, U.S. Internal Revenue Service, Public Utility Commission of Texas and other regulatory bodies and (ii) U.S., Mexico and states, counties, cities and other jurisdictions therein and in other countries where we do business;</w:t>
      </w:r>
    </w:p>
    <w:p>
      <w:pPr>
        <w:spacing w:after="0" w:line="77" w:lineRule="exact"/>
        <w:rPr>
          <w:rFonts w:ascii="Times New Roman" w:cs="Times New Roman" w:eastAsia="Times New Roman" w:hAnsi="Times New Roman"/>
          <w:sz w:val="12"/>
          <w:szCs w:val="12"/>
          <w:color w:val="auto"/>
        </w:rPr>
      </w:pPr>
    </w:p>
    <w:p>
      <w:pPr>
        <w:ind w:left="2220" w:right="379" w:hanging="334"/>
        <w:spacing w:after="0" w:line="289" w:lineRule="auto"/>
        <w:tabs>
          <w:tab w:leader="none" w:pos="22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business development efforts, construction projects, acquisitions, divestitures, and other significant transactions, such as the planned sale of a portion of our equity interest in Sempra Infrastructure Partners, LP,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w:t>
      </w:r>
    </w:p>
    <w:p>
      <w:pPr>
        <w:ind w:left="2220" w:right="639"/>
        <w:spacing w:after="0" w:line="24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(v) obtaining regulatory and other approvals and (vi) third parties honoring their contracts and commitments, including with respect to closing or post-closing payments;</w:t>
      </w:r>
    </w:p>
    <w:p>
      <w:pPr>
        <w:spacing w:after="0" w:line="75"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capital expenditure plans and their potential impact on rate base or other growth;</w:t>
      </w:r>
    </w:p>
    <w:p>
      <w:pPr>
        <w:spacing w:after="0" w:line="94" w:lineRule="exact"/>
        <w:rPr>
          <w:rFonts w:ascii="Times New Roman" w:cs="Times New Roman" w:eastAsia="Times New Roman" w:hAnsi="Times New Roman"/>
          <w:sz w:val="14"/>
          <w:szCs w:val="14"/>
          <w:color w:val="auto"/>
        </w:rPr>
      </w:pPr>
    </w:p>
    <w:p>
      <w:pPr>
        <w:ind w:left="2220" w:right="359" w:hanging="334"/>
        <w:spacing w:after="0" w:line="250" w:lineRule="auto"/>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spacing w:after="0" w:line="7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arbitration, property disputes and other proceedings;</w:t>
      </w:r>
    </w:p>
    <w:p>
      <w:pPr>
        <w:spacing w:after="0" w:line="94" w:lineRule="exact"/>
        <w:rPr>
          <w:rFonts w:ascii="Times New Roman" w:cs="Times New Roman" w:eastAsia="Times New Roman" w:hAnsi="Times New Roman"/>
          <w:sz w:val="14"/>
          <w:szCs w:val="14"/>
          <w:color w:val="auto"/>
        </w:rPr>
      </w:pPr>
    </w:p>
    <w:p>
      <w:pPr>
        <w:ind w:left="2220" w:right="859" w:hanging="334"/>
        <w:spacing w:after="0" w:line="264" w:lineRule="auto"/>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threats, including by nation-state actors, of ransomware or other attacks on our systems, the energy grid or our other infrastructure, or the systems of third parties with which we conduct business;</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399" w:hanging="334"/>
        <w:spacing w:after="0" w:line="316" w:lineRule="auto"/>
        <w:tabs>
          <w:tab w:leader="none" w:pos="22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spacing w:after="0" w:line="37" w:lineRule="exact"/>
        <w:rPr>
          <w:rFonts w:ascii="Times New Roman" w:cs="Times New Roman" w:eastAsia="Times New Roman" w:hAnsi="Times New Roman"/>
          <w:sz w:val="12"/>
          <w:szCs w:val="12"/>
          <w:color w:val="auto"/>
        </w:rPr>
      </w:pPr>
    </w:p>
    <w:p>
      <w:pPr>
        <w:ind w:left="2220" w:right="359" w:hanging="334"/>
        <w:spacing w:after="0" w:line="264"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efforts to increase affordability of U.S. utility customer rates on our ability to obtain cost recovery from applicable regulators, our capital expenditure and other growth plans and our ability to advance statewide policies;</w:t>
      </w:r>
    </w:p>
    <w:p>
      <w:pPr>
        <w:spacing w:after="0" w:line="64" w:lineRule="exact"/>
        <w:rPr>
          <w:rFonts w:ascii="Times New Roman" w:cs="Times New Roman" w:eastAsia="Times New Roman" w:hAnsi="Times New Roman"/>
          <w:sz w:val="14"/>
          <w:szCs w:val="14"/>
          <w:color w:val="auto"/>
        </w:rPr>
      </w:pPr>
    </w:p>
    <w:p>
      <w:pPr>
        <w:ind w:left="2220" w:right="359" w:hanging="334"/>
        <w:spacing w:after="0" w:line="250"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w:t>
      </w:r>
    </w:p>
    <w:p>
      <w:pPr>
        <w:spacing w:after="0" w:line="74" w:lineRule="exact"/>
        <w:rPr>
          <w:rFonts w:ascii="Times New Roman" w:cs="Times New Roman" w:eastAsia="Times New Roman" w:hAnsi="Times New Roman"/>
          <w:sz w:val="14"/>
          <w:szCs w:val="14"/>
          <w:color w:val="auto"/>
        </w:rPr>
      </w:pPr>
    </w:p>
    <w:p>
      <w:pPr>
        <w:ind w:left="2220" w:right="399" w:hanging="334"/>
        <w:spacing w:after="0" w:line="254"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spacing w:after="0" w:line="70" w:lineRule="exact"/>
        <w:rPr>
          <w:rFonts w:ascii="Times New Roman" w:cs="Times New Roman" w:eastAsia="Times New Roman" w:hAnsi="Times New Roman"/>
          <w:sz w:val="14"/>
          <w:szCs w:val="14"/>
          <w:color w:val="auto"/>
        </w:rPr>
      </w:pPr>
    </w:p>
    <w:p>
      <w:pPr>
        <w:ind w:left="2220" w:right="379" w:hanging="334"/>
        <w:spacing w:after="0" w:line="250"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spacing w:after="0" w:line="74" w:lineRule="exact"/>
        <w:rPr>
          <w:rFonts w:ascii="Times New Roman" w:cs="Times New Roman" w:eastAsia="Times New Roman" w:hAnsi="Times New Roman"/>
          <w:sz w:val="14"/>
          <w:szCs w:val="14"/>
          <w:color w:val="auto"/>
        </w:rPr>
      </w:pPr>
    </w:p>
    <w:p>
      <w:pPr>
        <w:ind w:left="2220" w:right="359" w:hanging="334"/>
        <w:spacing w:after="0" w:line="349" w:lineRule="auto"/>
        <w:tabs>
          <w:tab w:leader="none" w:pos="22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spacing w:after="0" w:line="17" w:lineRule="exact"/>
        <w:rPr>
          <w:rFonts w:ascii="Times New Roman" w:cs="Times New Roman" w:eastAsia="Times New Roman" w:hAnsi="Times New Roman"/>
          <w:sz w:val="12"/>
          <w:szCs w:val="12"/>
          <w:color w:val="auto"/>
        </w:rPr>
      </w:pPr>
    </w:p>
    <w:p>
      <w:pPr>
        <w:ind w:left="2220" w:right="399" w:hanging="334"/>
        <w:spacing w:after="0" w:line="264"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Oncor Electric Delivery Company LLC’s (“Oncor”) ability to reduce or eliminate its quarterly dividends due to regulatory and governance requirements and commitments, including by actions of Oncor’s independent directors or a minority member director; and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uncertainties, some of which are difficult to predict and beyond our control.</w:t>
      </w:r>
    </w:p>
    <w:p>
      <w:pPr>
        <w:spacing w:after="0" w:line="166"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We caution you not to rely unduly on any forward-looking statements. You should review and consider carefully the risks, uncertainties and other factors that affect our businesses as described herein, in our most recent Annual Report on Form 10-K and in other reports and documents we file with the SEC that are incorporated by reference in this prospectus, any prospectus supplement, and any related free writing prospectus issued by us. You may obtain copies of these reports and documents as described under “Where You Can Find More Information” in this prospectus.</w:t>
      </w:r>
    </w:p>
    <w:p>
      <w:pPr>
        <w:spacing w:after="0" w:line="146"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This prospectus incorporates by reference, and any prospectus supplement or free writing prospectus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any prospectus supplement or any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the applicable prospectus supplement, any related free writing prospectus, and documents that are incorporated or deemed to be incorporated by reference in this prospectus and the applicable prospectus supplement. Accordingly, you should not place undue reliance on any of this information.</w:t>
      </w:r>
    </w:p>
    <w:p>
      <w:pPr>
        <w:spacing w:after="0" w:line="1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88"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maintains an Internet site that contains reports, proxy and information statements and other information about issuers, such as us, who file electronically with the SEC. The address of that 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from us, as indicated below. Forms of the indentures and other documents establishing the terms of the securities we may offer are or will be filed as exhibits to the registration statement or documents incorporated by reference in the registration statement. Statements in this prospectus or any prospectus supplement about these documents are not complete and each statement is qualified in all respects by reference to the document to which it refers. You should refer to the actual documents for a more complete description of the relevant matters. You may inspect a copy of the registration statement through the SEC’s Internet site, as provided above.</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88" w:lineRule="exact"/>
        <w:rPr>
          <w:sz w:val="20"/>
          <w:szCs w:val="20"/>
          <w:color w:val="auto"/>
        </w:rPr>
      </w:pPr>
    </w:p>
    <w:p>
      <w:pPr>
        <w:ind w:left="1480" w:right="439" w:firstLine="333"/>
        <w:spacing w:after="0" w:line="247" w:lineRule="auto"/>
        <w:rPr>
          <w:sz w:val="20"/>
          <w:szCs w:val="20"/>
          <w:color w:val="auto"/>
        </w:rPr>
      </w:pPr>
      <w:r>
        <w:rPr>
          <w:rFonts w:ascii="Times New Roman" w:cs="Times New Roman" w:eastAsia="Times New Roman" w:hAnsi="Times New Roman"/>
          <w:sz w:val="14"/>
          <w:szCs w:val="14"/>
          <w:color w:val="auto"/>
        </w:rPr>
        <w:t>The rules of the SEC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that is also incorporated or deemed to be incorporated by reference in this prospectus will automatically update and, to the extent inconsistent, supersede the prior information. Any statement contained in this prospectus or a previously filed document incorporated by reference herein shall be deemed to be modified or superseded for purposes of this prospectus to the extent that a statement contained in this prospectus, any applicable prospectus supplement or any subsequently filed document that is incorporated or deemed to be incorporated by reference in this prospectus modifies or replaces that statement.</w:t>
      </w:r>
    </w:p>
    <w:p>
      <w:pPr>
        <w:spacing w:after="0" w:line="147" w:lineRule="exact"/>
        <w:rPr>
          <w:sz w:val="20"/>
          <w:szCs w:val="20"/>
          <w:color w:val="auto"/>
        </w:rPr>
      </w:pPr>
    </w:p>
    <w:p>
      <w:pPr>
        <w:ind w:left="1480" w:right="459" w:firstLine="333"/>
        <w:spacing w:after="0" w:line="247" w:lineRule="auto"/>
        <w:rPr>
          <w:sz w:val="20"/>
          <w:szCs w:val="20"/>
          <w:color w:val="auto"/>
        </w:rPr>
      </w:pPr>
      <w:r>
        <w:rPr>
          <w:rFonts w:ascii="Times New Roman" w:cs="Times New Roman" w:eastAsia="Times New Roman" w:hAnsi="Times New Roman"/>
          <w:sz w:val="14"/>
          <w:szCs w:val="14"/>
          <w:color w:val="auto"/>
        </w:rPr>
        <w:t>We incorporate by reference our documents listed below and all documents that we file with the SEC pursuant to Sections 13(a), 13(c), 14 or 15(d) of the Securities Exchange Act of 1934, as amended, which we refer to as the “Exchange Act” in this prospectus, after the date of this prospectus through the termination of the offering of the securities described in this prospectus. Notwithstanding anything herein to the contrary, we are not, however, incorporating by reference any documents or portions thereof or exhibits thereto, whether specifically listed below or filed in the future, that are not deemed “filed” with the SEC, including, without limitation, our Compensation and Talent Development Committee report, Audit Committee report and performance graph required under SEC Regulation S-K Item 201(e) and any information furnished pursuant to Items 2.02 or 7.01 of Form 8-K or related exhibits furnished pursuant to Item 9.01 of Form 8-K.</w:t>
      </w:r>
    </w:p>
    <w:p>
      <w:pPr>
        <w:spacing w:after="0" w:line="147"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This prospectus and any applicable prospectus supplement incorporate by reference the documents set forth below that have previously been filed with the SEC:</w:t>
      </w:r>
    </w:p>
    <w:p>
      <w:pPr>
        <w:spacing w:after="0" w:line="150"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412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SEC Filings (File No. 1-14201)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Period or Filing Date</w:t>
            </w:r>
          </w:p>
        </w:tc>
      </w:tr>
      <w:tr>
        <w:trPr>
          <w:trHeight w:val="123"/>
        </w:trPr>
        <w:tc>
          <w:tcPr>
            <w:tcW w:w="20" w:type="dxa"/>
            <w:vAlign w:val="bottom"/>
          </w:tcPr>
          <w:p>
            <w:pPr>
              <w:spacing w:after="0"/>
              <w:rPr>
                <w:sz w:val="10"/>
                <w:szCs w:val="10"/>
                <w:color w:val="auto"/>
              </w:rPr>
            </w:pPr>
          </w:p>
        </w:tc>
        <w:tc>
          <w:tcPr>
            <w:tcW w:w="4100" w:type="dxa"/>
            <w:vAlign w:val="bottom"/>
            <w:tcBorders>
              <w:top w:val="single" w:sz="8" w:color="auto"/>
            </w:tcBorders>
            <w:gridSpan w:val="7"/>
          </w:tcPr>
          <w:p>
            <w:pPr>
              <w:spacing w:after="0" w:line="123" w:lineRule="exact"/>
              <w:rPr>
                <w:rFonts w:ascii="Times New Roman" w:cs="Times New Roman" w:eastAsia="Times New Roman" w:hAnsi="Times New Roman"/>
                <w:sz w:val="14"/>
                <w:szCs w:val="14"/>
                <w:color w:val="auto"/>
                <w:w w:val="99"/>
              </w:rPr>
            </w:pPr>
            <w:r>
              <w:rPr>
                <w:rFonts w:ascii="Times New Roman" w:cs="Times New Roman" w:eastAsia="Times New Roman" w:hAnsi="Times New Roman"/>
                <w:sz w:val="14"/>
                <w:szCs w:val="14"/>
                <w:color w:val="auto"/>
                <w:w w:val="99"/>
              </w:rPr>
              <w:t xml:space="preserve">Annual Report on </w:t>
            </w:r>
            <w:hyperlink r:id="rId59">
              <w:r>
                <w:rPr>
                  <w:rFonts w:ascii="Times New Roman" w:cs="Times New Roman" w:eastAsia="Times New Roman" w:hAnsi="Times New Roman"/>
                  <w:sz w:val="14"/>
                  <w:szCs w:val="14"/>
                  <w:color w:val="0000EE"/>
                  <w:w w:val="99"/>
                </w:rPr>
                <w:t>Form 10-K</w:t>
              </w:r>
              <w:r>
                <w:rPr>
                  <w:rFonts w:ascii="Times New Roman" w:cs="Times New Roman" w:eastAsia="Times New Roman" w:hAnsi="Times New Roman"/>
                  <w:sz w:val="14"/>
                  <w:szCs w:val="14"/>
                  <w:color w:val="auto"/>
                  <w:w w:val="99"/>
                </w:rPr>
                <w:t xml:space="preserve"> </w:t>
              </w:r>
            </w:hyperlink>
            <w:r>
              <w:rPr>
                <w:rFonts w:ascii="Times New Roman" w:cs="Times New Roman" w:eastAsia="Times New Roman" w:hAnsi="Times New Roman"/>
                <w:sz w:val="14"/>
                <w:szCs w:val="14"/>
                <w:color w:val="auto"/>
                <w:w w:val="99"/>
              </w:rPr>
              <w:t>(including the information incorporated by</w:t>
            </w:r>
          </w:p>
        </w:tc>
        <w:tc>
          <w:tcPr>
            <w:tcW w:w="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920" w:type="dxa"/>
            <w:vAlign w:val="bottom"/>
            <w:tcBorders>
              <w:top w:val="single" w:sz="8" w:color="auto"/>
            </w:tcBorders>
          </w:tcPr>
          <w:p>
            <w:pPr>
              <w:spacing w:after="0" w:line="123" w:lineRule="exact"/>
              <w:rPr>
                <w:sz w:val="20"/>
                <w:szCs w:val="20"/>
                <w:color w:val="auto"/>
              </w:rPr>
            </w:pPr>
            <w:r>
              <w:rPr>
                <w:rFonts w:ascii="Times New Roman" w:cs="Times New Roman" w:eastAsia="Times New Roman" w:hAnsi="Times New Roman"/>
                <w:sz w:val="14"/>
                <w:szCs w:val="14"/>
                <w:color w:val="auto"/>
              </w:rPr>
              <w:t>Year ended December 31, 2025, filed on February 26, 2026</w:t>
            </w:r>
          </w:p>
        </w:tc>
      </w:tr>
      <w:tr>
        <w:trPr>
          <w:trHeight w:val="20"/>
        </w:trPr>
        <w:tc>
          <w:tcPr>
            <w:tcW w:w="10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43"/>
        </w:trPr>
        <w:tc>
          <w:tcPr>
            <w:tcW w:w="4120" w:type="dxa"/>
            <w:vAlign w:val="bottom"/>
            <w:gridSpan w:val="8"/>
          </w:tcPr>
          <w:p>
            <w:pPr>
              <w:spacing w:after="0" w:line="143" w:lineRule="exact"/>
              <w:rPr>
                <w:rFonts w:ascii="Times New Roman" w:cs="Times New Roman" w:eastAsia="Times New Roman" w:hAnsi="Times New Roman"/>
                <w:sz w:val="14"/>
                <w:szCs w:val="14"/>
                <w:color w:val="auto"/>
                <w:w w:val="96"/>
              </w:rPr>
            </w:pPr>
            <w:r>
              <w:rPr>
                <w:rFonts w:ascii="Times New Roman" w:cs="Times New Roman" w:eastAsia="Times New Roman" w:hAnsi="Times New Roman"/>
                <w:sz w:val="14"/>
                <w:szCs w:val="14"/>
                <w:color w:val="auto"/>
                <w:w w:val="96"/>
              </w:rPr>
              <w:t xml:space="preserve">reference therein from our Definitive Proxy Statement on </w:t>
            </w:r>
            <w:hyperlink r:id="rId60">
              <w:r>
                <w:rPr>
                  <w:rFonts w:ascii="Times New Roman" w:cs="Times New Roman" w:eastAsia="Times New Roman" w:hAnsi="Times New Roman"/>
                  <w:sz w:val="14"/>
                  <w:szCs w:val="14"/>
                  <w:color w:val="0000EE"/>
                  <w:w w:val="96"/>
                </w:rPr>
                <w:t>Schedule 14A</w:t>
              </w:r>
              <w:r>
                <w:rPr>
                  <w:rFonts w:ascii="Times New Roman" w:cs="Times New Roman" w:eastAsia="Times New Roman" w:hAnsi="Times New Roman"/>
                  <w:sz w:val="14"/>
                  <w:szCs w:val="14"/>
                  <w:color w:val="auto"/>
                  <w:w w:val="96"/>
                </w:rPr>
                <w:t xml:space="preserve"> </w:t>
              </w:r>
            </w:hyperlink>
            <w:r>
              <w:rPr>
                <w:rFonts w:ascii="Times New Roman" w:cs="Times New Roman" w:eastAsia="Times New Roman" w:hAnsi="Times New Roman"/>
                <w:sz w:val="14"/>
                <w:szCs w:val="14"/>
                <w:color w:val="auto"/>
                <w:w w:val="96"/>
              </w:rPr>
              <w:t>for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20"/>
        </w:trPr>
        <w:tc>
          <w:tcPr>
            <w:tcW w:w="11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61"/>
        </w:trPr>
        <w:tc>
          <w:tcPr>
            <w:tcW w:w="41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our 2026 Annual Shareholders Meeting filed with the SEC on March 27,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75"/>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15"/>
        </w:trPr>
        <w:tc>
          <w:tcPr>
            <w:tcW w:w="4120" w:type="dxa"/>
            <w:vAlign w:val="bottom"/>
            <w:gridSpan w:val="8"/>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61">
              <w:r>
                <w:rPr>
                  <w:rFonts w:ascii="Times New Roman" w:cs="Times New Roman" w:eastAsia="Times New Roman" w:hAnsi="Times New Roman"/>
                  <w:sz w:val="14"/>
                  <w:szCs w:val="14"/>
                  <w:color w:val="0000EE"/>
                </w:rPr>
                <w:t>Form 10-Q</w:t>
              </w:r>
            </w:hyperlink>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Quarter ended March 31, 2026, filed on May 7, 2026</w:t>
            </w:r>
          </w:p>
        </w:tc>
      </w:tr>
      <w:tr>
        <w:trPr>
          <w:trHeight w:val="28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4</w:t>
            </w: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ectPr>
          <w:pgSz w:w="11900" w:h="16838" w:orient="portrait"/>
          <w:cols w:equalWidth="0" w:num="1">
            <w:col w:w="10159"/>
          </w:cols>
          <w:pgMar w:left="300" w:top="37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ectPr>
          <w:pgSz w:w="11900" w:h="16838" w:orient="portrait"/>
          <w:cols w:equalWidth="0" w:num="1">
            <w:col w:w="10159"/>
          </w:cols>
          <w:pgMar w:left="300" w:top="378" w:right="1440" w:bottom="1440" w:gutter="0" w:footer="0" w:header="0"/>
        </w:sectPr>
      </w:pPr>
    </w:p>
    <w:p>
      <w:pPr>
        <w:spacing w:after="0" w:line="2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1"/>
          <w:szCs w:val="11"/>
          <w:b w:val="1"/>
          <w:bCs w:val="1"/>
          <w:color w:val="auto"/>
        </w:rPr>
        <w:t>SEC Filings (File No. 1-14201)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9525</wp:posOffset>
            </wp:positionV>
            <wp:extent cx="270446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04465" cy="6350"/>
                    </a:xfrm>
                    <a:prstGeom prst="rect">
                      <a:avLst/>
                    </a:prstGeom>
                    <a:noFill/>
                  </pic:spPr>
                </pic:pic>
              </a:graphicData>
            </a:graphic>
          </wp:anchor>
        </w:drawing>
      </w:r>
    </w:p>
    <w:p>
      <w:pPr>
        <w:spacing w:after="0" w:line="6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Current Reports on Form 8-K</w:t>
      </w:r>
    </w:p>
    <w:p>
      <w:pPr>
        <w:spacing w:after="0" w:line="248" w:lineRule="exact"/>
        <w:rPr>
          <w:sz w:val="20"/>
          <w:szCs w:val="20"/>
          <w:color w:val="auto"/>
        </w:rPr>
      </w:pPr>
    </w:p>
    <w:p>
      <w:pPr>
        <w:jc w:val="both"/>
        <w:ind w:left="1480"/>
        <w:spacing w:after="0" w:line="250"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Description of our common stock contained in our Registration Statement on </w:t>
      </w:r>
      <w:hyperlink r:id="rId64">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as updated by</w:t>
      </w:r>
      <w:r>
        <w:rPr>
          <w:rFonts w:ascii="Times New Roman" w:cs="Times New Roman" w:eastAsia="Times New Roman" w:hAnsi="Times New Roman"/>
          <w:sz w:val="14"/>
          <w:szCs w:val="14"/>
          <w:color w:val="0000EE"/>
        </w:rPr>
        <w:t xml:space="preserve"> </w:t>
      </w:r>
      <w:hyperlink r:id="rId65">
        <w:r>
          <w:rPr>
            <w:rFonts w:ascii="Times New Roman" w:cs="Times New Roman" w:eastAsia="Times New Roman" w:hAnsi="Times New Roman"/>
            <w:sz w:val="14"/>
            <w:szCs w:val="14"/>
            <w:u w:val="single" w:color="auto"/>
            <w:color w:val="0000EE"/>
          </w:rPr>
          <w:t xml:space="preserve">Exhibit 4.2 </w:t>
        </w:r>
      </w:hyperlink>
      <w:r>
        <w:rPr>
          <w:rFonts w:ascii="Times New Roman" w:cs="Times New Roman" w:eastAsia="Times New Roman" w:hAnsi="Times New Roman"/>
          <w:sz w:val="14"/>
          <w:szCs w:val="14"/>
          <w:color w:val="000000"/>
        </w:rPr>
        <w:t>to</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our Annual Report on Form 10-K for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fiscal year ended December 31, 2025 and any amendment or report filed with the SEC for purposes of updating such description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Period or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248348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483485" cy="6350"/>
                    </a:xfrm>
                    <a:prstGeom prst="rect">
                      <a:avLst/>
                    </a:prstGeom>
                    <a:noFill/>
                  </pic:spPr>
                </pic:pic>
              </a:graphicData>
            </a:graphic>
          </wp:anchor>
        </w:drawing>
      </w:r>
    </w:p>
    <w:p>
      <w:pPr>
        <w:spacing w:after="0" w:line="64" w:lineRule="exact"/>
        <w:rPr>
          <w:sz w:val="20"/>
          <w:szCs w:val="20"/>
          <w:color w:val="auto"/>
        </w:rPr>
      </w:pPr>
    </w:p>
    <w:p>
      <w:pPr>
        <w:ind w:right="379"/>
        <w:spacing w:after="0" w:line="264" w:lineRule="auto"/>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auto"/>
          </w:rPr>
          <w:t xml:space="preserve">Filed on </w:t>
        </w:r>
        <w:r>
          <w:rPr>
            <w:rFonts w:ascii="Times New Roman" w:cs="Times New Roman" w:eastAsia="Times New Roman" w:hAnsi="Times New Roman"/>
            <w:sz w:val="14"/>
            <w:szCs w:val="14"/>
            <w:u w:val="single" w:color="auto"/>
            <w:color w:val="0000EE"/>
          </w:rPr>
          <w:t>March 13,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17,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12,</w:t>
        </w:r>
      </w:hyperlink>
      <w:r>
        <w:rPr>
          <w:rFonts w:ascii="Times New Roman" w:cs="Times New Roman" w:eastAsia="Times New Roman" w:hAnsi="Times New Roman"/>
          <w:sz w:val="14"/>
          <w:szCs w:val="14"/>
          <w:color w:val="auto"/>
        </w:rPr>
        <w:t xml:space="preserve"> </w:t>
      </w:r>
      <w:hyperlink r:id="rId67">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68">
        <w:r>
          <w:rPr>
            <w:rFonts w:ascii="Times New Roman" w:cs="Times New Roman" w:eastAsia="Times New Roman" w:hAnsi="Times New Roman"/>
            <w:sz w:val="14"/>
            <w:szCs w:val="14"/>
            <w:u w:val="single" w:color="auto"/>
            <w:color w:val="0000EE"/>
          </w:rPr>
          <w:t>May 14, 2026</w:t>
        </w:r>
      </w:hyperlink>
    </w:p>
    <w:p>
      <w:pPr>
        <w:spacing w:after="0" w:line="5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Filing date of June 5, 1998</w:t>
      </w:r>
    </w:p>
    <w:p>
      <w:pPr>
        <w:spacing w:after="0" w:line="655" w:lineRule="exact"/>
        <w:rPr>
          <w:rFonts w:ascii="Times New Roman" w:cs="Times New Roman" w:eastAsia="Times New Roman" w:hAnsi="Times New Roman"/>
          <w:sz w:val="14"/>
          <w:szCs w:val="14"/>
          <w:color w:val="auto"/>
        </w:rPr>
      </w:pPr>
    </w:p>
    <w:p>
      <w:pPr>
        <w:sectPr>
          <w:pgSz w:w="11900" w:h="16838" w:orient="portrait"/>
          <w:cols w:equalWidth="0" w:num="2">
            <w:col w:w="5680" w:space="220"/>
            <w:col w:w="4259"/>
          </w:cols>
          <w:pgMar w:left="300" w:top="378" w:right="1440" w:bottom="1440" w:gutter="0" w:footer="0" w:header="0"/>
          <w:type w:val="continuous"/>
        </w:sect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We will provide, upon written or oral request and without charge, to each person, including any beneficial owner, to whom a copy of this prospectus has been delivered a copy of any of the documents incorporated by reference in this prospectus. You may submit such a request by writing or calling us at the following address or telephone number:</w:t>
      </w:r>
    </w:p>
    <w:p>
      <w:pPr>
        <w:spacing w:after="0" w:line="61"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Sempra</w:t>
      </w:r>
    </w:p>
    <w:p>
      <w:pPr>
        <w:spacing w:after="0" w:line="1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488 8th Avenue</w:t>
      </w:r>
    </w:p>
    <w:p>
      <w:pPr>
        <w:spacing w:after="0" w:line="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San Diego, California 92101</w:t>
      </w:r>
    </w:p>
    <w:p>
      <w:pPr>
        <w:spacing w:after="0" w:line="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(619) 696-2000</w:t>
      </w:r>
    </w:p>
    <w:p>
      <w:pPr>
        <w:spacing w:after="0" w:line="154" w:lineRule="exact"/>
        <w:rPr>
          <w:rFonts w:ascii="Times New Roman" w:cs="Times New Roman" w:eastAsia="Times New Roman" w:hAnsi="Times New Roman"/>
          <w:sz w:val="14"/>
          <w:szCs w:val="14"/>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applicable prospectus supplement.</w:t>
      </w:r>
    </w:p>
    <w:p>
      <w:pPr>
        <w:spacing w:after="0" w:line="85" w:lineRule="exact"/>
        <w:rPr>
          <w:rFonts w:ascii="Times New Roman" w:cs="Times New Roman" w:eastAsia="Times New Roman" w:hAnsi="Times New Roman"/>
          <w:sz w:val="14"/>
          <w:szCs w:val="14"/>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8"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SEMPRA</w:t>
      </w:r>
    </w:p>
    <w:p>
      <w:pPr>
        <w:spacing w:after="0" w:line="170"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Sempra is a holding company whose principal businesses are regulated utilities in California and Texas. Our businesses invest in and operate electric and gas utilities and other energy infrastructure that provide energy services to customers. For additional information concerning us, you should refer to the information under the heading “Where You Can Find More Information” in this prospectus.</w:t>
      </w:r>
    </w:p>
    <w:p>
      <w:pPr>
        <w:spacing w:after="0" w:line="142" w:lineRule="exact"/>
        <w:rPr>
          <w:sz w:val="20"/>
          <w:szCs w:val="20"/>
          <w:color w:val="auto"/>
        </w:rPr>
      </w:pPr>
    </w:p>
    <w:p>
      <w:pPr>
        <w:ind w:left="1480" w:right="599" w:firstLine="333"/>
        <w:spacing w:after="0" w:line="264"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488 8th Avenue, San Diego, California 92101, and our telephone number is (619) 696-2000. Our website is </w:t>
      </w:r>
      <w:r>
        <w:rPr>
          <w:rFonts w:ascii="Times New Roman" w:cs="Times New Roman" w:eastAsia="Times New Roman" w:hAnsi="Times New Roman"/>
          <w:sz w:val="14"/>
          <w:szCs w:val="14"/>
          <w:i w:val="1"/>
          <w:iCs w:val="1"/>
          <w:color w:val="auto"/>
        </w:rPr>
        <w:t>http://www.sempra.com</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480" w:right="539" w:firstLine="333"/>
        <w:spacing w:after="0" w:line="250" w:lineRule="auto"/>
        <w:rPr>
          <w:sz w:val="20"/>
          <w:szCs w:val="20"/>
          <w:color w:val="auto"/>
        </w:rPr>
      </w:pPr>
      <w:r>
        <w:rPr>
          <w:rFonts w:ascii="Times New Roman" w:cs="Times New Roman" w:eastAsia="Times New Roman" w:hAnsi="Times New Roman"/>
          <w:sz w:val="14"/>
          <w:szCs w:val="14"/>
          <w:color w:val="auto"/>
        </w:rPr>
        <w:t xml:space="preserve">Except for documents that are incorporated by reference in this prospectus as described under the heading “Where You Can Find More Information” and that are available on the SEC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the information contained on, or that can be accessed through, our website or any other website referenced herein is not a part of or incorporated by reference in this prospectus or any document incorporated or deemed to be incorporated herein.</w:t>
      </w:r>
    </w:p>
    <w:p>
      <w:pPr>
        <w:spacing w:after="0" w:line="146" w:lineRule="exact"/>
        <w:rPr>
          <w:sz w:val="20"/>
          <w:szCs w:val="20"/>
          <w:color w:val="auto"/>
        </w:rPr>
      </w:pPr>
    </w:p>
    <w:p>
      <w:pPr>
        <w:ind w:left="1480" w:right="359" w:firstLine="333"/>
        <w:spacing w:after="0" w:line="349" w:lineRule="auto"/>
        <w:rPr>
          <w:sz w:val="20"/>
          <w:szCs w:val="20"/>
          <w:color w:val="auto"/>
        </w:rPr>
      </w:pPr>
      <w:r>
        <w:rPr>
          <w:rFonts w:ascii="Times New Roman" w:cs="Times New Roman" w:eastAsia="Times New Roman" w:hAnsi="Times New Roman"/>
          <w:sz w:val="12"/>
          <w:szCs w:val="12"/>
          <w:color w:val="auto"/>
        </w:rPr>
        <w:t>In this prospectus, references to “Sempra,” “we,” “us,” “our” and similar terms mean, unless otherwise specified or the context otherwise requires, Sempra together with its consolidated entities; and references to “you” mean the potential purchasers of the applicable securities offered hereby.</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deciding whether to invest in any offered securities, you should carefully consider the risk factors and other cautionary language incorporated in this prospectus and the applicable prospectus supplement by reference to our most recent Annual Report on Form 10-K and any Quarterly Reports on Form 10-Q and Current Reports on Form 8-K filed (and not furnished) by us with the SEC subsequent to the last day of the fiscal year covered by our most recent Annual Report on Form 10-K and all other information contained or incorporated by reference in this prospectus, as updated by our subsequent filings under the Exchange Act that are also incorporated by reference in this prospectus, and the risk factors and other information contained and incorporated by reference in the applicable prospectus supplement and any applicable free writing prospectus. Please also carefully read the information under the heading “Forward-Looking Statements and Market Data” and any similar headings in this prospectus, our most recent Annual Report on Form 10-K and any subsequent Quarterly Reports on Form 10-Q and Current Reports on Form 8-K. There may be other risks and uncertainties not known to us or that we deem immaterial that also could impair our business operations, financial results and the value of any securities offered pursuant to this prospectus. The occurrence of any of these risks could have a material adverse effect on our results of operations, financial condition, cash flows and/or prospects and might cause you to lose all or part of your investment in the offered securities.</w:t>
      </w:r>
    </w:p>
    <w:p>
      <w:pPr>
        <w:spacing w:after="0" w:line="1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w:t>
      </w:r>
    </w:p>
    <w:p>
      <w:pPr>
        <w:spacing w:after="0" w:line="1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8" w:lineRule="exact"/>
        <w:rPr>
          <w:sz w:val="20"/>
          <w:szCs w:val="20"/>
          <w:color w:val="auto"/>
        </w:rPr>
      </w:pPr>
    </w:p>
    <w:p>
      <w:pPr>
        <w:ind w:left="1480" w:right="4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The following is a general description of some of the terms and provisions of the common stock and preferred stock Sempra may offer and sell under this prospectus. Under this heading “Description of Capital Stock,” references to “Sempra,” “we,” “us,” “our” and similar terms mean, unless otherwise specified or the context otherwise requires, Sempra excluding its consolidated entities.</w:t>
      </w:r>
    </w:p>
    <w:p>
      <w:pPr>
        <w:spacing w:after="0" w:line="142" w:lineRule="exact"/>
        <w:rPr>
          <w:sz w:val="20"/>
          <w:szCs w:val="20"/>
          <w:color w:val="auto"/>
        </w:rPr>
      </w:pPr>
    </w:p>
    <w:p>
      <w:pPr>
        <w:ind w:left="1480" w:right="479" w:firstLine="333"/>
        <w:spacing w:after="0" w:line="250" w:lineRule="auto"/>
        <w:rPr>
          <w:sz w:val="20"/>
          <w:szCs w:val="20"/>
          <w:color w:val="auto"/>
        </w:rPr>
      </w:pPr>
      <w:r>
        <w:rPr>
          <w:rFonts w:ascii="Times New Roman" w:cs="Times New Roman" w:eastAsia="Times New Roman" w:hAnsi="Times New Roman"/>
          <w:sz w:val="14"/>
          <w:szCs w:val="14"/>
          <w:color w:val="auto"/>
        </w:rPr>
        <w:t>Our common stock is, and any preferred stock we may issue in the future will be, governed by our restated articles of incorporation and bylaws and applicable California law. Our restated articles of incorporation give us broad authority to set the particular terms of each series of preferred stock. The particular terms of a series of preferred stock will be described in the applicable prospectus supplement, or a free writing prospectus, relating to such series of preferred stock.</w:t>
      </w:r>
    </w:p>
    <w:p>
      <w:pPr>
        <w:spacing w:after="0" w:line="146" w:lineRule="exact"/>
        <w:rPr>
          <w:sz w:val="20"/>
          <w:szCs w:val="20"/>
          <w:color w:val="auto"/>
        </w:rPr>
      </w:pPr>
    </w:p>
    <w:p>
      <w:pPr>
        <w:ind w:left="1480" w:right="379" w:firstLine="333"/>
        <w:spacing w:after="0" w:line="292" w:lineRule="auto"/>
        <w:rPr>
          <w:sz w:val="20"/>
          <w:szCs w:val="20"/>
          <w:color w:val="auto"/>
        </w:rPr>
      </w:pPr>
      <w:r>
        <w:rPr>
          <w:rFonts w:ascii="Times New Roman" w:cs="Times New Roman" w:eastAsia="Times New Roman" w:hAnsi="Times New Roman"/>
          <w:sz w:val="12"/>
          <w:szCs w:val="12"/>
          <w:color w:val="auto"/>
        </w:rPr>
        <w:t>Our restated articles of incorporation and bylaws contain the full legal text of the matters described under this heading “Description of Capital Stock.” The following description of certain provisions of our restated articles of incorporation and bylaws is not complete and is qualified in its entirety by reference to all the provisions of our restated articles of incorporation, including the certificate of determination of preferences for any series of preferred stock that may be issued and outstanding in the future, and bylaws, copies of which have been or will be filed or incorporated by reference as exhibits to the registration statement of which this prospectus is a part or to a document incorporated by reference in this prospectus and which may be obtained as described under “Where You Can Find More Information.” Whenever we refer to particular sections or defined terms of our restated articles of incorporation, including any applicable certificate of determination of preferences, or bylaws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preferred stock described in the applicable prospectus supplement or free writing prospectus related to any offering of such series of preferred stock.</w:t>
      </w:r>
    </w:p>
    <w:p>
      <w:pPr>
        <w:spacing w:after="0" w:line="36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We are currently authorized to issue (i) 1,125,000,000 shares of common stock, without par value, and (ii) 50,000,000 shares of preferred stock. As of May 14, 2026, there were 653,707,401 outstanding shares of our common stock and no outstanding shares of our preferred stock. No other classes of capital stock are authorized under our restated articles of incorporation.</w:t>
      </w:r>
    </w:p>
    <w:p>
      <w:pPr>
        <w:spacing w:after="0" w:line="142" w:lineRule="exact"/>
        <w:rPr>
          <w:sz w:val="20"/>
          <w:szCs w:val="20"/>
          <w:color w:val="auto"/>
        </w:rPr>
      </w:pPr>
    </w:p>
    <w:p>
      <w:pPr>
        <w:jc w:val="both"/>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We may in the future amend our restated articles of incorporation to increase the authorized number of shares of our authorized common stock or preferred stock or to authorize shares of one or more additional classes of stock. Any such amendment would require approval by our board of directors and approval by our shareholders.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8" w:lineRule="exact"/>
        <w:rPr>
          <w:sz w:val="20"/>
          <w:szCs w:val="20"/>
          <w:color w:val="auto"/>
        </w:rPr>
      </w:pPr>
    </w:p>
    <w:p>
      <w:pPr>
        <w:ind w:left="1480" w:right="479" w:firstLine="333"/>
        <w:spacing w:after="0" w:line="254" w:lineRule="auto"/>
        <w:rPr>
          <w:sz w:val="20"/>
          <w:szCs w:val="20"/>
          <w:color w:val="auto"/>
        </w:rPr>
      </w:pPr>
      <w:r>
        <w:rPr>
          <w:rFonts w:ascii="Times New Roman" w:cs="Times New Roman" w:eastAsia="Times New Roman" w:hAnsi="Times New Roman"/>
          <w:sz w:val="14"/>
          <w:szCs w:val="14"/>
          <w:color w:val="auto"/>
        </w:rPr>
        <w:t>The holders of our common stock are entitled to receive, ratably, such dividends as our board of directors may from time to time declare, subject to any rights of holders of outstanding shares of any series of our preferred stock to receive dividends before dividends may be paid on our common stock.</w:t>
      </w:r>
    </w:p>
    <w:p>
      <w:pPr>
        <w:spacing w:after="0" w:line="142" w:lineRule="exact"/>
        <w:rPr>
          <w:sz w:val="20"/>
          <w:szCs w:val="20"/>
          <w:color w:val="auto"/>
        </w:rPr>
      </w:pPr>
    </w:p>
    <w:p>
      <w:pPr>
        <w:ind w:left="1480" w:right="399" w:firstLine="333"/>
        <w:spacing w:after="0" w:line="316" w:lineRule="auto"/>
        <w:rPr>
          <w:sz w:val="20"/>
          <w:szCs w:val="20"/>
          <w:color w:val="auto"/>
        </w:rPr>
      </w:pPr>
      <w:r>
        <w:rPr>
          <w:rFonts w:ascii="Times New Roman" w:cs="Times New Roman" w:eastAsia="Times New Roman" w:hAnsi="Times New Roman"/>
          <w:sz w:val="12"/>
          <w:szCs w:val="12"/>
          <w:color w:val="auto"/>
        </w:rPr>
        <w:t>In the event of any liquidation, dissolution or winding up of Sempra, whether voluntary or involuntary, the holders of shares of our common stock are entitled, subject to any rights of the holders of outstanding shares of any series of our preferred stock to receive distributions in such event before any distributions are made to holders of our common stock, to receive, ratably, any of our remaining assets after the discharge of our liabilities.</w:t>
      </w:r>
    </w:p>
    <w:p>
      <w:pPr>
        <w:spacing w:after="0" w:line="109"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Except as otherwise provided by law, each holder of our common stock is entitled to one vote per share on each matter submitted to a vote of our shareholders, subject to the voting rights, if any, of holders of outstanding</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679"/>
        <w:spacing w:after="0" w:line="264" w:lineRule="auto"/>
        <w:rPr>
          <w:sz w:val="20"/>
          <w:szCs w:val="20"/>
          <w:color w:val="auto"/>
        </w:rPr>
      </w:pPr>
      <w:r>
        <w:rPr>
          <w:rFonts w:ascii="Times New Roman" w:cs="Times New Roman" w:eastAsia="Times New Roman" w:hAnsi="Times New Roman"/>
          <w:sz w:val="14"/>
          <w:szCs w:val="14"/>
          <w:color w:val="auto"/>
        </w:rPr>
        <w:t>shares of any series of our preferred stock, which could include the right to vote separately as a class or series, or the right to vote together with the common stock as a single class.</w:t>
      </w:r>
    </w:p>
    <w:p>
      <w:pPr>
        <w:spacing w:after="0" w:line="136"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At each annual meeting of our shareholders, each director will be elected to hold office until the next annual meeting of shareholders and until a successor has been elected and qualified or until such director’s earlier resignation or removal. Pursuant to our bylaws, directors standing for election in an uncontested election (as defined below) will be elected by the affirmative vote of a majority of the shares entitled to vote for them represented and voting at a duly held meeting at which a quorum is present (and such affirmative votes must also represent more than 25% of the outstanding shares entitled to vote in the election of such directors). In any election of directors that is not an uncontested election, the candidates receiving the highest number of affirmative votes of the shares entitled to vote for them, up to the number of directors to be elected by those shares, will be elected and votes against a director and votes withheld will have no effect. The rights of holders of our common stock to elect directors are subject to the voting rights, if any, of holders of outstanding shares of any series of our preferred stock, which could include: (i) voting as a separate class or series, the right to elect one or more directors, or (ii) voting together with our common stock as a single class, the right to vote in the election of directors generally. Our bylaws define an “uncontested election” as, in general, an election of directors in which the number of candidates for election does not exceed the number of directors to be elected by our shareholders at that election, determined at the times specified in our bylaws. Our restated articles of incorporation provide that none of our shareholders may cumulate votes in the election of directors.</w:t>
      </w:r>
    </w:p>
    <w:p>
      <w:pPr>
        <w:spacing w:after="0" w:line="152"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Our common stock does not contain any conversion rights or sinking fund or redemption provisions. Holders of our common stock are not entitled to preemptive rights to subscribe for or purchase any part of any new or additional issue of stock or securities convertible into stock.</w:t>
      </w:r>
    </w:p>
    <w:p>
      <w:pPr>
        <w:spacing w:after="0" w:line="136" w:lineRule="exact"/>
        <w:rPr>
          <w:sz w:val="20"/>
          <w:szCs w:val="20"/>
          <w:color w:val="auto"/>
        </w:rPr>
      </w:pPr>
    </w:p>
    <w:p>
      <w:pPr>
        <w:jc w:val="both"/>
        <w:ind w:left="1480" w:right="439" w:firstLine="333"/>
        <w:spacing w:after="0" w:line="250" w:lineRule="auto"/>
        <w:rPr>
          <w:sz w:val="20"/>
          <w:szCs w:val="20"/>
          <w:color w:val="auto"/>
        </w:rPr>
      </w:pPr>
      <w:r>
        <w:rPr>
          <w:rFonts w:ascii="Times New Roman" w:cs="Times New Roman" w:eastAsia="Times New Roman" w:hAnsi="Times New Roman"/>
          <w:sz w:val="14"/>
          <w:szCs w:val="14"/>
          <w:color w:val="auto"/>
        </w:rPr>
        <w:t>Our board of directors is expressly authorized to make, amend or repeal our bylaws, without any action on the part of the shareholders, except as otherwise required by applicable California law, solely by the affirmative vote of at least two-thirds of the authorized number of directors. Our bylaws may also be amended or repealed by our shareholders, by the approval of the outstanding shares (as defined in Section 152 of the Corporations Code of the State of California) of Sempra.</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8"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The preferred stock is issuable in series. Subject to the maximum number of shares of preferred stock authorized by our restated articles of incorporation, our board of directors is authorized, without the need for a vote or other action of our shareholders, to cause the issuance of shares of our preferred stock from time to time in one or more series, to determine the number of shares and designation of the preferred stock of any series, to increase or decrease (but not below the number of shares of such series then outstanding) the number of shares of any such series subsequent to the issuance of shares of that series, and to determine or alter the rights, preferences, privileges and restrictions granted to or imposed upon any wholly unissued series of preferred stock, which may include, among other things, dividend and liquidation rights and preferences, including with respect to relative ranking; rights to convert such shares into common stock; any rights and terms of redemption, including sinking fund provisions; any voting rights; and any other specific terms, preferences, rights, limitations or restrictions; in each case in accordance with our restated articles of incorporation. Accordingly, our board of directors could cause the issuance of one or more series of our preferred stock ranking senior to our common stock with respect to dividends or distributions in the event of our liquidation, dissolution or winding up or with voting or other rights that could dilute or otherwise adversely affect the voting or other rights and economic interests of holders of our common stock. Likewise, our board of directors could cause the issuance of one or more series of our preferred stock ranking on parity with or senior to one or more other series of our preferred stock (subject to the terms of any one or more other series of our preferred stock, if any, then outstanding) with respect to dividends or distributions in the event of our liquidation, dissolution or winding up or with voting or other rights that could dilute or otherwise adversely affect any voting rights or the other rights and economic interests of the holders of any such other series of preferred stock.</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In the event that we issue any series of preferred stock pursuant to this prospectus, we will describe the terms of such series of preferred stock in a prospectus supplement to this prospectus and, if applicable, a free writing prospectus.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Anti-Takeover Effects of our Restated Articles of Incorporation and Bylaws</w:t>
      </w:r>
    </w:p>
    <w:p>
      <w:pPr>
        <w:spacing w:after="0" w:line="88" w:lineRule="exact"/>
        <w:rPr>
          <w:sz w:val="20"/>
          <w:szCs w:val="20"/>
          <w:color w:val="auto"/>
        </w:rPr>
      </w:pPr>
    </w:p>
    <w:p>
      <w:pPr>
        <w:ind w:left="1480" w:right="519" w:firstLine="333"/>
        <w:spacing w:after="0" w:line="246" w:lineRule="auto"/>
        <w:rPr>
          <w:sz w:val="20"/>
          <w:szCs w:val="20"/>
          <w:color w:val="auto"/>
        </w:rPr>
      </w:pPr>
      <w:r>
        <w:rPr>
          <w:rFonts w:ascii="Times New Roman" w:cs="Times New Roman" w:eastAsia="Times New Roman" w:hAnsi="Times New Roman"/>
          <w:sz w:val="14"/>
          <w:szCs w:val="14"/>
          <w:color w:val="auto"/>
        </w:rPr>
        <w:t>Certain provisions of our restated articles of incorporation and bylaws could have the effect of delaying, deterring or preventing another party from acquiring or seeking to acquire control of us. These provisions are intended to discourage certain types of coercive takeover practices and inadequate takeover bids and to encourage anyone seeking to acquire control of us to negotiate first with our board of directors. However, these provisions could also delay, deter or prevent a change of control or other takeover of our company that our shareholders might consider to be in their best interests, including transactions that might result in a premium being paid over the market prices of our common stock and any outstanding preferred stock, and may also limit the prices that investors are willing to pay in the future for our common stock and any outstanding preferred stock. These provisions may also have the effect of preventing changes in our management. Certain provisions of our restated articles of incorporation and bylaws include anti-takeover provisions that:</w:t>
      </w:r>
    </w:p>
    <w:p>
      <w:pPr>
        <w:spacing w:after="0" w:line="79" w:lineRule="exact"/>
        <w:rPr>
          <w:sz w:val="20"/>
          <w:szCs w:val="20"/>
          <w:color w:val="auto"/>
        </w:rPr>
      </w:pPr>
    </w:p>
    <w:p>
      <w:pPr>
        <w:ind w:left="2220" w:right="399" w:hanging="334"/>
        <w:spacing w:after="0" w:line="300" w:lineRule="auto"/>
        <w:tabs>
          <w:tab w:leader="none" w:pos="22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 our board of directors, without a vote or other action by our shareholders, to cause the issuance of preferred stock in one or more series and, with respect to each series, to fix the number of shares constituting that series and to establish the rights, preferences, privileges and restrictions of that series, which may include, among other things, dividend and liquidation rights and preferences, rights to convert such shares into common stock, voting rights and other rights which may dilute or otherwise adversely affect the voting or other rights and the economic interests of holders of our common stock or one or more other series of our preferred stock, if any, then outstanding;</w:t>
      </w:r>
    </w:p>
    <w:p>
      <w:pPr>
        <w:spacing w:after="0" w:line="46" w:lineRule="exact"/>
        <w:rPr>
          <w:rFonts w:ascii="Times New Roman" w:cs="Times New Roman" w:eastAsia="Times New Roman" w:hAnsi="Times New Roman"/>
          <w:sz w:val="12"/>
          <w:szCs w:val="12"/>
          <w:color w:val="auto"/>
        </w:rPr>
      </w:pPr>
    </w:p>
    <w:p>
      <w:pPr>
        <w:ind w:left="2220" w:right="599" w:hanging="334"/>
        <w:spacing w:after="0" w:line="264" w:lineRule="auto"/>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and procedures for shareholders to submit nominations of candidates for election to our board of directors and to propose other business to be brought before a shareholders’ meeting;</w:t>
      </w:r>
    </w:p>
    <w:p>
      <w:pPr>
        <w:spacing w:after="0" w:line="6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vacancies in our board of directors, including vacancies created by the removal of any director, may be filled by a majority of the directors then in office or by a sole remaining director;</w:t>
      </w:r>
    </w:p>
    <w:p>
      <w:pPr>
        <w:spacing w:after="0" w:line="64" w:lineRule="exact"/>
        <w:rPr>
          <w:rFonts w:ascii="Times New Roman" w:cs="Times New Roman" w:eastAsia="Times New Roman" w:hAnsi="Times New Roman"/>
          <w:sz w:val="14"/>
          <w:szCs w:val="14"/>
          <w:color w:val="auto"/>
        </w:rPr>
      </w:pPr>
    </w:p>
    <w:p>
      <w:pPr>
        <w:ind w:left="2220" w:right="439" w:hanging="334"/>
        <w:spacing w:after="0" w:line="264" w:lineRule="auto"/>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no shareholder may cumulate votes in the election of directors, which means that the holders of a majority of our outstanding shares of common stock can elect all directors standing for election by our common shareholders;</w:t>
      </w:r>
    </w:p>
    <w:p>
      <w:pPr>
        <w:spacing w:after="0" w:line="64" w:lineRule="exact"/>
        <w:rPr>
          <w:rFonts w:ascii="Times New Roman" w:cs="Times New Roman" w:eastAsia="Times New Roman" w:hAnsi="Times New Roman"/>
          <w:sz w:val="14"/>
          <w:szCs w:val="14"/>
          <w:color w:val="auto"/>
        </w:rPr>
      </w:pPr>
    </w:p>
    <w:p>
      <w:pPr>
        <w:ind w:left="2220" w:right="379" w:hanging="334"/>
        <w:spacing w:after="0" w:line="254" w:lineRule="auto"/>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our shareholders must be taken either (i) at a duly called annual or special meeting of shareholders or (ii) by the unanimous written consent of all of our shareholders, unless our board of directors, by resolution adopted by two-thirds of the authorized number of directors, waives the foregoing provision in any particular circumstance; and</w:t>
      </w:r>
    </w:p>
    <w:p>
      <w:pPr>
        <w:spacing w:after="0" w:line="70" w:lineRule="exact"/>
        <w:rPr>
          <w:rFonts w:ascii="Times New Roman" w:cs="Times New Roman" w:eastAsia="Times New Roman" w:hAnsi="Times New Roman"/>
          <w:sz w:val="14"/>
          <w:szCs w:val="14"/>
          <w:color w:val="auto"/>
        </w:rPr>
      </w:pPr>
    </w:p>
    <w:p>
      <w:pPr>
        <w:ind w:left="2220" w:right="519" w:hanging="334"/>
        <w:spacing w:after="0" w:line="264" w:lineRule="auto"/>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action by shareholders holding not less than 1/10th of the voting power of our capital stock in order for our shareholders to call a special meeting of shareholders.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Indemnification of Directors and Officers</w:t>
      </w:r>
    </w:p>
    <w:p>
      <w:pPr>
        <w:spacing w:after="0" w:line="88"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Our restated articles of incorporation provide that the liability of our directors for monetary damages shall be eliminated to the fullest extent permissible under California law. Section 317 of the Corporations Code of the State of California permits a corporation to provide indemnification to its directors, officers and agents under certain circumstances. Our bylaws provide for mandatory indemnification of our directors and officers, subject to the limitations set forth therein. In addition, our restated articles of incorporation provide us with the power, by bylaw, agreement or otherwise, to provide indemnification of our directors, officers and other agents to the fullest extent permissible under California law and, subject to certain limitations, in excess of the indemnification expressly permitted under Section 317 of the Corporations Code of the State of California. We believe that this limitation of liability and these indemnification provisions are useful to attract and retain qualified directors and officers.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Listing of our Common Stock</w:t>
      </w:r>
    </w:p>
    <w:p>
      <w:pPr>
        <w:spacing w:after="0" w:line="88"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trading symbol “SRE”.</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Registrar and Transfer Agent</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The registrar and transfer agent for our common stock is Computershare Trust Company, N.A..</w:t>
      </w:r>
    </w:p>
    <w:p>
      <w:pPr>
        <w:spacing w:after="0" w:line="1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68" w:lineRule="exact"/>
        <w:rPr>
          <w:sz w:val="20"/>
          <w:szCs w:val="20"/>
          <w:color w:val="auto"/>
        </w:rPr>
      </w:pPr>
    </w:p>
    <w:p>
      <w:pPr>
        <w:ind w:left="1480" w:right="459" w:firstLine="333"/>
        <w:spacing w:after="0" w:line="293" w:lineRule="auto"/>
        <w:rPr>
          <w:sz w:val="20"/>
          <w:szCs w:val="20"/>
          <w:color w:val="auto"/>
        </w:rPr>
      </w:pPr>
      <w:r>
        <w:rPr>
          <w:rFonts w:ascii="Times New Roman" w:cs="Times New Roman" w:eastAsia="Times New Roman" w:hAnsi="Times New Roman"/>
          <w:sz w:val="12"/>
          <w:szCs w:val="12"/>
          <w:i w:val="1"/>
          <w:iCs w:val="1"/>
          <w:color w:val="auto"/>
        </w:rPr>
        <w:t>The following is a general description of some of the terms and provisions of the debt securities we may offer and sell under this prospectus. To the extent the terms and provisions of any series of debt securities modify the general terms and provisions described below, such modifications will be described in a prospectus supplement or free writing prospectus relating to such series. The debt securities may be issued as senior debt securities or subordinated debt securities (which may include junior subordinated debt securities, senior subordinated debt securities and subordinated debt securities of any other relative ranking). Under this heading “Description of Debt Securities,” references to “senior indenture” mean the indenture dated as of February 23, 2000 between us and U.S. Bank Trust Company, National Association, as successor trustee; references to “subordinated indenture” mean the subordinated indenture dated as of June 26, 2019 between us and U.S. Bank Trust Company, National Association, as successor trustee; references to “indentures” or “indenture” mean the senior indenture and/or the subordinated indenture; and references to “Sempra,” “we,” “us,” “our” and similar terms mean, unless otherwise specified or the context otherwise requires, Sempra excluding its consolidated entities.</w:t>
      </w:r>
    </w:p>
    <w:p>
      <w:pPr>
        <w:spacing w:after="0" w:line="288"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The senior debt securities will be governed by the senior indenture and the subordinated debt securities will be governed by the subordinated indenture. Each indenture gives us broad authority to set the particular terms of each series of debt securities, including the right to modify certain of the terms contained in the indenture. The particular terms of a series of debt securities and the extent, if any, to which the particular terms of the series modify the terms of the applicable indenture will be described in the applicable prospectus supplement, or a free writing prospectus, relating to such series of debt securities.</w:t>
      </w:r>
    </w:p>
    <w:p>
      <w:pPr>
        <w:spacing w:after="0" w:line="149"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Each indenture contains the full legal text of the matters described under this heading “Description of Debt Securities.” The following description of certain provisions of the indentures and our debt securities is not complete and is subject to and qualified in its entirety by reference to all the provisions of the applicable indenture, including definitions of terms used in such indenture, and the certificates evidencing the debt securities of each series, copies of which have been or will be filed or incorporated by reference as exhibits to the registration statement of which this prospectus is a part or to a document incorporated by reference in this prospectus and which may be obtained as described under the heading “Where You Can Find More Information.” We also include references in parentheses to particular sections of the applicable indenture. Whenever we refer to particular sections or defined terms of the indentures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debt securities described in the applicable prospectus supplement or free writing prospectus related to any offering of such series of debt securities.</w:t>
      </w: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419" w:firstLine="333"/>
        <w:spacing w:after="0" w:line="293" w:lineRule="auto"/>
        <w:rPr>
          <w:sz w:val="20"/>
          <w:szCs w:val="20"/>
          <w:color w:val="auto"/>
        </w:rPr>
      </w:pPr>
      <w:r>
        <w:rPr>
          <w:rFonts w:ascii="Times New Roman" w:cs="Times New Roman" w:eastAsia="Times New Roman" w:hAnsi="Times New Roman"/>
          <w:sz w:val="12"/>
          <w:szCs w:val="12"/>
          <w:color w:val="auto"/>
        </w:rPr>
        <w:t>We may issue an unlimited amount of debt securities under the indentures in one or more series. We are not required to issue all debt securities of one series at the same time and, unless otherwise provided for a particular series of debt securities in the applicable prospectus supplement or a free writing prospectus, We may, without notice to or consent of the holders of the debt securities of any series, increase the aggregate principal amount of the debt securities of any series and issue additional debt securities of such series up to the maximum aggregate principal amount authorized with respect to such series as increased from time to time. Any additional debt securities so issued shall have the same form and terms (other than offering price, the date of issuance and, under certain circumstances, the date from which interest thereon shall begin to accrue and the first interest payment date) and shall carry the same right to receive accrued and unpaid interest as the debt securities previously issued, and such additional debt securities shall form a single series with the debt securities previously issued under the applicable indenture, provided that such additional debt securities of such series shall be fungible with the debt securities of such series previously issued for United States federal income tax purposes.</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739" w:firstLine="333"/>
        <w:spacing w:after="0" w:line="264" w:lineRule="auto"/>
        <w:rPr>
          <w:sz w:val="20"/>
          <w:szCs w:val="20"/>
          <w:color w:val="auto"/>
        </w:rPr>
      </w:pPr>
      <w:r>
        <w:rPr>
          <w:rFonts w:ascii="Times New Roman" w:cs="Times New Roman" w:eastAsia="Times New Roman" w:hAnsi="Times New Roman"/>
          <w:sz w:val="14"/>
          <w:szCs w:val="14"/>
          <w:color w:val="auto"/>
        </w:rPr>
        <w:t>Unless otherwise provided in a prospectus supplement or free writing prospectus, our debt securities will not be subject to a sinking fund or entitled to any guarantees and you will not be permitted to require us to redeem or repurchase the debt securities at your option.</w:t>
      </w:r>
    </w:p>
    <w:p>
      <w:pPr>
        <w:spacing w:after="0" w:line="136" w:lineRule="exact"/>
        <w:rPr>
          <w:sz w:val="20"/>
          <w:szCs w:val="20"/>
          <w:color w:val="auto"/>
        </w:rPr>
      </w:pPr>
    </w:p>
    <w:p>
      <w:pPr>
        <w:ind w:left="1480" w:right="439" w:firstLine="333"/>
        <w:spacing w:after="0" w:line="264" w:lineRule="auto"/>
        <w:rPr>
          <w:sz w:val="20"/>
          <w:szCs w:val="20"/>
          <w:color w:val="auto"/>
        </w:rPr>
      </w:pPr>
      <w:r>
        <w:rPr>
          <w:rFonts w:ascii="Times New Roman" w:cs="Times New Roman" w:eastAsia="Times New Roman" w:hAnsi="Times New Roman"/>
          <w:sz w:val="14"/>
          <w:szCs w:val="14"/>
          <w:color w:val="auto"/>
        </w:rPr>
        <w:t>Unless otherwise provided in a prospectus supplement or free writing prospectus, the applicable trustee shall serve as the initial paying agent and security registrar for our debt securities.</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debt securities will be our unsecured obligations.</w:t>
      </w:r>
    </w:p>
    <w:p>
      <w:pPr>
        <w:spacing w:after="0" w:line="166" w:lineRule="exact"/>
        <w:rPr>
          <w:sz w:val="20"/>
          <w:szCs w:val="20"/>
          <w:color w:val="auto"/>
        </w:rPr>
      </w:pPr>
    </w:p>
    <w:p>
      <w:pPr>
        <w:ind w:left="1480" w:right="459" w:firstLine="333"/>
        <w:spacing w:after="0" w:line="254" w:lineRule="auto"/>
        <w:rPr>
          <w:sz w:val="20"/>
          <w:szCs w:val="20"/>
          <w:color w:val="auto"/>
        </w:rPr>
      </w:pPr>
      <w:r>
        <w:rPr>
          <w:rFonts w:ascii="Times New Roman" w:cs="Times New Roman" w:eastAsia="Times New Roman" w:hAnsi="Times New Roman"/>
          <w:sz w:val="14"/>
          <w:szCs w:val="14"/>
          <w:color w:val="auto"/>
        </w:rPr>
        <w:t>Prior to the issuance of each series of debt securities, the terms of the particular series of debt securities will be specified in either a supplemental indenture or a board resolution and one or more officers’ certificates. We refer you to the applicable prospectus supplement or free writing prospectus for a description of the following terms of each series of debt securities:</w:t>
      </w:r>
    </w:p>
    <w:p>
      <w:pPr>
        <w:spacing w:after="0" w:line="71" w:lineRule="exact"/>
        <w:rPr>
          <w:sz w:val="20"/>
          <w:szCs w:val="20"/>
          <w:color w:val="auto"/>
        </w:rPr>
      </w:pPr>
    </w:p>
    <w:p>
      <w:pPr>
        <w:ind w:left="2220" w:hanging="334"/>
        <w:spacing w:after="0"/>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debt securities;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shall be payable, if other than the person in whose name that security is registered;</w:t>
      </w:r>
    </w:p>
    <w:p>
      <w:pPr>
        <w:spacing w:after="0" w:line="94" w:lineRule="exact"/>
        <w:rPr>
          <w:rFonts w:ascii="Times New Roman" w:cs="Times New Roman" w:eastAsia="Times New Roman" w:hAnsi="Times New Roman"/>
          <w:sz w:val="14"/>
          <w:szCs w:val="14"/>
          <w:color w:val="auto"/>
        </w:rPr>
      </w:pPr>
    </w:p>
    <w:p>
      <w:pPr>
        <w:ind w:left="2220" w:right="539" w:hanging="334"/>
        <w:spacing w:after="0" w:line="26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is payable or the method of determining such date and any right to shorten or extend the date on which the principal is payable and the conditions to any such change;</w:t>
      </w:r>
    </w:p>
    <w:p>
      <w:pPr>
        <w:spacing w:after="0" w:line="64" w:lineRule="exact"/>
        <w:rPr>
          <w:rFonts w:ascii="Times New Roman" w:cs="Times New Roman" w:eastAsia="Times New Roman" w:hAnsi="Times New Roman"/>
          <w:sz w:val="14"/>
          <w:szCs w:val="14"/>
          <w:color w:val="auto"/>
        </w:rPr>
      </w:pPr>
    </w:p>
    <w:p>
      <w:pPr>
        <w:ind w:left="2220" w:right="359" w:hanging="334"/>
        <w:spacing w:after="0" w:line="25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or method of determination of interest; the date or dates from which interest will accrue; the dates on which interest will be payable, which we refer to as the “interest payment dates”; the manner (if any) of determination of such interest payment dates; and any record dates for the interest payable on the interest payment dates;</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 to extend the interest payment periods or defer the payment of interest and the terms of such extension or deferral;</w:t>
      </w:r>
    </w:p>
    <w:p>
      <w:pPr>
        <w:spacing w:after="0" w:line="94" w:lineRule="exact"/>
        <w:rPr>
          <w:rFonts w:ascii="Times New Roman" w:cs="Times New Roman" w:eastAsia="Times New Roman" w:hAnsi="Times New Roman"/>
          <w:sz w:val="14"/>
          <w:szCs w:val="14"/>
          <w:color w:val="auto"/>
        </w:rPr>
      </w:pPr>
    </w:p>
    <w:p>
      <w:pPr>
        <w:ind w:left="2220" w:right="399" w:hanging="334"/>
        <w:spacing w:after="0" w:line="26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any premium and interest on the debt securities will be payable and whether, if acceptable to the trustee, any principal of such debt securities will be payable without presentation or surrender thereof;</w:t>
      </w:r>
    </w:p>
    <w:p>
      <w:pPr>
        <w:spacing w:after="0" w:line="64" w:lineRule="exact"/>
        <w:rPr>
          <w:rFonts w:ascii="Times New Roman" w:cs="Times New Roman" w:eastAsia="Times New Roman" w:hAnsi="Times New Roman"/>
          <w:sz w:val="14"/>
          <w:szCs w:val="14"/>
          <w:color w:val="auto"/>
        </w:rPr>
      </w:pPr>
    </w:p>
    <w:p>
      <w:pPr>
        <w:ind w:left="2220" w:right="419" w:hanging="334"/>
        <w:spacing w:after="0" w:line="25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or the date or dates on which, the price or prices at which and the terms and conditions upon which Sempra may redeem the debt securities, in whole or in part, and the manner in which any election by Sempra to redeem the debt securities shall be evidenced;</w:t>
      </w:r>
    </w:p>
    <w:p>
      <w:pPr>
        <w:spacing w:after="0" w:line="70" w:lineRule="exact"/>
        <w:rPr>
          <w:rFonts w:ascii="Times New Roman" w:cs="Times New Roman" w:eastAsia="Times New Roman" w:hAnsi="Times New Roman"/>
          <w:sz w:val="14"/>
          <w:szCs w:val="14"/>
          <w:color w:val="auto"/>
        </w:rPr>
      </w:pPr>
    </w:p>
    <w:p>
      <w:pPr>
        <w:ind w:left="2220" w:right="499" w:hanging="334"/>
        <w:spacing w:after="0" w:line="25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debt securities pursuant to any sinking fund, purchase fund or analogous provision, or any option of the registered holder to require us to redeem or purchase debt securities, and the terms and conditions upon which the debt securities will be redeemed or purchased, in whole or in part, pursuant to such obligation;</w:t>
      </w:r>
    </w:p>
    <w:p>
      <w:pPr>
        <w:spacing w:after="0" w:line="70" w:lineRule="exact"/>
        <w:rPr>
          <w:rFonts w:ascii="Times New Roman" w:cs="Times New Roman" w:eastAsia="Times New Roman" w:hAnsi="Times New Roman"/>
          <w:sz w:val="14"/>
          <w:szCs w:val="14"/>
          <w:color w:val="auto"/>
        </w:rPr>
      </w:pPr>
    </w:p>
    <w:p>
      <w:pPr>
        <w:jc w:val="both"/>
        <w:ind w:left="2220" w:right="479" w:hanging="334"/>
        <w:spacing w:after="0" w:line="25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issuable (if, for senior debt securities, other than denominations of $1,000 and any integral multiples thereof, or for subordinated debt securities, other than denominations of $2,000 and any integral multiples of $1,000 in excess thereof);</w:t>
      </w:r>
    </w:p>
    <w:p>
      <w:pPr>
        <w:spacing w:after="0" w:line="70" w:lineRule="exact"/>
        <w:rPr>
          <w:rFonts w:ascii="Times New Roman" w:cs="Times New Roman" w:eastAsia="Times New Roman" w:hAnsi="Times New Roman"/>
          <w:sz w:val="14"/>
          <w:szCs w:val="14"/>
          <w:color w:val="auto"/>
        </w:rPr>
      </w:pPr>
    </w:p>
    <w:p>
      <w:pPr>
        <w:ind w:left="2220" w:right="379" w:hanging="334"/>
        <w:spacing w:after="0" w:line="26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principal of or any premium or interest on any debt securities may be determined with reference to an index or pursuant to a formula and the manner in which such amounts will be determined;</w:t>
      </w:r>
    </w:p>
    <w:p>
      <w:pPr>
        <w:spacing w:after="0" w:line="64" w:lineRule="exact"/>
        <w:rPr>
          <w:rFonts w:ascii="Times New Roman" w:cs="Times New Roman" w:eastAsia="Times New Roman" w:hAnsi="Times New Roman"/>
          <w:sz w:val="14"/>
          <w:szCs w:val="14"/>
          <w:color w:val="auto"/>
        </w:rPr>
      </w:pPr>
    </w:p>
    <w:p>
      <w:pPr>
        <w:ind w:left="2220" w:right="559" w:hanging="334"/>
        <w:spacing w:after="0" w:line="26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principal of and any premium or interest on the debt securities will be payable, if other than United States dollars, and the manner of determining the equivalent thereof in United States dollars;</w:t>
      </w:r>
    </w:p>
    <w:p>
      <w:pPr>
        <w:spacing w:after="0" w:line="6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our election or the election of the registered holder, the payments of principal of or any premium or interest on the debt securities will be payable in one or more currencies or currency units other than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359"/>
        <w:spacing w:after="0" w:line="264" w:lineRule="auto"/>
        <w:rPr>
          <w:sz w:val="20"/>
          <w:szCs w:val="20"/>
          <w:color w:val="auto"/>
        </w:rPr>
      </w:pPr>
      <w:r>
        <w:rPr>
          <w:rFonts w:ascii="Times New Roman" w:cs="Times New Roman" w:eastAsia="Times New Roman" w:hAnsi="Times New Roman"/>
          <w:sz w:val="14"/>
          <w:szCs w:val="14"/>
          <w:color w:val="auto"/>
        </w:rPr>
        <w:t>those in which the debt securities are stated to be payable, the terms and conditions upon which such election is to be made and the manner in which such amounts shall be determined;</w:t>
      </w:r>
    </w:p>
    <w:p>
      <w:pPr>
        <w:spacing w:after="0" w:line="65" w:lineRule="exact"/>
        <w:rPr>
          <w:sz w:val="20"/>
          <w:szCs w:val="20"/>
          <w:color w:val="auto"/>
        </w:rPr>
      </w:pPr>
    </w:p>
    <w:p>
      <w:pPr>
        <w:ind w:left="2220" w:right="419" w:hanging="334"/>
        <w:spacing w:after="0" w:line="264"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of the debt securities that will be payable upon declaration of acceleration of the maturity date, if other than the entire principal amount;</w:t>
      </w:r>
    </w:p>
    <w:p>
      <w:pPr>
        <w:spacing w:after="0" w:line="64" w:lineRule="exact"/>
        <w:rPr>
          <w:rFonts w:ascii="Times New Roman" w:cs="Times New Roman" w:eastAsia="Times New Roman" w:hAnsi="Times New Roman"/>
          <w:sz w:val="14"/>
          <w:szCs w:val="14"/>
          <w:color w:val="auto"/>
        </w:rPr>
      </w:pPr>
    </w:p>
    <w:p>
      <w:pPr>
        <w:ind w:left="2220" w:right="399" w:hanging="334"/>
        <w:spacing w:after="0" w:line="254"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which will be deemed to be the principal amount of the debt securities as of any date or dates before the stated maturity date, if the principal amount will not be determinable as of any such date or dates prior to the stated maturity date, including the principal amount which will be due and payable or outstanding as of any such date;</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sections of the indenture providing for defeasance do not apply to the debt securities;</w:t>
      </w:r>
    </w:p>
    <w:p>
      <w:pPr>
        <w:spacing w:after="0" w:line="94" w:lineRule="exact"/>
        <w:rPr>
          <w:rFonts w:ascii="Times New Roman" w:cs="Times New Roman" w:eastAsia="Times New Roman" w:hAnsi="Times New Roman"/>
          <w:sz w:val="14"/>
          <w:szCs w:val="14"/>
          <w:color w:val="auto"/>
        </w:rPr>
      </w:pPr>
    </w:p>
    <w:p>
      <w:pPr>
        <w:ind w:left="2220" w:right="479" w:hanging="334"/>
        <w:spacing w:after="0" w:line="264"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that the debt securities are to be issued in whole or in part in the form of one or more global securities and, in such case, the identity of the depositary for the global securities;</w:t>
      </w:r>
    </w:p>
    <w:p>
      <w:pPr>
        <w:spacing w:after="0" w:line="64" w:lineRule="exact"/>
        <w:rPr>
          <w:rFonts w:ascii="Times New Roman" w:cs="Times New Roman" w:eastAsia="Times New Roman" w:hAnsi="Times New Roman"/>
          <w:sz w:val="14"/>
          <w:szCs w:val="14"/>
          <w:color w:val="auto"/>
        </w:rPr>
      </w:pPr>
    </w:p>
    <w:p>
      <w:pPr>
        <w:ind w:left="2220" w:right="619" w:hanging="334"/>
        <w:spacing w:after="0" w:line="264"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modification or deletion of any events of default or covenants provided in the applicable indenture and any change in the acceleration provisions;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set forth in the indenture;</w:t>
      </w:r>
    </w:p>
    <w:p>
      <w:pPr>
        <w:spacing w:after="0" w:line="94" w:lineRule="exact"/>
        <w:rPr>
          <w:rFonts w:ascii="Times New Roman" w:cs="Times New Roman" w:eastAsia="Times New Roman" w:hAnsi="Times New Roman"/>
          <w:sz w:val="14"/>
          <w:szCs w:val="14"/>
          <w:color w:val="auto"/>
        </w:rPr>
      </w:pPr>
    </w:p>
    <w:p>
      <w:pPr>
        <w:ind w:left="2220" w:right="479" w:hanging="334"/>
        <w:spacing w:after="0" w:line="248"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subordinated debt securities, the definition of “Senior Indebtedness” and the subordination provisions applicable thereto (if other than those described below under “—Subordination”) or, if the definition of “Senior Indebtedness” or the subordination provisions described below under “—Subordination” shall be applicable to the subordinated debt securities of such series, any additions to, modifications of or deletions from the definition of “Senior Indebtedness” and the subordination provisions described below under “— Subordination” with respect to the subordinated debt securities of such series; and</w:t>
      </w:r>
    </w:p>
    <w:p>
      <w:pPr>
        <w:spacing w:after="0" w:line="77"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including, if the debt securities are subordinated debt securities, any other additions to, modifications of or deletions from the subordinated indenture with respect to the subordinated debt securities.</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Section 301.)</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88" w:lineRule="exact"/>
        <w:rPr>
          <w:sz w:val="20"/>
          <w:szCs w:val="20"/>
          <w:color w:val="auto"/>
        </w:rPr>
      </w:pPr>
    </w:p>
    <w:p>
      <w:pPr>
        <w:ind w:left="1480" w:right="379" w:firstLine="333"/>
        <w:spacing w:after="0" w:line="289" w:lineRule="auto"/>
        <w:rPr>
          <w:sz w:val="20"/>
          <w:szCs w:val="20"/>
          <w:color w:val="auto"/>
        </w:rPr>
      </w:pPr>
      <w:r>
        <w:rPr>
          <w:rFonts w:ascii="Times New Roman" w:cs="Times New Roman" w:eastAsia="Times New Roman" w:hAnsi="Times New Roman"/>
          <w:sz w:val="12"/>
          <w:szCs w:val="12"/>
          <w:color w:val="auto"/>
        </w:rPr>
        <w:t>The senior debt securities will be our unsecured and unsubordinated obligations. The indebtedness represented by the senior debt securities will rank equally in right of payment with all of our other unsecured and unsubordinated indebtedness. The indebtedness represented by the subordinated debt securities will rank junior and subordinate in right of payment to the prior payment in full of our existing and future Senior Indebtedness (as defined with respect to each series of subordinated debt securities), to the extent and in the manner set forth below under “—Subordination” or as may be set forth in the applicable prospectus supplement or free writing prospectus. In addition, the subordinated debt securities will be effectively subordinated in right of payment to any secured indebtedness we may have or may incur (to the extent of the value of the collateral securing such secured indebtedness). The term “Senior Indebtedness,” when used with respect to the subordinated debt securities of any series, has the meaning set forth below under “—Subordination” unless a different definition shall be set forth in the applicable prospectus supplement or a free writing prospectus relating to the subordinated debt securities of such series. The debt securities are the obligations of Sempra exclusively, and are not the obligations of any of our consolidated entities, equity method investees or other affiliates. Because we are a holding company and substantially all the assets that produce our earnings are owned by our consolidated subsidiaries or our equity method investees, which are entities we do not control, the debt securities will be effectively subordinated to all existing and future indebtedness and other liabilities and any preferred equity of our subsidiaries. In addition, to secure the trustee’s right to compensation, reimbursement and indemnity, the senior indenture and the subordinated indenture each create a first priority lien prior to the debt securities on all property and funds held by the trustee other than funds held in trust for the benefit of debt security holders.</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Holding Company Structure</w:t>
      </w:r>
    </w:p>
    <w:p>
      <w:pPr>
        <w:spacing w:after="0" w:line="88"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We are a holding company and substantially all the assets that produce our earnings are owned by our consolidated subsidiaries or our equity method investees, which are entities we do not control. Our ability to meet our obligations under our debt securities largely depends on distributions from our subsidiaries and equity method investees, which in turn depend on their ability to execute their business strategies and generate cash flows in excess of their own expenditures, dividend payments to third-party owners (if any) and debt and other obligations. Our subsidiaries and equity method investees are all separate and distinct legal entities that are not obligated to pay dividends or make loans or distributions to us and could be precluded from doing so by legislation, regulation or contractual restrictions, in times of financial distress or in other circumstances, and they have no obligation to pay any amounts due on our debt securities or to make any funds available for payment of amounts due on our debt securities.</w:t>
      </w:r>
    </w:p>
    <w:p>
      <w:pPr>
        <w:spacing w:after="0" w:line="147"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Because we are a holding company, our obligations under the debt securities will be structurally subordinated to all existing and future indebtedness and other liabilities and any preferred equity of our subsidiaries. Therefore, our rights and the rights of our creditors, including the rights of the holders of our debt securities, to participate in the assets of any subsidiary upon the liquidation or reorganization of the subsidiary will be subject to the prior claims of the subsidiary’s creditors. To the extent that we may ourselves be a creditor with recognized claims against any of our subsidiaries, our claims would still be effectively subordinated to any security interest in, or mortgages or other liens on, the assets of the subsidiary and would be subordinated to any indebtedness or other liabilities of the subsidiary that are senior to our claims. We expect to incur, and expect that our subsidiaries will incur, substantial additional amounts of indebtedness.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Payment of Debt Securities</w:t>
      </w:r>
    </w:p>
    <w:p>
      <w:pPr>
        <w:spacing w:after="0" w:line="88" w:lineRule="exact"/>
        <w:rPr>
          <w:sz w:val="20"/>
          <w:szCs w:val="20"/>
          <w:color w:val="auto"/>
        </w:rPr>
      </w:pPr>
    </w:p>
    <w:p>
      <w:pPr>
        <w:ind w:left="1480" w:right="559" w:firstLine="333"/>
        <w:spacing w:after="0" w:line="264" w:lineRule="auto"/>
        <w:rPr>
          <w:sz w:val="20"/>
          <w:szCs w:val="20"/>
          <w:color w:val="auto"/>
        </w:rPr>
      </w:pPr>
      <w:r>
        <w:rPr>
          <w:rFonts w:ascii="Times New Roman" w:cs="Times New Roman" w:eastAsia="Times New Roman" w:hAnsi="Times New Roman"/>
          <w:sz w:val="14"/>
          <w:szCs w:val="14"/>
          <w:color w:val="auto"/>
        </w:rPr>
        <w:t>We will pay interest on the debt securities on each interest payment date to the person in whose name the debt securities are registered as of the close of business on the regular record date relating to the interest payment date.</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However, if we default in paying interest on a debt security, we will pay defaulted interest, at our election, in either of the two following ways:</w:t>
      </w:r>
    </w:p>
    <w:p>
      <w:pPr>
        <w:spacing w:after="0" w:line="117" w:lineRule="exact"/>
        <w:rPr>
          <w:sz w:val="20"/>
          <w:szCs w:val="20"/>
          <w:color w:val="auto"/>
        </w:rPr>
      </w:pPr>
    </w:p>
    <w:p>
      <w:pPr>
        <w:ind w:left="2220" w:right="359" w:hanging="334"/>
        <w:spacing w:after="0" w:line="247" w:lineRule="auto"/>
        <w:tabs>
          <w:tab w:leader="none" w:pos="2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first propose to the trustee a payment date for the defaulted interest, and at the same time we will deposit with the trustee an amount to be paid in respect of the defaulted interest or make arrangements satisfactory to the trustee for such deposit before the date of the proposed payment. Next, the trustee will choose a special record date for determining which registered holders are entitled to the payment and cause notice to be given to each registered holder of the debt securities at least 10 days before the special record date. The special record date will be between 10 and 15 days before the proposed payment date. Finally, the defaulted interest will be paid on the payment date to the registered holder of the debt security as of the close of business on the special record date.</w:t>
      </w:r>
    </w:p>
    <w:p>
      <w:pPr>
        <w:spacing w:after="0" w:line="78" w:lineRule="exact"/>
        <w:rPr>
          <w:rFonts w:ascii="Times New Roman" w:cs="Times New Roman" w:eastAsia="Times New Roman" w:hAnsi="Times New Roman"/>
          <w:sz w:val="14"/>
          <w:szCs w:val="14"/>
          <w:color w:val="auto"/>
        </w:rPr>
      </w:pPr>
    </w:p>
    <w:p>
      <w:pPr>
        <w:ind w:left="2220" w:right="659" w:hanging="334"/>
        <w:spacing w:after="0" w:line="254" w:lineRule="auto"/>
        <w:tabs>
          <w:tab w:leader="none" w:pos="2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Alternatively, we can propose to the trustee any other lawful manner of payment that is not inconsistent with the requirements of any securities exchange on which the debt securities are listed for trading. If the trustee thinks the proposal is practicable, payment will be made as proposed.</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Section 307.)</w:t>
      </w:r>
    </w:p>
    <w:p>
      <w:pPr>
        <w:spacing w:after="0" w:line="166"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We will pay principal of and any premium on the debt securities at stated maturity, upon redemption or as otherwise required, upon presentation of the debt securities at the office of the paying agent, which initially will be the trustee or such other paying agent designated in accordance with the applicable indenture. Any other paying agent initially designated for the debt securities of a particular series will be named in the applicable prospectus supplement or free writing prospectus. In our discretion, we may remove and/or appoint one or more additional paying agents and change or designate one or more additional places for payment. A place for</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payment of the debt securities will be provided in the Borough of Manhattan, The City of New York, New York. (See Section 1002.)</w:t>
      </w:r>
    </w:p>
    <w:p>
      <w:pPr>
        <w:spacing w:after="0" w:line="166" w:lineRule="exact"/>
        <w:rPr>
          <w:sz w:val="20"/>
          <w:szCs w:val="20"/>
          <w:color w:val="auto"/>
        </w:rPr>
      </w:pPr>
    </w:p>
    <w:p>
      <w:pPr>
        <w:ind w:left="1480" w:right="439" w:firstLine="333"/>
        <w:spacing w:after="0" w:line="250" w:lineRule="auto"/>
        <w:rPr>
          <w:sz w:val="20"/>
          <w:szCs w:val="20"/>
          <w:color w:val="auto"/>
        </w:rPr>
      </w:pPr>
      <w:r>
        <w:rPr>
          <w:rFonts w:ascii="Times New Roman" w:cs="Times New Roman" w:eastAsia="Times New Roman" w:hAnsi="Times New Roman"/>
          <w:sz w:val="14"/>
          <w:szCs w:val="14"/>
          <w:color w:val="auto"/>
        </w:rPr>
        <w:t>If any interest payment date, redemption date or the maturity date of the debt securities is not a business day at any place of payment, then payment of the principal and premium, if any, or interest, as applicable, may be made on the next business day at that place of payment. In that case, no interest will accrue on the amount payable for the period from and after the applicable interest payment date, redemption date or maturity date, as the case may be (See Section 113.)</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Form; Transfers; Exchanges</w:t>
      </w:r>
    </w:p>
    <w:p>
      <w:pPr>
        <w:spacing w:after="0" w:line="88"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The debt securities initially will be issued in book-entry form and represented by one or more global securities deposited with, or on behalf of, The Depository Trust Company, New York, New York, as depositary, which we refer to as “DTC” or the “depositary” in this prospectus, and registered in the name of Cede &amp; Co., its nominee. This means that you will not be entitled to receive a certificate for the debt securities that you purchase except under the limited circumstances described below under the heading “Global Securities.” If any of the debt securities are issued in certificated form, they will be issued only in fully registered form without coupons, in denominations of, with respect to senior debt securities, $1,000 or integral multiples thereof or, in the case of subordinated debt securities, $2,000 or integral multiples of $1,000 in excess thereof. (See Section 302.)</w:t>
      </w:r>
    </w:p>
    <w:p>
      <w:pPr>
        <w:spacing w:after="0" w:line="119" w:lineRule="exact"/>
        <w:rPr>
          <w:sz w:val="20"/>
          <w:szCs w:val="20"/>
          <w:color w:val="auto"/>
        </w:rPr>
      </w:pPr>
    </w:p>
    <w:p>
      <w:pPr>
        <w:ind w:left="1480" w:right="479" w:firstLine="333"/>
        <w:spacing w:after="0" w:line="248" w:lineRule="auto"/>
        <w:rPr>
          <w:sz w:val="20"/>
          <w:szCs w:val="20"/>
          <w:color w:val="auto"/>
        </w:rPr>
      </w:pPr>
      <w:r>
        <w:rPr>
          <w:rFonts w:ascii="Times New Roman" w:cs="Times New Roman" w:eastAsia="Times New Roman" w:hAnsi="Times New Roman"/>
          <w:sz w:val="14"/>
          <w:szCs w:val="14"/>
          <w:color w:val="auto"/>
        </w:rPr>
        <w:t>You will receive payments and may transfer debt securities in book-entry form only through the facilities of DTC and its direct and indirect participants as described below under the heading “Global Securities.” We will maintain an office or agency in the Borough of Manhattan, The City of New York where notices and demands in respect of the debt securities and the indentures may be delivered to us and where certificated debt securities may be surrendered for payment, registration of transfer or exchange. That office or agency will initially be an office of the trustee, which is currently located at 100 Wall Street, Suite 1600, New York, New York 10005. (See Section 1002).</w:t>
      </w:r>
    </w:p>
    <w:p>
      <w:pPr>
        <w:spacing w:after="0" w:line="149"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You may have your certificated debt securities divided into debt securities of smaller authorized denominations or combined into debt securities of larger authorized denominations, as long as the total principal amount is not changed. This is called an “exchange.” (See Section 305.)</w:t>
      </w:r>
    </w:p>
    <w:p>
      <w:pPr>
        <w:spacing w:after="0" w:line="136" w:lineRule="exact"/>
        <w:rPr>
          <w:sz w:val="20"/>
          <w:szCs w:val="20"/>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You may exchange or transfer certificated debt securities at the office of the trustee, as security registrar. The security registrar acts as our agent for registering debt securities in the names of holders and transferring and exchanging debt securities. (See Section 305.)</w:t>
      </w:r>
    </w:p>
    <w:p>
      <w:pPr>
        <w:spacing w:after="0" w:line="136"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In our discretion, we may change the place for registration of transfer and exchange of the debt securities and for delivery of notices and demands in respect of the debt securities and the applicable indenture and we may remove and/or appoint one or more additional security registrars or act as our own agent for this purpose. (See Sections 305 and 1002.)</w:t>
      </w:r>
    </w:p>
    <w:p>
      <w:pPr>
        <w:spacing w:after="0" w:line="142" w:lineRule="exact"/>
        <w:rPr>
          <w:sz w:val="20"/>
          <w:szCs w:val="20"/>
          <w:color w:val="auto"/>
        </w:rPr>
      </w:pPr>
    </w:p>
    <w:p>
      <w:pPr>
        <w:ind w:left="1480" w:right="479" w:firstLine="333"/>
        <w:spacing w:after="0" w:line="250" w:lineRule="auto"/>
        <w:rPr>
          <w:sz w:val="20"/>
          <w:szCs w:val="20"/>
          <w:color w:val="auto"/>
        </w:rPr>
      </w:pPr>
      <w:r>
        <w:rPr>
          <w:rFonts w:ascii="Times New Roman" w:cs="Times New Roman" w:eastAsia="Times New Roman" w:hAnsi="Times New Roman"/>
          <w:sz w:val="14"/>
          <w:szCs w:val="14"/>
          <w:color w:val="auto"/>
        </w:rPr>
        <w:t>There will be no service charge for any transfer or exchange of the debt securities, but you may be required to pay a sum sufficient to cover any tax or other governmental charge payable in connection with the transfer or exchange. We may block the transfer or exchange of (i) any debt securities during a period of 15 days before mailing any notice of redemption of such senior debt securities or (ii) any debt security selected for redemption in whole or in part, except the unredeemed portion of any debt security being redeemed in part. (See Section 305.)</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88"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The redemption provisions, if any, applicable to the debt securities of any series will be set forth in the applicable prospectus supplement or free writing prospectus.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We will mail notice of any redemption at least 30 days, but not more than 60 days, before the redemption date to each registered holder of the debt securities to be redeemed. Once notice of redemption is mailed, the debt securities called for redemption will become due and payable on the redemption date and at the applicable redemption price, plus any accrued and unpaid interest to the redemption date. If we elect to redeem all or a portion of the debt securities, that redemption will not be conditional upon receipt by the trustee or other paying agent of monies sufficient to pay the redemption price. (See Section 1104.)</w:t>
      </w:r>
    </w:p>
    <w:p>
      <w:pPr>
        <w:spacing w:after="0" w:line="149"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Unless we default in payment of the redemption price and accrued interest, if any, from and after the redemption date the debt securities or portions thereof called for redemption will cease to bear interest. We will pay the redemption price and any accrued interest once the debt securities are surrendered for redemption. (See Section 1105.) If only part of a debt security is redeemed, the trustee will deliver new debt securities of the same series for the remaining portion without charge. (See Section 1106.)</w:t>
      </w:r>
    </w:p>
    <w:p>
      <w:pPr>
        <w:spacing w:after="0" w:line="146"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In the event that we elect to redeem only a portion of the debt securities, the debt securities to be redeemed will be selected in accordance with the procedures of DTC, in the case of debt securities represented by one or more global securities, or by the trustee as set forth in the applicable indenture, in the case of debt securities that are not represented by one or more global securities. (See Section 1103.)</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An “event of default” occurs with respect to the debt securities of any series if:</w:t>
      </w:r>
    </w:p>
    <w:p>
      <w:pPr>
        <w:spacing w:after="0" w:line="94" w:lineRule="exact"/>
        <w:rPr>
          <w:sz w:val="20"/>
          <w:szCs w:val="20"/>
          <w:color w:val="auto"/>
        </w:rPr>
      </w:pPr>
    </w:p>
    <w:p>
      <w:pPr>
        <w:ind w:left="2220" w:right="359" w:hanging="334"/>
        <w:spacing w:after="0" w:line="246"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any interest on any debt securities of such series when it becomes due and payable and such default continues for 30 days (whether or not, if such debt securities are subordinated debt securities, such payment is prohibited by the subordination provisions applicable to such subordinated debt securities); provided, however, that, if we are permitted by the terms of the debt securities of such series to extend or defer the payment of interest on such debt securities and if we have elected such an extension or deferral in accordance with the terms of such debt securities, then a failure to pay interest prior to the end of such extension period or deferral period, as the case may be, shall not constitute an event of default with respect to the debt securities of such series unless we are required, by the terms of the debt securities of such series, to make a payment of interest on a redemption date or other date during such extension or deferral period and fails to make such payment within 30 days of the due date, in which case such failure shall be an event of default with respect to the debt securities of such series;</w:t>
      </w:r>
    </w:p>
    <w:p>
      <w:pPr>
        <w:spacing w:after="0" w:line="77" w:lineRule="exact"/>
        <w:rPr>
          <w:rFonts w:ascii="Times New Roman" w:cs="Times New Roman" w:eastAsia="Times New Roman" w:hAnsi="Times New Roman"/>
          <w:sz w:val="14"/>
          <w:szCs w:val="14"/>
          <w:color w:val="auto"/>
        </w:rPr>
      </w:pPr>
    </w:p>
    <w:p>
      <w:pPr>
        <w:ind w:left="2220" w:right="379" w:hanging="334"/>
        <w:spacing w:after="0" w:line="254"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any principal of or premium on any debt securities of such series at maturity with respect to senior debt securities or when it becomes due and payable in the case of subordinated debt securities (whether or not, if such debt securities are subordinated debt securities, such payment is prohibited by the subordination provisions applicable to such subordinated debt securities);</w:t>
      </w:r>
    </w:p>
    <w:p>
      <w:pPr>
        <w:spacing w:after="0" w:line="70" w:lineRule="exact"/>
        <w:rPr>
          <w:rFonts w:ascii="Times New Roman" w:cs="Times New Roman" w:eastAsia="Times New Roman" w:hAnsi="Times New Roman"/>
          <w:sz w:val="14"/>
          <w:szCs w:val="14"/>
          <w:color w:val="auto"/>
        </w:rPr>
      </w:pPr>
    </w:p>
    <w:p>
      <w:pPr>
        <w:jc w:val="both"/>
        <w:ind w:left="2220" w:right="419" w:hanging="334"/>
        <w:spacing w:after="0" w:line="254"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make a sinking fund payment with respect to any debt securities of such series when and as due and, in the case of subordinated debt securities, such default continues for 60 days (whether or not, if such debt securities are subordinated debt securities, such payment is prohibited by the subordination provisions applicable to such subordinated debt securities);</w:t>
      </w:r>
    </w:p>
    <w:p>
      <w:pPr>
        <w:spacing w:after="0" w:line="70" w:lineRule="exact"/>
        <w:rPr>
          <w:rFonts w:ascii="Times New Roman" w:cs="Times New Roman" w:eastAsia="Times New Roman" w:hAnsi="Times New Roman"/>
          <w:sz w:val="14"/>
          <w:szCs w:val="14"/>
          <w:color w:val="auto"/>
        </w:rPr>
      </w:pPr>
    </w:p>
    <w:p>
      <w:pPr>
        <w:ind w:left="2220" w:right="379" w:hanging="334"/>
        <w:spacing w:after="0" w:line="248"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default in the performance or breach of any other covenant or warranty in the applicable indenture (excluding covenants and warranties solely applicable to one or more other series of debt securities issued under the applicable indenture) or the debt securities of such series for 60 days after there has been given to us, by registered or certified mail, a written notice of default specifying such default or breach and requiring its remedy; the notice must be sent by either the trustee or registered holders of at least 25% in principal amount of the outstanding debt securities of such series;</w:t>
      </w:r>
    </w:p>
    <w:p>
      <w:pPr>
        <w:spacing w:after="0" w:line="77" w:lineRule="exact"/>
        <w:rPr>
          <w:rFonts w:ascii="Times New Roman" w:cs="Times New Roman" w:eastAsia="Times New Roman" w:hAnsi="Times New Roman"/>
          <w:sz w:val="14"/>
          <w:szCs w:val="14"/>
          <w:color w:val="auto"/>
        </w:rPr>
      </w:pPr>
    </w:p>
    <w:p>
      <w:pPr>
        <w:ind w:left="2220" w:right="399" w:hanging="334"/>
        <w:spacing w:after="0" w:line="254"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such series are senior debt securities, a default occurs under any bond, note, debenture or other instrument evidencing any indebtedness for money borrowed by us (including a default with respect to any other series of debt securities issued under the applicable indenture),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2220" w:right="459"/>
        <w:spacing w:after="0" w:line="254" w:lineRule="auto"/>
        <w:rPr>
          <w:sz w:val="20"/>
          <w:szCs w:val="20"/>
          <w:color w:val="auto"/>
        </w:rPr>
      </w:pPr>
      <w:r>
        <w:rPr>
          <w:rFonts w:ascii="Times New Roman" w:cs="Times New Roman" w:eastAsia="Times New Roman" w:hAnsi="Times New Roman"/>
          <w:sz w:val="14"/>
          <w:szCs w:val="14"/>
          <w:color w:val="auto"/>
        </w:rPr>
        <w:t>under any mortgage, indenture or other instrument under which there may be issued or by which there may be secured or evidenced any indebtedness for money borrowed by us (or the payment of which is guaranteed by us), whether such indebtedness or guarantee exists on the date of the applicable indenture or is issued or entered into following the date of the applicable indenture, if:</w:t>
      </w:r>
    </w:p>
    <w:p>
      <w:pPr>
        <w:spacing w:after="0" w:line="71" w:lineRule="exact"/>
        <w:rPr>
          <w:sz w:val="20"/>
          <w:szCs w:val="20"/>
          <w:color w:val="auto"/>
        </w:rPr>
      </w:pPr>
    </w:p>
    <w:p>
      <w:pPr>
        <w:ind w:left="2540" w:hanging="235"/>
        <w:spacing w:after="0"/>
        <w:tabs>
          <w:tab w:leader="none" w:pos="25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4" w:lineRule="exact"/>
        <w:rPr>
          <w:rFonts w:ascii="Times New Roman" w:cs="Times New Roman" w:eastAsia="Times New Roman" w:hAnsi="Times New Roman"/>
          <w:sz w:val="14"/>
          <w:szCs w:val="14"/>
          <w:color w:val="auto"/>
        </w:rPr>
      </w:pPr>
    </w:p>
    <w:p>
      <w:pPr>
        <w:ind w:left="2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default results from the failure to pay any such indebtedness when due; or</w:t>
      </w:r>
    </w:p>
    <w:p>
      <w:pPr>
        <w:spacing w:after="0" w:line="155" w:lineRule="exact"/>
        <w:rPr>
          <w:rFonts w:ascii="Times New Roman" w:cs="Times New Roman" w:eastAsia="Times New Roman" w:hAnsi="Times New Roman"/>
          <w:sz w:val="14"/>
          <w:szCs w:val="14"/>
          <w:color w:val="auto"/>
        </w:rPr>
      </w:pPr>
    </w:p>
    <w:p>
      <w:pPr>
        <w:ind w:left="2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such default the maturity of such indebtedness has been accelerated prior to its expressed maturity; and</w:t>
      </w:r>
    </w:p>
    <w:p>
      <w:pPr>
        <w:spacing w:after="0" w:line="155" w:lineRule="exact"/>
        <w:rPr>
          <w:rFonts w:ascii="Times New Roman" w:cs="Times New Roman" w:eastAsia="Times New Roman" w:hAnsi="Times New Roman"/>
          <w:sz w:val="14"/>
          <w:szCs w:val="14"/>
          <w:color w:val="auto"/>
        </w:rPr>
      </w:pPr>
    </w:p>
    <w:p>
      <w:pPr>
        <w:ind w:left="2540" w:right="379" w:hanging="235"/>
        <w:spacing w:after="0" w:line="264" w:lineRule="auto"/>
        <w:tabs>
          <w:tab w:leader="none" w:pos="25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such indebtedness, together with the principal amount of any other such indebtedness in default for failure to pay any such indebtedness when due or the maturity of which has been so accelerated, aggregates at least $25 million;</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other specified events of bankruptcy, insolvency, receivership or reorganization occur with respect to us; or</w:t>
      </w:r>
    </w:p>
    <w:p>
      <w:pPr>
        <w:spacing w:after="0" w:line="94" w:lineRule="exact"/>
        <w:rPr>
          <w:rFonts w:ascii="Times New Roman" w:cs="Times New Roman" w:eastAsia="Times New Roman" w:hAnsi="Times New Roman"/>
          <w:sz w:val="14"/>
          <w:szCs w:val="14"/>
          <w:color w:val="auto"/>
        </w:rPr>
      </w:pPr>
    </w:p>
    <w:p>
      <w:pPr>
        <w:ind w:left="2220" w:right="399" w:hanging="334"/>
        <w:spacing w:after="0" w:line="264"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specified in the applicable prospectus supplement or free writing prospectus with respect to a particular series of debt securities occurs.</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Section 501.)</w:t>
      </w:r>
    </w:p>
    <w:p>
      <w:pPr>
        <w:spacing w:after="0" w:line="166" w:lineRule="exact"/>
        <w:rPr>
          <w:sz w:val="20"/>
          <w:szCs w:val="20"/>
          <w:color w:val="auto"/>
        </w:rPr>
      </w:pPr>
    </w:p>
    <w:p>
      <w:pPr>
        <w:ind w:left="1480" w:right="519" w:firstLine="333"/>
        <w:spacing w:after="0" w:line="264" w:lineRule="auto"/>
        <w:rPr>
          <w:sz w:val="20"/>
          <w:szCs w:val="20"/>
          <w:color w:val="auto"/>
        </w:rPr>
      </w:pPr>
      <w:r>
        <w:rPr>
          <w:rFonts w:ascii="Times New Roman" w:cs="Times New Roman" w:eastAsia="Times New Roman" w:hAnsi="Times New Roman"/>
          <w:sz w:val="14"/>
          <w:szCs w:val="14"/>
          <w:color w:val="auto"/>
        </w:rPr>
        <w:t>No event of default with respect to a series of debt securities necessarily constitutes an event of default with respect to the debt securities of any other series issued under the applicable indenture.</w:t>
      </w:r>
    </w:p>
    <w:p>
      <w:pPr>
        <w:spacing w:after="0" w:line="136"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As of March 31, 2026, the terms of approximately $750 million aggregate principal amount of outstanding senior debt securities that we previously issued under the senior indenture (the “prior senior debt securities”) included the event of default described in the fifth bullet listed in the first paragraph under “—Events of Default” (a so-called “cross-default” event of default), with a threshold amount of at least $25 million. However, we anticipate that future senior debt securities offered by us will not include the event of default described in the fifth bullet listed in the first paragraph under “—Events of Default” or any other “cross-default” event of default. Accordingly, if a series of debt securities offered hereby does not include a “cross-default” event of default, then the principal of and interest on the prior senior debt securities may be declared due and payable immediately upon the occurrence of a “cross-default” event of default, while the holders of the senior debt securities of such series offered hereby will not be entitled to accelerate such debt securities as a result of such event.</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Remedies</w:t>
      </w:r>
    </w:p>
    <w:p>
      <w:pPr>
        <w:spacing w:after="0" w:line="8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Acceleration</w:t>
      </w:r>
    </w:p>
    <w:p>
      <w:pPr>
        <w:spacing w:after="0" w:line="86"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If an event of default occurs and is continuing with respect to any series of debt securities, then either the trustee or the registered holders of at least 25% in principal amount of the outstanding debt securities of that series may declare the principal amount of all of the debt securities of that series, together with accrued and unpaid interest thereon, to be due and payable immediately, and upon any such declaration the principal of and accrued and unpaid interest on the debt securities of that series shall become immediately due and payable (notwithstanding, in the case of subordinated debt securities, if the terms of the subordinated debt securities of such series permit us to defer or extend the payment of interest thereon, any such extension or deferral). (See Section 502.)</w:t>
      </w:r>
    </w:p>
    <w:p>
      <w:pPr>
        <w:spacing w:after="0" w:line="22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Rescission of Acceleration</w:t>
      </w:r>
    </w:p>
    <w:p>
      <w:pPr>
        <w:spacing w:after="0" w:line="86"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After the declaration of acceleration has been made with respect to any series of debt securities and before the trustee has obtained a judgment or decree for payment of the money due, the event of default giving rise to</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declaration will be deemed to have been waived and the declaration and its consequences will be rescinded and annulled, if:</w:t>
      </w:r>
    </w:p>
    <w:p>
      <w:pPr>
        <w:spacing w:after="0" w:line="94" w:lineRule="exact"/>
        <w:rPr>
          <w:sz w:val="20"/>
          <w:szCs w:val="20"/>
          <w:color w:val="auto"/>
        </w:rPr>
      </w:pPr>
    </w:p>
    <w:p>
      <w:pPr>
        <w:ind w:left="2220" w:hanging="334"/>
        <w:spacing w:after="0"/>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pay or deposit with the trustee a sum sufficient to pay:</w:t>
      </w:r>
    </w:p>
    <w:p>
      <w:pPr>
        <w:spacing w:after="0" w:line="94" w:lineRule="exact"/>
        <w:rPr>
          <w:rFonts w:ascii="Times New Roman" w:cs="Times New Roman" w:eastAsia="Times New Roman" w:hAnsi="Times New Roman"/>
          <w:sz w:val="14"/>
          <w:szCs w:val="14"/>
          <w:color w:val="auto"/>
        </w:rPr>
      </w:pPr>
    </w:p>
    <w:p>
      <w:pPr>
        <w:ind w:left="2540" w:hanging="235"/>
        <w:spacing w:after="0"/>
        <w:tabs>
          <w:tab w:leader="none" w:pos="254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overdue interest on the debt securities of that series, other than interest which has become due by declaration of acceleration;</w:t>
      </w:r>
    </w:p>
    <w:p>
      <w:pPr>
        <w:spacing w:after="0" w:line="117" w:lineRule="exact"/>
        <w:rPr>
          <w:rFonts w:ascii="Times New Roman" w:cs="Times New Roman" w:eastAsia="Times New Roman" w:hAnsi="Times New Roman"/>
          <w:sz w:val="12"/>
          <w:szCs w:val="12"/>
          <w:color w:val="auto"/>
        </w:rPr>
      </w:pPr>
    </w:p>
    <w:p>
      <w:pPr>
        <w:ind w:left="2540" w:right="539" w:hanging="235"/>
        <w:spacing w:after="0" w:line="264" w:lineRule="auto"/>
        <w:tabs>
          <w:tab w:leader="none" w:pos="25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and any premium on the debt securities of that series which have become due otherwise than by the declaration of acceleration, and overdue interest on these amounts to the extent lawful;</w:t>
      </w:r>
    </w:p>
    <w:p>
      <w:pPr>
        <w:spacing w:after="0" w:line="64" w:lineRule="exact"/>
        <w:rPr>
          <w:rFonts w:ascii="Times New Roman" w:cs="Times New Roman" w:eastAsia="Times New Roman" w:hAnsi="Times New Roman"/>
          <w:sz w:val="14"/>
          <w:szCs w:val="14"/>
          <w:color w:val="auto"/>
        </w:rPr>
      </w:pPr>
    </w:p>
    <w:p>
      <w:pPr>
        <w:ind w:left="2540" w:right="559" w:hanging="235"/>
        <w:spacing w:after="0" w:line="264" w:lineRule="auto"/>
        <w:tabs>
          <w:tab w:leader="none" w:pos="25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overdue interest, other than interest which has become due by declaration of acceleration, on the debt securities of that series to the extent lawful; and</w:t>
      </w:r>
    </w:p>
    <w:p>
      <w:pPr>
        <w:spacing w:after="0" w:line="64" w:lineRule="exact"/>
        <w:rPr>
          <w:rFonts w:ascii="Times New Roman" w:cs="Times New Roman" w:eastAsia="Times New Roman" w:hAnsi="Times New Roman"/>
          <w:sz w:val="14"/>
          <w:szCs w:val="14"/>
          <w:color w:val="auto"/>
        </w:rPr>
      </w:pPr>
    </w:p>
    <w:p>
      <w:pPr>
        <w:ind w:left="2540" w:hanging="235"/>
        <w:spacing w:after="0"/>
        <w:tabs>
          <w:tab w:leader="none" w:pos="25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due to the trustee under the applicable indenture; and</w:t>
      </w:r>
    </w:p>
    <w:p>
      <w:pPr>
        <w:spacing w:after="0" w:line="94" w:lineRule="exact"/>
        <w:rPr>
          <w:rFonts w:ascii="Times New Roman" w:cs="Times New Roman" w:eastAsia="Times New Roman" w:hAnsi="Times New Roman"/>
          <w:sz w:val="14"/>
          <w:szCs w:val="14"/>
          <w:color w:val="auto"/>
        </w:rPr>
      </w:pPr>
    </w:p>
    <w:p>
      <w:pPr>
        <w:ind w:left="2220" w:right="659" w:hanging="334"/>
        <w:spacing w:after="0" w:line="349" w:lineRule="auto"/>
        <w:tabs>
          <w:tab w:leader="none" w:pos="22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events of default with respect to the debt securities of that series, other than the nonpayment of the principal and interest which has become due solely by the declaration of acceleration, have been cured or waived as provided in the applicable indenture.</w:t>
      </w:r>
    </w:p>
    <w:p>
      <w:pPr>
        <w:spacing w:after="0" w:line="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Section 502.)</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For more information as to waiver of defaults, see “—Waiver of Default and of Compliance” below.</w:t>
      </w:r>
    </w:p>
    <w:p>
      <w:pPr>
        <w:spacing w:after="0" w:line="24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Control by Registered Holders; Limitations</w:t>
      </w:r>
    </w:p>
    <w:p>
      <w:pPr>
        <w:spacing w:after="0" w:line="86" w:lineRule="exact"/>
        <w:rPr>
          <w:sz w:val="20"/>
          <w:szCs w:val="20"/>
          <w:color w:val="auto"/>
        </w:rPr>
      </w:pPr>
    </w:p>
    <w:p>
      <w:pPr>
        <w:ind w:left="1480" w:right="459" w:firstLine="333"/>
        <w:spacing w:after="0" w:line="254" w:lineRule="auto"/>
        <w:rPr>
          <w:sz w:val="20"/>
          <w:szCs w:val="20"/>
          <w:color w:val="auto"/>
        </w:rPr>
      </w:pPr>
      <w:r>
        <w:rPr>
          <w:rFonts w:ascii="Times New Roman" w:cs="Times New Roman" w:eastAsia="Times New Roman" w:hAnsi="Times New Roman"/>
          <w:sz w:val="14"/>
          <w:szCs w:val="14"/>
          <w:color w:val="auto"/>
        </w:rPr>
        <w:t>If an event of default with respect to the debt securities of any series occurs and is continuing, the registered holders of a majority in principal amount of the outstanding debt securities of that series, voting as a single class without regard to the holders of outstanding debt securities of any other series that may also be in default, will have the right to direct the time, method and place of:</w:t>
      </w:r>
    </w:p>
    <w:p>
      <w:pPr>
        <w:spacing w:after="0" w:line="71" w:lineRule="exact"/>
        <w:rPr>
          <w:sz w:val="20"/>
          <w:szCs w:val="20"/>
          <w:color w:val="auto"/>
        </w:rPr>
      </w:pPr>
    </w:p>
    <w:p>
      <w:pPr>
        <w:ind w:left="2540" w:hanging="235"/>
        <w:spacing w:after="0"/>
        <w:tabs>
          <w:tab w:leader="none" w:pos="25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any proceeding for any remedy available to the trustee with respect to the debt securities of that series; and</w:t>
      </w:r>
    </w:p>
    <w:p>
      <w:pPr>
        <w:spacing w:after="0" w:line="94" w:lineRule="exact"/>
        <w:rPr>
          <w:rFonts w:ascii="Times New Roman" w:cs="Times New Roman" w:eastAsia="Times New Roman" w:hAnsi="Times New Roman"/>
          <w:sz w:val="14"/>
          <w:szCs w:val="14"/>
          <w:color w:val="auto"/>
        </w:rPr>
      </w:pPr>
    </w:p>
    <w:p>
      <w:pPr>
        <w:ind w:left="2540" w:hanging="235"/>
        <w:spacing w:after="0"/>
        <w:tabs>
          <w:tab w:leader="none" w:pos="25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any trust or power conferred on the trustee with respect to the debt securities of that series.</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These rights of registered holders to give directions are subject to the following limitations:</w:t>
      </w:r>
    </w:p>
    <w:p>
      <w:pPr>
        <w:spacing w:after="0" w:line="94" w:lineRule="exact"/>
        <w:rPr>
          <w:sz w:val="20"/>
          <w:szCs w:val="20"/>
          <w:color w:val="auto"/>
        </w:rPr>
      </w:pPr>
    </w:p>
    <w:p>
      <w:pPr>
        <w:ind w:left="2540" w:hanging="235"/>
        <w:spacing w:after="0"/>
        <w:tabs>
          <w:tab w:leader="none" w:pos="2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holders’ directions do not conflict with any law or the applicable indenture; and</w:t>
      </w:r>
    </w:p>
    <w:p>
      <w:pPr>
        <w:spacing w:after="0" w:line="94" w:lineRule="exact"/>
        <w:rPr>
          <w:rFonts w:ascii="Times New Roman" w:cs="Times New Roman" w:eastAsia="Times New Roman" w:hAnsi="Times New Roman"/>
          <w:sz w:val="14"/>
          <w:szCs w:val="14"/>
          <w:color w:val="auto"/>
        </w:rPr>
      </w:pPr>
    </w:p>
    <w:p>
      <w:pPr>
        <w:ind w:left="2540" w:hanging="235"/>
        <w:spacing w:after="0"/>
        <w:tabs>
          <w:tab w:leader="none" w:pos="2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is not unduly prejudicial to the rights of holders of the debt securities of that series who do not join in that action.</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The trustee may also take any other action it deems proper which is not inconsistent with the registered holders’ direction. (See Sections 512 and</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603.)</w:t>
      </w:r>
    </w:p>
    <w:p>
      <w:pPr>
        <w:spacing w:after="0" w:line="154" w:lineRule="exact"/>
        <w:rPr>
          <w:sz w:val="20"/>
          <w:szCs w:val="20"/>
          <w:color w:val="auto"/>
        </w:rPr>
      </w:pPr>
    </w:p>
    <w:p>
      <w:pPr>
        <w:ind w:left="1480" w:right="559" w:firstLine="333"/>
        <w:spacing w:after="0" w:line="349" w:lineRule="auto"/>
        <w:rPr>
          <w:sz w:val="20"/>
          <w:szCs w:val="20"/>
          <w:color w:val="auto"/>
        </w:rPr>
      </w:pPr>
      <w:r>
        <w:rPr>
          <w:rFonts w:ascii="Times New Roman" w:cs="Times New Roman" w:eastAsia="Times New Roman" w:hAnsi="Times New Roman"/>
          <w:sz w:val="12"/>
          <w:szCs w:val="12"/>
          <w:color w:val="auto"/>
        </w:rPr>
        <w:t>In addition, each indenture provides that no registered holder of debt securities of any series will have any right to institute any proceeding, judicial or otherwise, with respect to the applicable indenture or for the appointment of a receiver or for any other remedy under the indenture unless:</w:t>
      </w:r>
    </w:p>
    <w:p>
      <w:pPr>
        <w:spacing w:after="0" w:line="17" w:lineRule="exact"/>
        <w:rPr>
          <w:sz w:val="20"/>
          <w:szCs w:val="20"/>
          <w:color w:val="auto"/>
        </w:rPr>
      </w:pPr>
    </w:p>
    <w:p>
      <w:pPr>
        <w:ind w:left="2540" w:right="859" w:hanging="235"/>
        <w:spacing w:after="0" w:line="264" w:lineRule="auto"/>
        <w:tabs>
          <w:tab w:leader="none" w:pos="2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registered holder has previously given the trustee written notice of a continuing event of default with respect to the debt securities of that series;</w:t>
      </w:r>
    </w:p>
    <w:p>
      <w:pPr>
        <w:spacing w:after="0" w:line="64" w:lineRule="exact"/>
        <w:rPr>
          <w:rFonts w:ascii="Times New Roman" w:cs="Times New Roman" w:eastAsia="Times New Roman" w:hAnsi="Times New Roman"/>
          <w:sz w:val="14"/>
          <w:szCs w:val="14"/>
          <w:color w:val="auto"/>
        </w:rPr>
      </w:pPr>
    </w:p>
    <w:p>
      <w:pPr>
        <w:ind w:left="2540" w:right="459" w:hanging="235"/>
        <w:spacing w:after="0" w:line="254" w:lineRule="auto"/>
        <w:tabs>
          <w:tab w:leader="none" w:pos="2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holders of at least 25% in principal amount of the outstanding debt securities of that series have made written request to the trustee to institute proceedings in respect of that event of default and have offered the trustee reasonable indemnity against costs, expenses and liabilities incurred in complying with the request; and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540" w:right="379" w:hanging="235"/>
        <w:spacing w:after="0" w:line="254" w:lineRule="auto"/>
        <w:tabs>
          <w:tab w:leader="none" w:pos="2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60 days after receipt of the notice, the trustee has failed to institute a proceeding and no direction inconsistent with the request has been given to the trustee during the 60-day period by the registered holders of a majority in principal amount of outstanding debt securities of that series.</w:t>
      </w:r>
    </w:p>
    <w:p>
      <w:pPr>
        <w:spacing w:after="0" w:line="142" w:lineRule="exact"/>
        <w:rPr>
          <w:sz w:val="20"/>
          <w:szCs w:val="20"/>
          <w:color w:val="auto"/>
        </w:rPr>
      </w:pPr>
    </w:p>
    <w:p>
      <w:pPr>
        <w:jc w:val="both"/>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Furthermore, no registered holder will be entitled to institute any action if and to the extent that the action would affect, disturb or prejudice the rights of other registered holders of debt securities under the applicable indenture. (See Section 507.)</w:t>
      </w:r>
    </w:p>
    <w:p>
      <w:pPr>
        <w:spacing w:after="0" w:line="136" w:lineRule="exact"/>
        <w:rPr>
          <w:sz w:val="20"/>
          <w:szCs w:val="20"/>
          <w:color w:val="auto"/>
        </w:rPr>
      </w:pPr>
    </w:p>
    <w:p>
      <w:pPr>
        <w:ind w:left="1480" w:right="339" w:firstLine="333"/>
        <w:spacing w:after="0" w:line="264" w:lineRule="auto"/>
        <w:rPr>
          <w:sz w:val="20"/>
          <w:szCs w:val="20"/>
          <w:color w:val="auto"/>
        </w:rPr>
      </w:pPr>
      <w:r>
        <w:rPr>
          <w:rFonts w:ascii="Times New Roman" w:cs="Times New Roman" w:eastAsia="Times New Roman" w:hAnsi="Times New Roman"/>
          <w:sz w:val="14"/>
          <w:szCs w:val="14"/>
          <w:color w:val="auto"/>
        </w:rPr>
        <w:t>However, each registered holder has an absolute and unconditional right to receive payment when due and to bring a suit to enforce that right. (See Section 508.)</w:t>
      </w:r>
    </w:p>
    <w:p>
      <w:pPr>
        <w:spacing w:after="0" w:line="2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Notice of Default</w:t>
      </w:r>
    </w:p>
    <w:p>
      <w:pPr>
        <w:spacing w:after="0" w:line="86" w:lineRule="exact"/>
        <w:rPr>
          <w:sz w:val="20"/>
          <w:szCs w:val="20"/>
          <w:color w:val="auto"/>
        </w:rPr>
      </w:pPr>
    </w:p>
    <w:p>
      <w:pPr>
        <w:jc w:val="both"/>
        <w:ind w:left="1480" w:right="539" w:firstLine="333"/>
        <w:spacing w:after="0" w:line="300" w:lineRule="auto"/>
        <w:rPr>
          <w:sz w:val="20"/>
          <w:szCs w:val="20"/>
          <w:color w:val="auto"/>
        </w:rPr>
      </w:pPr>
      <w:r>
        <w:rPr>
          <w:rFonts w:ascii="Times New Roman" w:cs="Times New Roman" w:eastAsia="Times New Roman" w:hAnsi="Times New Roman"/>
          <w:sz w:val="12"/>
          <w:szCs w:val="12"/>
          <w:color w:val="auto"/>
        </w:rPr>
        <w:t>The trustee is required to give the registered holders of debt securities of the affected series notice of any default under the applicable indenture with respect to the debt securities of that series to the extent required by the Trust Indenture Act; except that, in the case of an event of default of the character specified above the fourth bullet listed under “—Events of Default,” no notice will be given to such registered holders until at least 30 days after the occurrence of the default. (See Section 602.) The Trust Indenture Act currently permits the trustee to withhold notices of default (except for certain payment defaults) if the trustee in good faith determines the withholding of the notice to be in the interests of the registered holders.</w:t>
      </w:r>
    </w:p>
    <w:p>
      <w:pPr>
        <w:spacing w:after="0" w:line="118"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We will furnish the trustee with an annual statement of whether we are in default in the performance or observance of any of the terms, provisions and conditions in the applicable indenture. (See Section 1005.)</w:t>
      </w:r>
    </w:p>
    <w:p>
      <w:pPr>
        <w:spacing w:after="0" w:line="2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Waiver of Default and of Compliance</w:t>
      </w:r>
    </w:p>
    <w:p>
      <w:pPr>
        <w:spacing w:after="0" w:line="86" w:lineRule="exact"/>
        <w:rPr>
          <w:sz w:val="20"/>
          <w:szCs w:val="20"/>
          <w:color w:val="auto"/>
        </w:rPr>
      </w:pPr>
    </w:p>
    <w:p>
      <w:pPr>
        <w:ind w:left="1480" w:right="439" w:firstLine="333"/>
        <w:spacing w:after="0" w:line="248" w:lineRule="auto"/>
        <w:rPr>
          <w:sz w:val="20"/>
          <w:szCs w:val="20"/>
          <w:color w:val="auto"/>
        </w:rPr>
      </w:pPr>
      <w:r>
        <w:rPr>
          <w:rFonts w:ascii="Times New Roman" w:cs="Times New Roman" w:eastAsia="Times New Roman" w:hAnsi="Times New Roman"/>
          <w:sz w:val="14"/>
          <w:szCs w:val="14"/>
          <w:color w:val="auto"/>
        </w:rPr>
        <w:t>The registered holders of a majority in principal amount of the outstanding debt securities of any series, voting as a single class without regard to the holders of outstanding debt securities of any other series, may waive, on behalf of all registered holders of the debt securities of that series, any past default under the applicable indenture, except a default in the payment of principal, premium (if any) or interest, or with respect to compliance with certain covenants or provisions of the applicable indenture that cannot be modified or amended without the consent of the registered holder of each outstanding debt security of that series. (See Section 513.)</w:t>
      </w:r>
    </w:p>
    <w:p>
      <w:pPr>
        <w:spacing w:after="0" w:line="149"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Compliance with certain covenants in the applicable indenture or otherwise provided with respect to debt securities of any series may be waived before the time specified for compliance by the registered holders of a majority in principal amount of the outstanding debt securities of such series. (See Section 1006.)</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Consolidation, Merger and Conveyance of Assets as an Entirety; No Financial Covenants</w:t>
      </w:r>
    </w:p>
    <w:p>
      <w:pPr>
        <w:spacing w:after="0" w:line="88"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We have agreed not to consolidate or merge with or into any other entity, or to sell, transfer, lease or otherwise convey our properties and assets as an entirety or substantially as an entirety to any other entity, unless:</w:t>
      </w:r>
    </w:p>
    <w:p>
      <w:pPr>
        <w:spacing w:after="0" w:line="65" w:lineRule="exact"/>
        <w:rPr>
          <w:sz w:val="20"/>
          <w:szCs w:val="20"/>
          <w:color w:val="auto"/>
        </w:rPr>
      </w:pPr>
    </w:p>
    <w:p>
      <w:pPr>
        <w:ind w:left="2540" w:right="339" w:hanging="235"/>
        <w:spacing w:after="0" w:line="247" w:lineRule="auto"/>
        <w:tabs>
          <w:tab w:leader="none" w:pos="2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we are the continuing entity (in the case of a merger) or (ii) the successor entity formed by such consolidation or into which we are merged or which acquires by sale, transfer, lease or other conveyance our properties and assets, as an entirety or substantially as an entirety, is a corporation organized and existing under the laws of the United States of America or any State thereof or the District of Columbia and expressly assumes, by supplemental indenture, the due and punctual payment of the principal, premium (if any) and interest on all the debt securities outstanding under the applicable indenture and the performance of every obligation in that indenture and such outstanding debt securities to be performed by us; and</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540" w:right="399" w:hanging="235"/>
        <w:spacing w:after="0" w:line="264" w:lineRule="auto"/>
        <w:tabs>
          <w:tab w:leader="none" w:pos="25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and no event which after notice or lapse of time or both would become an event of default under the applicable indenture, has or will have occurred and be continuing.</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Neither of the indentures nor the debt securities contain any financial or other similar restrictive covenants.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Section 801.)</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Modification of Indenture</w:t>
      </w:r>
    </w:p>
    <w:p>
      <w:pPr>
        <w:spacing w:after="0" w:line="8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Without Registered Holder Consent</w:t>
      </w:r>
    </w:p>
    <w:p>
      <w:pPr>
        <w:spacing w:after="0" w:line="86" w:lineRule="exact"/>
        <w:rPr>
          <w:sz w:val="20"/>
          <w:szCs w:val="20"/>
          <w:color w:val="auto"/>
        </w:rPr>
      </w:pPr>
    </w:p>
    <w:p>
      <w:pPr>
        <w:ind w:left="1480" w:right="619" w:firstLine="333"/>
        <w:spacing w:after="0" w:line="264" w:lineRule="auto"/>
        <w:rPr>
          <w:sz w:val="20"/>
          <w:szCs w:val="20"/>
          <w:color w:val="auto"/>
        </w:rPr>
      </w:pPr>
      <w:r>
        <w:rPr>
          <w:rFonts w:ascii="Times New Roman" w:cs="Times New Roman" w:eastAsia="Times New Roman" w:hAnsi="Times New Roman"/>
          <w:sz w:val="14"/>
          <w:szCs w:val="14"/>
          <w:color w:val="auto"/>
        </w:rPr>
        <w:t>Without the consent of any registered holders of debt securities outstanding under an indenture, we and the trustee may enter into one or more supplemental indentures to such indenture for any of the following purposes:</w:t>
      </w:r>
    </w:p>
    <w:p>
      <w:pPr>
        <w:spacing w:after="0" w:line="65" w:lineRule="exact"/>
        <w:rPr>
          <w:sz w:val="20"/>
          <w:szCs w:val="20"/>
          <w:color w:val="auto"/>
        </w:rPr>
      </w:pPr>
    </w:p>
    <w:p>
      <w:pPr>
        <w:ind w:left="2220" w:hanging="334"/>
        <w:spacing w:after="0"/>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entity to us;</w:t>
      </w:r>
    </w:p>
    <w:p>
      <w:pPr>
        <w:spacing w:after="0" w:line="94" w:lineRule="exact"/>
        <w:rPr>
          <w:rFonts w:ascii="Times New Roman" w:cs="Times New Roman" w:eastAsia="Times New Roman" w:hAnsi="Times New Roman"/>
          <w:sz w:val="14"/>
          <w:szCs w:val="14"/>
          <w:color w:val="auto"/>
        </w:rPr>
      </w:pPr>
    </w:p>
    <w:p>
      <w:pPr>
        <w:ind w:left="2220" w:right="499" w:hanging="334"/>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one or more covenants of ours for the benefit of the holders of all or any series of debt securities issued under such indenture or to surrender any right or power conferred upon us;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for all or any series of debt securities issued under such indenture; or</w:t>
      </w:r>
    </w:p>
    <w:p>
      <w:pPr>
        <w:spacing w:after="0" w:line="94" w:lineRule="exact"/>
        <w:rPr>
          <w:rFonts w:ascii="Times New Roman" w:cs="Times New Roman" w:eastAsia="Times New Roman" w:hAnsi="Times New Roman"/>
          <w:sz w:val="14"/>
          <w:szCs w:val="14"/>
          <w:color w:val="auto"/>
        </w:rPr>
      </w:pPr>
    </w:p>
    <w:p>
      <w:pPr>
        <w:ind w:left="2220" w:right="619" w:hanging="334"/>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change any of the provisions of such indenture to the extent necessary to permit or facilitate the issuance of debt securities in bearer form or to facilitate the issuance of debt securities in uncertificated form;</w:t>
      </w:r>
    </w:p>
    <w:p>
      <w:pPr>
        <w:spacing w:after="0" w:line="64" w:lineRule="exact"/>
        <w:rPr>
          <w:rFonts w:ascii="Times New Roman" w:cs="Times New Roman" w:eastAsia="Times New Roman" w:hAnsi="Times New Roman"/>
          <w:sz w:val="14"/>
          <w:szCs w:val="14"/>
          <w:color w:val="auto"/>
        </w:rPr>
      </w:pPr>
    </w:p>
    <w:p>
      <w:pPr>
        <w:ind w:left="2220" w:right="379" w:hanging="334"/>
        <w:spacing w:after="0" w:line="25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provision of such indenture so long as the change or elimination does not apply to any debt securities entitled to the benefit of such provision or to add any new provision to such indenture provided that any such addition does not apply to any outstanding debt securities issued under such indenture;</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security for the debt securities of any series issued under such indenture;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debt securities of any series issued under such indenture, as permitted by such indenture;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of a separate or successor trustee;</w:t>
      </w:r>
    </w:p>
    <w:p>
      <w:pPr>
        <w:spacing w:after="0" w:line="94" w:lineRule="exact"/>
        <w:rPr>
          <w:rFonts w:ascii="Times New Roman" w:cs="Times New Roman" w:eastAsia="Times New Roman" w:hAnsi="Times New Roman"/>
          <w:sz w:val="14"/>
          <w:szCs w:val="14"/>
          <w:color w:val="auto"/>
        </w:rPr>
      </w:pPr>
    </w:p>
    <w:p>
      <w:pPr>
        <w:ind w:left="2220" w:right="379" w:hanging="334"/>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or to make any other changes that do not adversely affect the interests of the holders of debt securities of any series under such indenture in any material respect; or</w:t>
      </w:r>
    </w:p>
    <w:p>
      <w:pPr>
        <w:spacing w:after="0" w:line="64" w:lineRule="exact"/>
        <w:rPr>
          <w:rFonts w:ascii="Times New Roman" w:cs="Times New Roman" w:eastAsia="Times New Roman" w:hAnsi="Times New Roman"/>
          <w:sz w:val="14"/>
          <w:szCs w:val="14"/>
          <w:color w:val="auto"/>
        </w:rPr>
      </w:pPr>
    </w:p>
    <w:p>
      <w:pPr>
        <w:ind w:left="2220" w:right="399" w:hanging="334"/>
        <w:spacing w:after="0" w:line="248"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subordinated debt of any series, to conform the terms of such debt securities, any officers’ certificate or supplemental indenture establishing the form or terms of such series of debt securities or, insofar as relates to such series of debt securities, the subordinated indenture to any terms set forth in the description of such debt securities appearing under the heading “Description of Debt Securities,” “Description of Notes” or other similar headings in the offering memorandum, prospectus supplement, free writing prospectus or other like offering document relating to the initial offering of such debt securities.</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Section 901.)</w:t>
      </w:r>
    </w:p>
    <w:p>
      <w:pPr>
        <w:spacing w:after="0" w:line="24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With Registered Holder Consent</w:t>
      </w:r>
    </w:p>
    <w:p>
      <w:pPr>
        <w:spacing w:after="0" w:line="86"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Subject to the following sentence, we and the trustee may, with some exceptions, amend or modify the applicable indenture with the consent of the registered holders of a majority in principal amount of the debt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64" w:lineRule="auto"/>
        <w:rPr>
          <w:sz w:val="20"/>
          <w:szCs w:val="20"/>
          <w:color w:val="auto"/>
        </w:rPr>
      </w:pPr>
      <w:r>
        <w:rPr>
          <w:rFonts w:ascii="Times New Roman" w:cs="Times New Roman" w:eastAsia="Times New Roman" w:hAnsi="Times New Roman"/>
          <w:sz w:val="14"/>
          <w:szCs w:val="14"/>
          <w:color w:val="auto"/>
        </w:rPr>
        <w:t>securities of each series affected by the amendment or modification. However, no amendment or modification may, without the consent of the registered holder of each outstanding debt security affected thereby:</w:t>
      </w:r>
    </w:p>
    <w:p>
      <w:pPr>
        <w:spacing w:after="0" w:line="65" w:lineRule="exact"/>
        <w:rPr>
          <w:sz w:val="20"/>
          <w:szCs w:val="20"/>
          <w:color w:val="auto"/>
        </w:rPr>
      </w:pPr>
    </w:p>
    <w:p>
      <w:pPr>
        <w:ind w:left="2540" w:right="359" w:hanging="235"/>
        <w:spacing w:after="0" w:line="248" w:lineRule="auto"/>
        <w:tabs>
          <w:tab w:leader="none" w:pos="2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premium (if any) or interest on any debt security or reduce the principal amount, interest or any premium payable or change any place of payment where or the currency in which any debt security is payable, or impair the right to bring suit to enforce any payment, or, in the case of any subordinated debt security, if we have the right to extend or defer the payment of interest on such debt security, to increase the maximum time period of any such extension or deferral or increase the maximum number of times we may extend or defer any such interest payment;</w:t>
      </w:r>
    </w:p>
    <w:p>
      <w:pPr>
        <w:spacing w:after="0" w:line="77" w:lineRule="exact"/>
        <w:rPr>
          <w:rFonts w:ascii="Times New Roman" w:cs="Times New Roman" w:eastAsia="Times New Roman" w:hAnsi="Times New Roman"/>
          <w:sz w:val="14"/>
          <w:szCs w:val="14"/>
          <w:color w:val="auto"/>
        </w:rPr>
      </w:pPr>
    </w:p>
    <w:p>
      <w:pPr>
        <w:ind w:left="2540" w:hanging="235"/>
        <w:spacing w:after="0"/>
        <w:tabs>
          <w:tab w:leader="none" w:pos="2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percentages of registered holders whose consent is required for any supplemental indenture or waiver;</w:t>
      </w:r>
    </w:p>
    <w:p>
      <w:pPr>
        <w:spacing w:after="0" w:line="94" w:lineRule="exact"/>
        <w:rPr>
          <w:rFonts w:ascii="Times New Roman" w:cs="Times New Roman" w:eastAsia="Times New Roman" w:hAnsi="Times New Roman"/>
          <w:sz w:val="14"/>
          <w:szCs w:val="14"/>
          <w:color w:val="auto"/>
        </w:rPr>
      </w:pPr>
    </w:p>
    <w:p>
      <w:pPr>
        <w:ind w:left="2540" w:right="719" w:hanging="235"/>
        <w:spacing w:after="0" w:line="264" w:lineRule="auto"/>
        <w:tabs>
          <w:tab w:leader="none" w:pos="2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modifications to certain provisions in the applicable indenture relating to supplemental indentures and waivers of certain covenants and past defaults; or</w:t>
      </w:r>
    </w:p>
    <w:p>
      <w:pPr>
        <w:spacing w:after="0" w:line="64" w:lineRule="exact"/>
        <w:rPr>
          <w:rFonts w:ascii="Times New Roman" w:cs="Times New Roman" w:eastAsia="Times New Roman" w:hAnsi="Times New Roman"/>
          <w:sz w:val="14"/>
          <w:szCs w:val="14"/>
          <w:color w:val="auto"/>
        </w:rPr>
      </w:pPr>
    </w:p>
    <w:p>
      <w:pPr>
        <w:ind w:left="2540" w:right="459" w:hanging="235"/>
        <w:spacing w:after="0" w:line="254" w:lineRule="auto"/>
        <w:tabs>
          <w:tab w:leader="none" w:pos="2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subordinated indenture, modify, delete or supplement any of the subordination provisions or the definition of Senior Indebtedness applicable to the subordinated debt securities of any series then outstanding in a manner adverse to the holders of such subordinated debt securities.</w:t>
      </w:r>
    </w:p>
    <w:p>
      <w:pPr>
        <w:spacing w:after="0" w:line="142"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A supplemental indenture which changes or eliminates any covenant or other provision of the applicable indenture expressly included solely for the benefit of holders of debt securities of one or more particular series will be deemed not to affect the rights under the applicable indenture of the holders of debt securities of any other series.</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Section 902.)</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88" w:lineRule="exact"/>
        <w:rPr>
          <w:sz w:val="20"/>
          <w:szCs w:val="20"/>
          <w:color w:val="auto"/>
        </w:rPr>
      </w:pPr>
    </w:p>
    <w:p>
      <w:pPr>
        <w:jc w:val="both"/>
        <w:ind w:left="1480" w:right="819" w:firstLine="333"/>
        <w:spacing w:after="0" w:line="254" w:lineRule="auto"/>
        <w:rPr>
          <w:sz w:val="20"/>
          <w:szCs w:val="20"/>
          <w:color w:val="auto"/>
        </w:rPr>
      </w:pPr>
      <w:r>
        <w:rPr>
          <w:rFonts w:ascii="Times New Roman" w:cs="Times New Roman" w:eastAsia="Times New Roman" w:hAnsi="Times New Roman"/>
          <w:sz w:val="14"/>
          <w:szCs w:val="14"/>
          <w:color w:val="auto"/>
        </w:rPr>
        <w:t>Each indenture provides, unless the terms of the particular series of debt securities provide otherwise, that we may, upon satisfying several conditions, cause ourselves to be discharged from our obligations, with some exceptions, with respect to any series of debt securities under such indenture, which we refer to as “defeasance.”</w:t>
      </w:r>
    </w:p>
    <w:p>
      <w:pPr>
        <w:spacing w:after="0" w:line="142"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One condition we must satisfy is the irrevocable deposit with the trustee, in trust, of money and/or government obligations which, through the scheduled payment of principal and interest on those obligations, would provide sufficient moneys to pay the principal of and any premium and interest on the debt securities of the applicable series on the maturity dates of the payments or upon redemption.</w:t>
      </w:r>
    </w:p>
    <w:p>
      <w:pPr>
        <w:spacing w:after="0" w:line="142" w:lineRule="exact"/>
        <w:rPr>
          <w:sz w:val="20"/>
          <w:szCs w:val="20"/>
          <w:color w:val="auto"/>
        </w:rPr>
      </w:pPr>
    </w:p>
    <w:p>
      <w:pPr>
        <w:ind w:left="1480" w:right="559" w:firstLine="333"/>
        <w:spacing w:after="0" w:line="250" w:lineRule="auto"/>
        <w:rPr>
          <w:sz w:val="20"/>
          <w:szCs w:val="20"/>
          <w:color w:val="auto"/>
        </w:rPr>
      </w:pPr>
      <w:r>
        <w:rPr>
          <w:rFonts w:ascii="Times New Roman" w:cs="Times New Roman" w:eastAsia="Times New Roman" w:hAnsi="Times New Roman"/>
          <w:sz w:val="14"/>
          <w:szCs w:val="14"/>
          <w:color w:val="auto"/>
        </w:rPr>
        <w:t>In addition, we will be required to deliver an opinion of counsel to the effect that a holder of debt securities of the applicable series will not recognize income, gain or loss for federal income tax purposes as a result of the defeasance and will be subject to federal income tax on the same amounts, at the same times and in the same manner as if that defeasance had not occurred. The opinion of counsel must be based upon a ruling of the Internal Revenue Service or a change in law after the date of the applicable indenture.</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Article XIII.)</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88"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The applicable indenture will cease to be of further effect with respect to any series of debt securities, and we will be deemed to have satisfied and discharged all of our obligations under the applicable indenture with respect to the debt securities of such series, except as noted below, when:</w:t>
      </w:r>
    </w:p>
    <w:p>
      <w:pPr>
        <w:spacing w:after="0" w:line="65" w:lineRule="exact"/>
        <w:rPr>
          <w:sz w:val="20"/>
          <w:szCs w:val="20"/>
          <w:color w:val="auto"/>
        </w:rPr>
      </w:pPr>
    </w:p>
    <w:p>
      <w:pPr>
        <w:ind w:left="2540" w:hanging="235"/>
        <w:spacing w:after="0"/>
        <w:tabs>
          <w:tab w:leader="none" w:pos="2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4" w:lineRule="exact"/>
        <w:rPr>
          <w:rFonts w:ascii="Times New Roman" w:cs="Times New Roman" w:eastAsia="Times New Roman" w:hAnsi="Times New Roman"/>
          <w:sz w:val="14"/>
          <w:szCs w:val="14"/>
          <w:color w:val="auto"/>
        </w:rPr>
      </w:pPr>
    </w:p>
    <w:p>
      <w:pPr>
        <w:jc w:val="center"/>
        <w:ind w:left="5580" w:right="1779" w:hanging="2938"/>
        <w:spacing w:after="0" w:line="432" w:lineRule="auto"/>
        <w:tabs>
          <w:tab w:leader="none" w:pos="3054"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such series have been delivered to the trustee for cancellation; or 23</w:t>
      </w:r>
    </w:p>
    <w:p>
      <w:pPr>
        <w:sectPr>
          <w:pgSz w:w="11900" w:h="16838" w:orient="portrait"/>
          <w:cols w:equalWidth="0" w:num="1">
            <w:col w:w="10159"/>
          </w:cols>
          <w:pgMar w:left="300" w:top="37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3060" w:right="499" w:hanging="418"/>
        <w:spacing w:after="0" w:line="248" w:lineRule="auto"/>
        <w:tabs>
          <w:tab w:leader="none" w:pos="306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such series not delivered to the trustee for cancellation have become due and payable or will become due and payable within one year at their stated maturity or on a redemption date and we have deposited with the trustee, in trust, funds that are sufficient to pay and discharge the entire indebtedness on such debt securities, for principal and any premium and interest to the date of such deposit (in the case such outstanding debt securities have become due and payable) or to the stated maturity or redemption date, as the case may be;</w:t>
      </w:r>
    </w:p>
    <w:p>
      <w:pPr>
        <w:spacing w:after="0" w:line="77" w:lineRule="exact"/>
        <w:rPr>
          <w:rFonts w:ascii="Times New Roman" w:cs="Times New Roman" w:eastAsia="Times New Roman" w:hAnsi="Times New Roman"/>
          <w:sz w:val="14"/>
          <w:szCs w:val="14"/>
          <w:color w:val="auto"/>
        </w:rPr>
      </w:pPr>
    </w:p>
    <w:p>
      <w:pPr>
        <w:ind w:left="2540" w:hanging="235"/>
        <w:spacing w:after="0"/>
        <w:tabs>
          <w:tab w:leader="none" w:pos="2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under the indenture; and</w:t>
      </w:r>
    </w:p>
    <w:p>
      <w:pPr>
        <w:spacing w:after="0" w:line="94" w:lineRule="exact"/>
        <w:rPr>
          <w:rFonts w:ascii="Times New Roman" w:cs="Times New Roman" w:eastAsia="Times New Roman" w:hAnsi="Times New Roman"/>
          <w:sz w:val="14"/>
          <w:szCs w:val="14"/>
          <w:color w:val="auto"/>
        </w:rPr>
      </w:pPr>
    </w:p>
    <w:p>
      <w:pPr>
        <w:ind w:left="2540" w:right="579" w:hanging="235"/>
        <w:spacing w:after="0" w:line="264" w:lineRule="auto"/>
        <w:tabs>
          <w:tab w:leader="none" w:pos="2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all conditions precedent in the indenture relating to the satisfaction and discharge of the indenture as to such series have been complied with.</w:t>
      </w:r>
    </w:p>
    <w:p>
      <w:pPr>
        <w:spacing w:after="0" w:line="136" w:lineRule="exact"/>
        <w:rPr>
          <w:sz w:val="20"/>
          <w:szCs w:val="20"/>
          <w:color w:val="auto"/>
        </w:rPr>
      </w:pPr>
    </w:p>
    <w:p>
      <w:pPr>
        <w:ind w:left="1480" w:right="379" w:firstLine="333"/>
        <w:spacing w:after="0" w:line="349" w:lineRule="auto"/>
        <w:rPr>
          <w:sz w:val="20"/>
          <w:szCs w:val="20"/>
          <w:color w:val="auto"/>
        </w:rPr>
      </w:pPr>
      <w:r>
        <w:rPr>
          <w:rFonts w:ascii="Times New Roman" w:cs="Times New Roman" w:eastAsia="Times New Roman" w:hAnsi="Times New Roman"/>
          <w:sz w:val="12"/>
          <w:szCs w:val="12"/>
          <w:color w:val="auto"/>
        </w:rPr>
        <w:t>Notwithstanding the satisfaction and discharge of the applicable indenture with respect to any series of debt securities, we will remain obligated to pay amounts due under certain provisions of the applicable indenture and to perform certain ministerial tasks as described in the applicable indenture.</w:t>
      </w:r>
    </w:p>
    <w:p>
      <w:pPr>
        <w:spacing w:after="0" w:line="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(See Section 401.)</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Resignation and Removal of the Trustee; Deemed Resignation</w:t>
      </w:r>
    </w:p>
    <w:p>
      <w:pPr>
        <w:spacing w:after="0" w:line="88"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 trustee with respect to any series of debt securities may resign at any time by giving written notice to us. The trustee may also be removed with respect to the debt securities of any series by the registered holders of a majority in principal amount of the outstanding debt securities of such series. No resignation or removal of the trustee and no appointment of a successor trustee will become effective until the acceptance of appointment by a successor trustee in accordance with the requirements of the applicable indenture. (See Section 610.)</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88"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Our subordinated debt securities of each series will be subordinated in right of payment to the prior payment in full of all our Senior Indebtedness (as defined with respect to such series). This means that, with respect to the subordinated debt securities of any series, upon:</w:t>
      </w:r>
    </w:p>
    <w:p>
      <w:pPr>
        <w:spacing w:after="0" w:line="65" w:lineRule="exact"/>
        <w:rPr>
          <w:sz w:val="20"/>
          <w:szCs w:val="20"/>
          <w:color w:val="auto"/>
        </w:rPr>
      </w:pPr>
    </w:p>
    <w:p>
      <w:pPr>
        <w:ind w:left="2540" w:right="779" w:hanging="235"/>
        <w:spacing w:after="0" w:line="264" w:lineRule="auto"/>
        <w:tabs>
          <w:tab w:leader="none" w:pos="2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by us, or any distribution of our assets, upon our dissolution, winding-up, liquidation or reorganization, whether voluntary or involuntary or in bankruptcy, insolvency, receivership or other proceedings; or</w:t>
      </w:r>
    </w:p>
    <w:p>
      <w:pPr>
        <w:spacing w:after="0" w:line="64" w:lineRule="exact"/>
        <w:rPr>
          <w:rFonts w:ascii="Times New Roman" w:cs="Times New Roman" w:eastAsia="Times New Roman" w:hAnsi="Times New Roman"/>
          <w:sz w:val="14"/>
          <w:szCs w:val="14"/>
          <w:color w:val="auto"/>
        </w:rPr>
      </w:pPr>
    </w:p>
    <w:p>
      <w:pPr>
        <w:ind w:left="2540" w:right="479" w:hanging="235"/>
        <w:spacing w:after="0" w:line="349" w:lineRule="auto"/>
        <w:tabs>
          <w:tab w:leader="none" w:pos="25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to pay any principal, interest or other monetary amounts due on any of our Senior Indebtedness (as defined with respect to the subordinated debt securities of such series) when due and continuance of that default beyond any applicable grace period; or</w:t>
      </w:r>
    </w:p>
    <w:p>
      <w:pPr>
        <w:spacing w:after="0" w:line="17" w:lineRule="exact"/>
        <w:rPr>
          <w:rFonts w:ascii="Times New Roman" w:cs="Times New Roman" w:eastAsia="Times New Roman" w:hAnsi="Times New Roman"/>
          <w:sz w:val="12"/>
          <w:szCs w:val="12"/>
          <w:color w:val="auto"/>
        </w:rPr>
      </w:pPr>
    </w:p>
    <w:p>
      <w:pPr>
        <w:ind w:left="2540" w:hanging="235"/>
        <w:spacing w:after="0"/>
        <w:tabs>
          <w:tab w:leader="none" w:pos="2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the maturity of any such Senior Indebtedness as a result of a default;</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holders of all of our Senior Indebtedness (as defined with respect to the subordinated debt securities of such series) will be entitled to receive:</w:t>
      </w:r>
    </w:p>
    <w:p>
      <w:pPr>
        <w:spacing w:after="0" w:line="94" w:lineRule="exact"/>
        <w:rPr>
          <w:sz w:val="20"/>
          <w:szCs w:val="20"/>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first bullet listed above, payment of all amounts due or to become due on all such Senior Indebtedness;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second and third bullets listed above, payment of all amounts due on all such Senior Indebtedness,</w:t>
      </w:r>
    </w:p>
    <w:p>
      <w:pPr>
        <w:spacing w:after="0" w:line="166" w:lineRule="exact"/>
        <w:rPr>
          <w:sz w:val="20"/>
          <w:szCs w:val="20"/>
          <w:color w:val="auto"/>
        </w:rPr>
      </w:pPr>
    </w:p>
    <w:p>
      <w:pPr>
        <w:jc w:val="both"/>
        <w:ind w:left="1480" w:right="499"/>
        <w:spacing w:after="0" w:line="254" w:lineRule="auto"/>
        <w:rPr>
          <w:sz w:val="20"/>
          <w:szCs w:val="20"/>
          <w:color w:val="auto"/>
        </w:rPr>
      </w:pPr>
      <w:r>
        <w:rPr>
          <w:rFonts w:ascii="Times New Roman" w:cs="Times New Roman" w:eastAsia="Times New Roman" w:hAnsi="Times New Roman"/>
          <w:sz w:val="14"/>
          <w:szCs w:val="14"/>
          <w:color w:val="auto"/>
        </w:rPr>
        <w:t>before the holders of any of the subordinated debt securities of such series are entitled to receive any payment. So long as any of the events in the first three bullets listed above has occurred and is continuing, any amounts payable or assets distributable on the subordinated debt securities of such series will instead be paid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7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spacing w:after="0" w:line="293" w:lineRule="auto"/>
        <w:rPr>
          <w:sz w:val="20"/>
          <w:szCs w:val="20"/>
          <w:color w:val="auto"/>
        </w:rPr>
      </w:pPr>
      <w:r>
        <w:rPr>
          <w:rFonts w:ascii="Times New Roman" w:cs="Times New Roman" w:eastAsia="Times New Roman" w:hAnsi="Times New Roman"/>
          <w:sz w:val="12"/>
          <w:szCs w:val="12"/>
          <w:color w:val="auto"/>
        </w:rPr>
        <w:t>distributed, as the case may be, directly to the holders of such Senior Indebtedness (as defined with respect to the subordinated debt securities of such series) to the extent necessary to pay, in the case of the first bullet listed above, all amounts due or to become due upon all such Senior Indebtedness, or, in the case of the second and third bullets listed above, all amounts due on all such Senior Indebtedness, and, if any such payment or distribution is received by the trustee under the subordinated indenture in respect of the subordinated debt securities of such series or by the holders of any of the subordinated debt securities of such series before all such Senior Indebtedness due and to become due or due, as applicable, is paid, the payment or distribution must be paid over to the holders of such unpaid Senior Indebtedness. Subject to paying the applicable Senior Indebtedness due and to become due in the case of the first bullet listed above or the Senior Indebtedness due in the case of the second and third bullets listed above, the holders of the subordinated debt securities of such series will be subrogated to the rights of the holders of such Senior Indebtedness to receive payments applicable to such Senior Indebtedness until the subordinated debt securities of such series are paid in full. (See Sections 1401 and 1403.)</w:t>
      </w:r>
    </w:p>
    <w:p>
      <w:pPr>
        <w:spacing w:after="0" w:line="286" w:lineRule="exact"/>
        <w:rPr>
          <w:sz w:val="20"/>
          <w:szCs w:val="20"/>
          <w:color w:val="auto"/>
        </w:rPr>
      </w:pPr>
    </w:p>
    <w:p>
      <w:pPr>
        <w:ind w:left="1480" w:right="479" w:firstLine="333"/>
        <w:spacing w:after="0" w:line="291" w:lineRule="auto"/>
        <w:rPr>
          <w:sz w:val="20"/>
          <w:szCs w:val="20"/>
          <w:color w:val="auto"/>
        </w:rPr>
      </w:pPr>
      <w:r>
        <w:rPr>
          <w:rFonts w:ascii="Times New Roman" w:cs="Times New Roman" w:eastAsia="Times New Roman" w:hAnsi="Times New Roman"/>
          <w:sz w:val="12"/>
          <w:szCs w:val="12"/>
          <w:color w:val="auto"/>
        </w:rPr>
        <w:t>“Senior Indebtedness” means, with respect to the subordinated debt securities of any series, (i) our indebtedness, whether outstanding at the date of the subordinated debt indenture or incurred, created or assumed after such date, (a) in respect of money borrowed by us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us; (ii) all our finance lease obligations; (iii) all our obligations issued or assumed as the deferred purchase price of property, all our conditional sale obligations and all our obligations under any title retention agreement (but excluding, for the avoidance of doubt, trade accounts payable arising in the ordinary course of business and long-term purchase obligations); (iv) all our obligations for the reimbursement of any letter of credit, banker’s acceptance, security purchase facility or similar credit transaction; and (v) all obligations of the type referred to in clauses (i) through (iv) above of other persons for the payment of which we are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subordinated debt securities of such series. (See Section 101.)</w:t>
      </w:r>
    </w:p>
    <w:p>
      <w:pPr>
        <w:spacing w:after="0" w:line="288" w:lineRule="exact"/>
        <w:rPr>
          <w:sz w:val="20"/>
          <w:szCs w:val="20"/>
          <w:color w:val="auto"/>
        </w:rPr>
      </w:pPr>
    </w:p>
    <w:p>
      <w:pPr>
        <w:ind w:left="1480" w:right="379" w:firstLine="333"/>
        <w:spacing w:after="0" w:line="316" w:lineRule="auto"/>
        <w:rPr>
          <w:sz w:val="20"/>
          <w:szCs w:val="20"/>
          <w:color w:val="auto"/>
        </w:rPr>
      </w:pPr>
      <w:r>
        <w:rPr>
          <w:rFonts w:ascii="Times New Roman" w:cs="Times New Roman" w:eastAsia="Times New Roman" w:hAnsi="Times New Roman"/>
          <w:sz w:val="12"/>
          <w:szCs w:val="12"/>
          <w:color w:val="auto"/>
        </w:rPr>
        <w:t>Due to the subordination, if our assets are distributed upon our dissolution, winding-up, liquidation or reorganization, holders of our Senior Indebtedness and other indebtedness and obligations that are not equal or junior to subordinated debt securities in right of payment will likely recover more, ratably, than holders of subordinated debt securities and it is possible that no payments will be made to the holders of subordinated debt securities.</w:t>
      </w:r>
    </w:p>
    <w:p>
      <w:pPr>
        <w:spacing w:after="0" w:line="109" w:lineRule="exact"/>
        <w:rPr>
          <w:sz w:val="20"/>
          <w:szCs w:val="20"/>
          <w:color w:val="auto"/>
        </w:rPr>
      </w:pPr>
    </w:p>
    <w:p>
      <w:pPr>
        <w:ind w:left="1480" w:right="899" w:firstLine="333"/>
        <w:spacing w:after="0" w:line="264" w:lineRule="auto"/>
        <w:rPr>
          <w:sz w:val="20"/>
          <w:szCs w:val="20"/>
          <w:color w:val="auto"/>
        </w:rPr>
      </w:pPr>
      <w:r>
        <w:rPr>
          <w:rFonts w:ascii="Times New Roman" w:cs="Times New Roman" w:eastAsia="Times New Roman" w:hAnsi="Times New Roman"/>
          <w:sz w:val="14"/>
          <w:szCs w:val="14"/>
          <w:color w:val="auto"/>
        </w:rPr>
        <w:t>The subordination provisions applicable to the subordinated debt securities of any series will cease to apply in the event of defeasance or satisfaction and discharge with respect to the subordinated debt securities of such series. (See Section 1307.)</w:t>
      </w:r>
    </w:p>
    <w:p>
      <w:pPr>
        <w:spacing w:after="0" w:line="136" w:lineRule="exact"/>
        <w:rPr>
          <w:sz w:val="20"/>
          <w:szCs w:val="20"/>
          <w:color w:val="auto"/>
        </w:rPr>
      </w:pPr>
    </w:p>
    <w:p>
      <w:pPr>
        <w:ind w:left="1480" w:right="399" w:firstLine="333"/>
        <w:spacing w:after="0" w:line="250" w:lineRule="auto"/>
        <w:rPr>
          <w:sz w:val="20"/>
          <w:szCs w:val="20"/>
          <w:color w:val="auto"/>
        </w:rPr>
      </w:pPr>
      <w:r>
        <w:rPr>
          <w:rFonts w:ascii="Times New Roman" w:cs="Times New Roman" w:eastAsia="Times New Roman" w:hAnsi="Times New Roman"/>
          <w:sz w:val="14"/>
          <w:szCs w:val="14"/>
          <w:color w:val="auto"/>
        </w:rPr>
        <w:t>The subordinated debt securities and the subordinated indenture do not limit us or any of our subsidiaries’ ability to incur additional indebtedness, including, in our case of, Senior Indebtedness. We expect that we will incur, and that our subsidiaries will incur, substantial additional amounts of indebtedness, including, in our case, Senior Indebtedness, in the future. The subordinated debt securities will be structurally subordinated to all indebtedness and other liabilities of our subsidiaries. (See Section 301.)</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88"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 terms and conditions of any series of debt securities being offered that are convertible into our common stock or other equity securities will be set forth in the applicable prospectus supplement or free writing prospectus. These terms will include the conversion price, the conversion period, provisions as to whether conversion will be at the option of the holder or us, the events requiring an adjustment of the conversion price and provisions affecting conversion if such series of debt securities are redeemed.</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7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88" w:lineRule="exact"/>
        <w:rPr>
          <w:sz w:val="20"/>
          <w:szCs w:val="20"/>
          <w:color w:val="auto"/>
        </w:rPr>
      </w:pPr>
    </w:p>
    <w:p>
      <w:pPr>
        <w:ind w:left="1480" w:right="439" w:firstLine="333"/>
        <w:spacing w:after="0" w:line="250" w:lineRule="auto"/>
        <w:rPr>
          <w:sz w:val="20"/>
          <w:szCs w:val="20"/>
          <w:color w:val="auto"/>
        </w:rPr>
      </w:pPr>
      <w:r>
        <w:rPr>
          <w:rFonts w:ascii="Times New Roman" w:cs="Times New Roman" w:eastAsia="Times New Roman" w:hAnsi="Times New Roman"/>
          <w:sz w:val="14"/>
          <w:szCs w:val="14"/>
          <w:color w:val="auto"/>
        </w:rPr>
        <w:t>Each indenture provides that certain debt securities, including those for which payment or redemption money has been deposited or set aside in trust as described under “—Satisfaction and Discharge” above, will not be deemed to be “outstanding” in determining whether the registered holders of the requisite principal amount of the outstanding debt securities have given or taken any demand, direction, consent or other action under the indenture as of any date. (See Section 101.)</w:t>
      </w:r>
    </w:p>
    <w:p>
      <w:pPr>
        <w:spacing w:after="0" w:line="146" w:lineRule="exact"/>
        <w:rPr>
          <w:sz w:val="20"/>
          <w:szCs w:val="20"/>
          <w:color w:val="auto"/>
        </w:rPr>
      </w:pPr>
    </w:p>
    <w:p>
      <w:pPr>
        <w:ind w:left="1480" w:right="379" w:firstLine="333"/>
        <w:spacing w:after="0" w:line="300" w:lineRule="auto"/>
        <w:rPr>
          <w:sz w:val="20"/>
          <w:szCs w:val="20"/>
          <w:color w:val="auto"/>
        </w:rPr>
      </w:pPr>
      <w:r>
        <w:rPr>
          <w:rFonts w:ascii="Times New Roman" w:cs="Times New Roman" w:eastAsia="Times New Roman" w:hAnsi="Times New Roman"/>
          <w:sz w:val="12"/>
          <w:szCs w:val="12"/>
          <w:color w:val="auto"/>
        </w:rPr>
        <w:t>We will be entitled to set any day as a record date for the purpose of determining the registered holders of outstanding debt securities of any series entitled to give or take any demand, direction, consent or other action under the applicable indenture, in the manner and subject to the limitations provided in the applicable indenture. In certain circumstances, the trustee also will be entitled to set a record date for action by registered holders of any series of outstanding debt securities. If a record date is set for any action to be taken by registered holders of particular debt securities, the action may be taken only by persons who are registered holders of the respective debt securities on the record date. (See Section 104.)</w:t>
      </w:r>
    </w:p>
    <w:p>
      <w:pPr>
        <w:spacing w:after="0" w:line="1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Each indenture and the debt securities will be governed by and construed in accordance with the laws of the State of New York, without regard to conflicts of laws principles thereof. (See Section 112.)</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7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70"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purchase contracts, units, depositary shares or warrants that may be offered and sold pursuant to this prospectus.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7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68" w:lineRule="exact"/>
        <w:rPr>
          <w:sz w:val="20"/>
          <w:szCs w:val="20"/>
          <w:color w:val="auto"/>
        </w:rPr>
      </w:pPr>
    </w:p>
    <w:p>
      <w:pPr>
        <w:ind w:left="1480" w:right="51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Under this heading “Global Securities,” references to “Sempra,” “we,” “us,” “our” and similar terms mean, unless otherwise specified or the context otherwise requires, Sempra excluding its consolidated entities; and references to the “securities” mean the debt securities offered under this prospectus and the applicable prospectus supplement or free writing prospectus.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88"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debt securities of each series initially will be issued in book-entry form and represented by one or more global debt securities, which we refer to as “global securities.” The global securities will be deposited with, or on behalf of, DTC, as depositary (which we sometimes refer to as the “depositary”), and registered in the name of Cede &amp; Co., the nominee of DTC. Unless and until it is exchanged for definitive debt securities in certificated form registered in the names of persons other than the depositary or its nominee, which we refer to as “certificated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4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94" w:lineRule="exact"/>
        <w:rPr>
          <w:sz w:val="20"/>
          <w:szCs w:val="20"/>
          <w:color w:val="auto"/>
        </w:rPr>
      </w:pPr>
    </w:p>
    <w:p>
      <w:pPr>
        <w:ind w:left="2220" w:hanging="334"/>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66"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Indirect access to the DTC system is also available to others, which we sometimes refer to as “indirect participants,” that clear transactions through or maintain a custodial relationship with a direct participant, either directly or indirectly. The rules applicable to DTC and its participants are on file with the SEC.</w:t>
      </w:r>
    </w:p>
    <w:p>
      <w:pPr>
        <w:spacing w:after="0" w:line="150"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47" w:lineRule="exact"/>
        <w:rPr>
          <w:sz w:val="20"/>
          <w:szCs w:val="20"/>
          <w:color w:val="auto"/>
        </w:rPr>
      </w:pPr>
    </w:p>
    <w:p>
      <w:pPr>
        <w:jc w:val="both"/>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nominee, Cede &amp; Co., or such other name as may be requested by an authorized representative of DTC. The deposit of securities with DTC and their registration in the name of Cede &amp; Co.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7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479"/>
        <w:spacing w:after="0" w:line="254" w:lineRule="auto"/>
        <w:rPr>
          <w:sz w:val="20"/>
          <w:szCs w:val="20"/>
          <w:color w:val="auto"/>
        </w:rPr>
      </w:pPr>
      <w:r>
        <w:rPr>
          <w:rFonts w:ascii="Times New Roman" w:cs="Times New Roman" w:eastAsia="Times New Roman" w:hAnsi="Times New Roman"/>
          <w:sz w:val="14"/>
          <w:szCs w:val="14"/>
          <w:color w:val="auto"/>
        </w:rPr>
        <w:t>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42"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So long as the securities are in book-entry form, you will receive payments and may transfer securities only through the facilities of the depositary and its direct and indirect participants.</w:t>
      </w:r>
    </w:p>
    <w:p>
      <w:pPr>
        <w:spacing w:after="0" w:line="136" w:lineRule="exact"/>
        <w:rPr>
          <w:sz w:val="20"/>
          <w:szCs w:val="20"/>
          <w:color w:val="auto"/>
        </w:rPr>
      </w:pPr>
    </w:p>
    <w:p>
      <w:pPr>
        <w:ind w:left="1480" w:right="619" w:firstLine="333"/>
        <w:spacing w:after="0" w:line="254"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42" w:lineRule="exact"/>
        <w:rPr>
          <w:sz w:val="20"/>
          <w:szCs w:val="20"/>
          <w:color w:val="auto"/>
        </w:rPr>
      </w:pPr>
    </w:p>
    <w:p>
      <w:pPr>
        <w:ind w:left="1480" w:right="659" w:firstLine="333"/>
        <w:spacing w:after="0" w:line="264"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global securities of a particular series are being redeemed, DTC’s practice is to determine by lot the amount of the beneficial interest of each direct participant in the global securities of such series to be redeemed.</w:t>
      </w:r>
    </w:p>
    <w:p>
      <w:pPr>
        <w:spacing w:after="0" w:line="136" w:lineRule="exact"/>
        <w:rPr>
          <w:sz w:val="20"/>
          <w:szCs w:val="20"/>
          <w:color w:val="auto"/>
        </w:rPr>
      </w:pPr>
    </w:p>
    <w:p>
      <w:pPr>
        <w:ind w:left="1480" w:right="399" w:firstLine="333"/>
        <w:spacing w:after="0" w:line="248" w:lineRule="auto"/>
        <w:rPr>
          <w:sz w:val="20"/>
          <w:szCs w:val="20"/>
          <w:color w:val="auto"/>
        </w:rPr>
      </w:pPr>
      <w:r>
        <w:rPr>
          <w:rFonts w:ascii="Times New Roman" w:cs="Times New Roman" w:eastAsia="Times New Roman" w:hAnsi="Times New Roman"/>
          <w:sz w:val="14"/>
          <w:szCs w:val="14"/>
          <w:color w:val="auto"/>
        </w:rPr>
        <w:t>In any case where a consent or vote may be required with respect to any securities, neither DTC nor Cede &amp; Co. (or such other DTC nominee) will consent or vote with respect to the applicable global securities. Under its usual procedures, DTC will mail an omnibus proxy to us as soon as possible after the record date. The omnibus proxy assigns the consenting or voting rights of Cede &amp; Co. (or such other DTC nominee) to those direct participants to whose accounts beneficial interests in such global securities are credited on the record date, identified in a listing attached to the omnibus proxy.</w:t>
      </w:r>
    </w:p>
    <w:p>
      <w:pPr>
        <w:spacing w:after="0" w:line="149" w:lineRule="exact"/>
        <w:rPr>
          <w:sz w:val="20"/>
          <w:szCs w:val="20"/>
          <w:color w:val="auto"/>
        </w:rPr>
      </w:pPr>
    </w:p>
    <w:p>
      <w:pPr>
        <w:ind w:left="1480" w:right="419" w:firstLine="333"/>
        <w:spacing w:after="0" w:line="300" w:lineRule="auto"/>
        <w:rPr>
          <w:sz w:val="20"/>
          <w:szCs w:val="20"/>
          <w:color w:val="auto"/>
        </w:rPr>
      </w:pPr>
      <w:r>
        <w:rPr>
          <w:rFonts w:ascii="Times New Roman" w:cs="Times New Roman" w:eastAsia="Times New Roman" w:hAnsi="Times New Roman"/>
          <w:sz w:val="12"/>
          <w:szCs w:val="12"/>
          <w:color w:val="auto"/>
        </w:rPr>
        <w:t>So long as securities are in book-entry form, we will make payments on those securities to the depositary or its nominee, as the registered owner of such securities, by wire transfer of immediately available funds. If certificated securities are issued under the limited circumstances described below, we will have the option of making payments by check mailed to the addresses of the persons entitled to payment as such addresses shall appear in the security register or by wire transfer at such places and to such accounts at such banking institutions in the United States as may be designated in writing to the applicable trustee at least 15 days before the applicable payment date by the persons entitled to payment.</w:t>
      </w:r>
    </w:p>
    <w:p>
      <w:pPr>
        <w:spacing w:after="0" w:line="118"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DTC’s practice is to credit direct participants’ accounts upon DTC’s receipt of funds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the principal of, premium (if any) and interest on the global securities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47" w:lineRule="exact"/>
        <w:rPr>
          <w:sz w:val="20"/>
          <w:szCs w:val="20"/>
          <w:color w:val="auto"/>
        </w:rPr>
      </w:pPr>
    </w:p>
    <w:p>
      <w:pPr>
        <w:ind w:left="1480" w:right="539" w:firstLine="333"/>
        <w:spacing w:after="0" w:line="254"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applicable indenture.</w:t>
      </w:r>
    </w:p>
    <w:p>
      <w:pPr>
        <w:spacing w:after="0" w:line="142" w:lineRule="exact"/>
        <w:rPr>
          <w:sz w:val="20"/>
          <w:szCs w:val="20"/>
          <w:color w:val="auto"/>
        </w:rPr>
      </w:pPr>
    </w:p>
    <w:p>
      <w:pPr>
        <w:ind w:left="1480" w:right="519" w:firstLine="333"/>
        <w:spacing w:after="0" w:line="264"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7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65" w:lineRule="exact"/>
        <w:rPr>
          <w:sz w:val="20"/>
          <w:szCs w:val="20"/>
          <w:color w:val="auto"/>
        </w:rPr>
      </w:pPr>
    </w:p>
    <w:p>
      <w:pPr>
        <w:ind w:left="2220" w:right="519" w:hanging="334"/>
        <w:spacing w:after="0" w:line="250" w:lineRule="auto"/>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depositary for the global security or securities representing such series of securities or if DTC ceases to be a clearing agency registered under the Exchange Act at a time when it is required to be registered and a successor depositary is not appointed by us within 90 days of the notification to us or of our becoming aware of DTC’s ceasing to be so registered, as the case may be;</w:t>
      </w:r>
    </w:p>
    <w:p>
      <w:pPr>
        <w:spacing w:after="0" w:line="7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the securities of such series represented by one or more global securities;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event of default (as defined) under the applicable indenture has occurred and is continuing with respect to the securities of such series,</w:t>
      </w:r>
    </w:p>
    <w:p>
      <w:pPr>
        <w:spacing w:after="0" w:line="189" w:lineRule="exact"/>
        <w:rPr>
          <w:sz w:val="20"/>
          <w:szCs w:val="20"/>
          <w:color w:val="auto"/>
        </w:rPr>
      </w:pPr>
    </w:p>
    <w:p>
      <w:pPr>
        <w:jc w:val="both"/>
        <w:ind w:left="1480" w:right="419"/>
        <w:spacing w:after="0" w:line="250" w:lineRule="auto"/>
        <w:rPr>
          <w:sz w:val="20"/>
          <w:szCs w:val="20"/>
          <w:color w:val="auto"/>
        </w:rPr>
      </w:pPr>
      <w:r>
        <w:rPr>
          <w:rFonts w:ascii="Times New Roman" w:cs="Times New Roman" w:eastAsia="Times New Roman" w:hAnsi="Times New Roman"/>
          <w:sz w:val="14"/>
          <w:szCs w:val="14"/>
          <w:color w:val="auto"/>
        </w:rPr>
        <w:t>we will prepare and deliver certificated securities of such series in exchange for beneficial interests in the global securities. Any beneficial interest in a global security that is exchangeable under the circumstances described in the preceding sentence will be exchangeable for certificated securities of such series in definitive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Euroclear and Clearstream</w:t>
      </w:r>
    </w:p>
    <w:p>
      <w:pPr>
        <w:spacing w:after="0" w:line="86"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50" w:lineRule="exact"/>
        <w:rPr>
          <w:sz w:val="20"/>
          <w:szCs w:val="20"/>
          <w:color w:val="auto"/>
        </w:rPr>
      </w:pPr>
    </w:p>
    <w:p>
      <w:pPr>
        <w:jc w:val="both"/>
        <w:ind w:left="1480" w:right="439" w:firstLine="333"/>
        <w:spacing w:after="0" w:line="254"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42"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42"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42"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7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349" w:lineRule="auto"/>
        <w:rPr>
          <w:sz w:val="20"/>
          <w:szCs w:val="20"/>
          <w:color w:val="auto"/>
        </w:rPr>
      </w:pPr>
      <w:r>
        <w:rPr>
          <w:rFonts w:ascii="Times New Roman" w:cs="Times New Roman" w:eastAsia="Times New Roman" w:hAnsi="Times New Roman"/>
          <w:sz w:val="12"/>
          <w:szCs w:val="12"/>
          <w:color w:val="auto"/>
        </w:rPr>
        <w:t>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89"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2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86" w:lineRule="exact"/>
        <w:rPr>
          <w:sz w:val="20"/>
          <w:szCs w:val="20"/>
          <w:color w:val="auto"/>
        </w:rPr>
      </w:pPr>
    </w:p>
    <w:p>
      <w:pPr>
        <w:ind w:left="1480" w:right="359" w:firstLine="333"/>
        <w:spacing w:after="0" w:line="292" w:lineRule="auto"/>
        <w:rPr>
          <w:sz w:val="20"/>
          <w:szCs w:val="20"/>
          <w:color w:val="auto"/>
        </w:rPr>
      </w:pPr>
      <w:r>
        <w:rPr>
          <w:rFonts w:ascii="Times New Roman" w:cs="Times New Roman" w:eastAsia="Times New Roman" w:hAnsi="Times New Roman"/>
          <w:sz w:val="12"/>
          <w:szCs w:val="12"/>
          <w:color w:val="auto"/>
        </w:rPr>
        <w:t>The information under this heading “Global Securities”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nor any broker, dealer, underwriter or agent of ours involved in the offer or sale of any securities, has any control over those entities and none of us or them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the trustee nor any agent of ours or of the trustee, nor any broker, dealer, underwriter or agent of ours involved in the offer or sale of any securities, will have any responsibility for the performance or nonperformance by DTC, Clearstream and Euroclear or their respective participants of these or any other rules or procedures governing their respective operations.</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7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We may sell the securities offered pursuant to this prospectus from time to time:</w:t>
      </w:r>
    </w:p>
    <w:p>
      <w:pPr>
        <w:spacing w:after="0" w:line="94" w:lineRule="exact"/>
        <w:rPr>
          <w:sz w:val="20"/>
          <w:szCs w:val="20"/>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foregoing methods of sale.</w:t>
      </w:r>
    </w:p>
    <w:p>
      <w:pPr>
        <w:spacing w:after="0" w:line="166" w:lineRule="exact"/>
        <w:rPr>
          <w:sz w:val="20"/>
          <w:szCs w:val="20"/>
          <w:color w:val="auto"/>
        </w:rPr>
      </w:pPr>
    </w:p>
    <w:p>
      <w:pPr>
        <w:ind w:left="1480" w:right="1119" w:firstLine="333"/>
        <w:spacing w:after="0" w:line="264"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respective compensation, in the applicable prospectus supplement.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7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Sempra. Additional legal matters may be passed upon for us or any underwriters, dealers or agents, by counsel that we will name in the applicable prospectus supplement.</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479" w:firstLine="333"/>
        <w:spacing w:after="0" w:line="316" w:lineRule="auto"/>
        <w:rPr>
          <w:sz w:val="20"/>
          <w:szCs w:val="20"/>
          <w:color w:val="auto"/>
        </w:rPr>
      </w:pPr>
      <w:r>
        <w:rPr>
          <w:rFonts w:ascii="Times New Roman" w:cs="Times New Roman" w:eastAsia="Times New Roman" w:hAnsi="Times New Roman"/>
          <w:sz w:val="12"/>
          <w:szCs w:val="12"/>
          <w:color w:val="auto"/>
        </w:rPr>
        <w:t>The financial statements of Sempra incorporated by reference in this prospectus and the effectiveness of Sempra’s internal control over financial reporting, have been audited by Deloitte &amp; Touche LLP, an independent registered public accounting firm, as stated in their reports. Such financial statements are incorporated in reliance upon the reports of such firm given upon their authority as experts in accounting and auditing.</w:t>
      </w:r>
    </w:p>
    <w:p>
      <w:pPr>
        <w:spacing w:after="0" w:line="109"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The financial statements of Oncor Electric Delivery Holdings Company LLC incorporated by reference in this prospectus, have been audited by Deloitte &amp; Touche LLP, independent auditors, as stated in their report. Such financial statements are incorporated in reliance upon the report of such firm given upon their authority as experts in accounting and auditing.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7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195580</wp:posOffset>
            </wp:positionV>
            <wp:extent cx="529145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5291455" cy="1270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234315</wp:posOffset>
            </wp:positionV>
            <wp:extent cx="529145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2938780</wp:posOffset>
            </wp:positionH>
            <wp:positionV relativeFrom="paragraph">
              <wp:posOffset>500380</wp:posOffset>
            </wp:positionV>
            <wp:extent cx="1290320" cy="259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1290320" cy="259080"/>
                    </a:xfrm>
                    <a:prstGeom prst="rect">
                      <a:avLst/>
                    </a:prstGeom>
                    <a:noFill/>
                  </pic:spPr>
                </pic:pic>
              </a:graphicData>
            </a:graphic>
          </wp:anchor>
        </w:drawing>
      </w:r>
    </w:p>
    <w:p>
      <w:pPr>
        <w:sectPr>
          <w:pgSz w:w="11900" w:h="16838" w:orient="portrait"/>
          <w:cols w:equalWidth="0" w:num="1">
            <w:col w:w="10159"/>
          </w:cols>
          <w:pgMar w:left="300" w:top="3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$1,000,000,000 Floating Rate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1806575</wp:posOffset>
            </wp:positionV>
            <wp:extent cx="110871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184150</wp:posOffset>
            </wp:positionV>
            <wp:extent cx="110871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1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BMO Capital Markets</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Academy Securities</w:t>
      </w:r>
    </w:p>
    <w:p>
      <w:pPr>
        <w:spacing w:after="0" w:line="3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323215</wp:posOffset>
            </wp:positionV>
            <wp:extent cx="529145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375285</wp:posOffset>
            </wp:positionV>
            <wp:extent cx="529145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5291455" cy="12700"/>
                    </a:xfrm>
                    <a:prstGeom prst="rect">
                      <a:avLst/>
                    </a:prstGeom>
                    <a:noFill/>
                  </pic:spPr>
                </pic:pic>
              </a:graphicData>
            </a:graphic>
          </wp:anchor>
        </w:drawing>
      </w:r>
    </w:p>
    <w:p>
      <w:pPr>
        <w:sectPr>
          <w:pgSz w:w="11900" w:h="16838" w:orient="portrait"/>
          <w:cols w:equalWidth="0" w:num="1">
            <w:col w:w="10159"/>
          </w:cols>
          <w:pgMar w:left="300" w:top="378" w:right="1440" w:bottom="1440" w:gutter="0" w:footer="0" w:header="0"/>
          <w:type w:val="continuous"/>
        </w:sectPr>
      </w:pPr>
    </w:p>
    <w:bookmarkStart w:id="71" w:name="page72"/>
    <w:bookmarkEnd w:id="71"/>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SEMPRA</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7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4"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4"/>
                <w:szCs w:val="14"/>
                <w:color w:val="auto"/>
              </w:rPr>
            </w:pPr>
          </w:p>
        </w:tc>
        <w:tc>
          <w:tcPr>
            <w:tcW w:w="1080" w:type="dxa"/>
            <w:vAlign w:val="bottom"/>
            <w:vMerge w:val="restart"/>
            <w:shd w:val="clear" w:color="auto" w:fill="9ADAF6"/>
          </w:tcPr>
          <w:p>
            <w:pPr>
              <w:jc w:val="right"/>
              <w:ind w:right="15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ind w:left="120"/>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9"/>
                <w:szCs w:val="9"/>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60"/>
              <w:spacing w:after="0" w:line="164"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jc w:val="right"/>
              <w:ind w:right="38"/>
              <w:spacing w:after="0" w:line="164"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7"/>
                <w:szCs w:val="17"/>
                <w:color w:val="auto"/>
              </w:rPr>
            </w:pPr>
          </w:p>
        </w:tc>
        <w:tc>
          <w:tcPr>
            <w:tcW w:w="10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Floating</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Rate</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w:t>
            </w:r>
          </w:p>
        </w:tc>
        <w:tc>
          <w:tcPr>
            <w:tcW w:w="20" w:type="dxa"/>
            <w:vAlign w:val="bottom"/>
          </w:tcPr>
          <w:p>
            <w:pPr>
              <w:spacing w:after="0"/>
              <w:rPr>
                <w:sz w:val="7"/>
                <w:szCs w:val="7"/>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$ 1.00</w:t>
            </w: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1,000,000,000.00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due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2028</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Offering Amounts:</w:t>
            </w:r>
          </w:p>
        </w:tc>
        <w:tc>
          <w:tcPr>
            <w:tcW w:w="7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$ 138,100.00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Fees Previously Paid: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 Offsets: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$ 34,174.01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Net Fee Due:</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$ 103,925.99</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2" w:lineRule="exact"/>
        <w:rPr>
          <w:sz w:val="20"/>
          <w:szCs w:val="20"/>
          <w:color w:val="auto"/>
        </w:rPr>
      </w:pPr>
    </w:p>
    <w:p>
      <w:pPr>
        <w:ind w:left="200" w:right="140" w:hanging="168"/>
        <w:spacing w:after="0" w:line="234" w:lineRule="auto"/>
        <w:tabs>
          <w:tab w:leader="none" w:pos="200" w:val="left"/>
        </w:tabs>
        <w:numPr>
          <w:ilvl w:val="0"/>
          <w:numId w:val="44"/>
        </w:numPr>
        <w:rPr>
          <w:rFonts w:ascii="Arial" w:cs="Arial" w:eastAsia="Arial" w:hAnsi="Arial"/>
          <w:sz w:val="20"/>
          <w:szCs w:val="20"/>
          <w:color w:val="auto"/>
          <w:vertAlign w:val="superscript"/>
        </w:rPr>
      </w:pPr>
      <w:r>
        <w:rPr>
          <w:rFonts w:ascii="Arial" w:cs="Arial" w:eastAsia="Arial" w:hAnsi="Arial"/>
          <w:sz w:val="16"/>
          <w:szCs w:val="16"/>
          <w:color w:val="auto"/>
        </w:rPr>
        <w:t>The registration fee is calculated in accordance with Rule 457(r) of the Securities Act of 1933, as amended. This "Calculation of Filing Fee" table shall be deemed to update the "Calculation of Registration Fee" table in the registrant's Registration Statement on Form S-3ASR (File No. 333-295948) in accordance with Rules 456(b) and 457(r)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0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4"/>
          </w:tcPr>
          <w:p>
            <w:pPr>
              <w:ind w:left="6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w:t>
            </w:r>
          </w:p>
        </w:tc>
        <w:tc>
          <w:tcPr>
            <w:tcW w:w="20" w:type="dxa"/>
            <w:vAlign w:val="bottom"/>
          </w:tcPr>
          <w:p>
            <w:pPr>
              <w:spacing w:after="0"/>
              <w:rPr>
                <w:sz w:val="7"/>
                <w:szCs w:val="7"/>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7"/>
                <w:szCs w:val="7"/>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8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7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8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Filer Name</w:t>
            </w:r>
          </w:p>
        </w:tc>
        <w:tc>
          <w:tcPr>
            <w:tcW w:w="20" w:type="dxa"/>
            <w:vAlign w:val="bottom"/>
          </w:tcPr>
          <w:p>
            <w:pPr>
              <w:spacing w:after="0"/>
              <w:rPr>
                <w:sz w:val="9"/>
                <w:szCs w:val="9"/>
                <w:color w:val="auto"/>
              </w:rPr>
            </w:pPr>
          </w:p>
        </w:tc>
        <w:tc>
          <w:tcPr>
            <w:tcW w:w="5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9"/>
                <w:szCs w:val="9"/>
                <w:color w:val="auto"/>
              </w:rPr>
            </w:pPr>
          </w:p>
        </w:tc>
        <w:tc>
          <w:tcPr>
            <w:tcW w:w="8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116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Associated</w:t>
            </w:r>
          </w:p>
        </w:tc>
        <w:tc>
          <w:tcPr>
            <w:tcW w:w="20" w:type="dxa"/>
            <w:vAlign w:val="bottom"/>
          </w:tcPr>
          <w:p>
            <w:pPr>
              <w:spacing w:after="0"/>
              <w:rPr>
                <w:sz w:val="9"/>
                <w:szCs w:val="9"/>
                <w:color w:val="auto"/>
              </w:rPr>
            </w:pPr>
          </w:p>
        </w:tc>
        <w:tc>
          <w:tcPr>
            <w:tcW w:w="76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1"/>
                <w:szCs w:val="11"/>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1"/>
                <w:szCs w:val="11"/>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1"/>
                <w:szCs w:val="11"/>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1"/>
                <w:szCs w:val="11"/>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vMerge w:val="continue"/>
            <w:shd w:val="clear" w:color="auto" w:fill="9ADAF6"/>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gridSpan w:val="7"/>
          </w:tcPr>
          <w:p>
            <w:pPr>
              <w:ind w:left="56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3"/>
          </w:tcPr>
          <w:p>
            <w:pPr>
              <w:jc w:val="right"/>
              <w:ind w:right="358"/>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500" w:type="dxa"/>
            <w:vAlign w:val="bottom"/>
            <w:vMerge w:val="restart"/>
            <w:shd w:val="clear" w:color="auto" w:fill="E7E7E2"/>
          </w:tcPr>
          <w:p>
            <w:pPr>
              <w:jc w:val="right"/>
              <w:ind w:right="118"/>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12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Sempra</w:t>
            </w:r>
          </w:p>
        </w:tc>
        <w:tc>
          <w:tcPr>
            <w:tcW w:w="20" w:type="dxa"/>
            <w:vAlign w:val="bottom"/>
          </w:tcPr>
          <w:p>
            <w:pPr>
              <w:spacing w:after="0"/>
              <w:rPr>
                <w:sz w:val="15"/>
                <w:szCs w:val="15"/>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15"/>
                <w:szCs w:val="15"/>
                <w:color w:val="auto"/>
              </w:rPr>
            </w:pPr>
          </w:p>
        </w:tc>
        <w:tc>
          <w:tcPr>
            <w:tcW w:w="7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05/26/2023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5"/>
                <w:szCs w:val="15"/>
                <w:color w:val="auto"/>
              </w:rPr>
            </w:pPr>
          </w:p>
        </w:tc>
        <w:tc>
          <w:tcPr>
            <w:tcW w:w="5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272237</w:t>
            </w:r>
          </w:p>
        </w:tc>
        <w:tc>
          <w:tcPr>
            <w:tcW w:w="20" w:type="dxa"/>
            <w:vAlign w:val="bottom"/>
          </w:tcPr>
          <w:p>
            <w:pPr>
              <w:spacing w:after="0"/>
              <w:rPr>
                <w:sz w:val="15"/>
                <w:szCs w:val="15"/>
                <w:color w:val="auto"/>
              </w:rPr>
            </w:pPr>
          </w:p>
        </w:tc>
        <w:tc>
          <w:tcPr>
            <w:tcW w:w="8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34,174.01</w:t>
            </w:r>
          </w:p>
        </w:tc>
        <w:tc>
          <w:tcPr>
            <w:tcW w:w="20" w:type="dxa"/>
            <w:vAlign w:val="bottom"/>
          </w:tcPr>
          <w:p>
            <w:pPr>
              <w:spacing w:after="0"/>
              <w:rPr>
                <w:sz w:val="15"/>
                <w:szCs w:val="15"/>
                <w:color w:val="auto"/>
              </w:rPr>
            </w:pPr>
          </w:p>
        </w:tc>
        <w:tc>
          <w:tcPr>
            <w:tcW w:w="9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without par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223,213,701.75</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500" w:type="dxa"/>
            <w:vAlign w:val="bottom"/>
            <w:vMerge w:val="restart"/>
            <w:shd w:val="clear" w:color="auto" w:fill="E7E7E2"/>
          </w:tcPr>
          <w:p>
            <w:pPr>
              <w:jc w:val="right"/>
              <w:ind w:right="118"/>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12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Sempra</w:t>
            </w:r>
          </w:p>
        </w:tc>
        <w:tc>
          <w:tcPr>
            <w:tcW w:w="20" w:type="dxa"/>
            <w:vAlign w:val="bottom"/>
          </w:tcPr>
          <w:p>
            <w:pPr>
              <w:spacing w:after="0"/>
              <w:rPr>
                <w:sz w:val="15"/>
                <w:szCs w:val="15"/>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vMerge w:val="continue"/>
          </w:tcPr>
          <w:p>
            <w:pPr>
              <w:spacing w:after="0"/>
              <w:rPr>
                <w:sz w:val="15"/>
                <w:szCs w:val="15"/>
                <w:color w:val="auto"/>
              </w:rPr>
            </w:pPr>
          </w:p>
        </w:tc>
        <w:tc>
          <w:tcPr>
            <w:tcW w:w="700" w:type="dxa"/>
            <w:vAlign w:val="bottom"/>
            <w:shd w:val="clear" w:color="auto" w:fill="E7E7E2"/>
          </w:tcPr>
          <w:p>
            <w:pPr>
              <w:jc w:val="center"/>
              <w:spacing w:after="0" w:line="173" w:lineRule="exact"/>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11/06/2024</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60" w:type="dxa"/>
            <w:vAlign w:val="bottom"/>
            <w:shd w:val="clear" w:color="auto" w:fill="E7E7E2"/>
          </w:tcPr>
          <w:p>
            <w:pPr>
              <w:jc w:val="right"/>
              <w:spacing w:after="0" w:line="173" w:lineRule="exact"/>
              <w:rPr>
                <w:sz w:val="20"/>
                <w:szCs w:val="20"/>
                <w:color w:val="auto"/>
              </w:rPr>
            </w:pPr>
            <w:r>
              <w:rPr>
                <w:rFonts w:ascii="Arial" w:cs="Arial" w:eastAsia="Arial" w:hAnsi="Arial"/>
                <w:sz w:val="16"/>
                <w:szCs w:val="16"/>
                <w:color w:val="auto"/>
              </w:rPr>
              <w:t>$</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5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272237</w:t>
            </w: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34,174.01</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8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Rule 457(p) Statement of Withdrawal, Termination, or Completion:</w:t>
      </w:r>
    </w:p>
    <w:p>
      <w:pPr>
        <w:spacing w:after="0" w:line="112" w:lineRule="exact"/>
        <w:rPr>
          <w:sz w:val="20"/>
          <w:szCs w:val="20"/>
          <w:color w:val="auto"/>
        </w:rPr>
      </w:pPr>
    </w:p>
    <w:p>
      <w:pPr>
        <w:ind w:left="200" w:right="140" w:hanging="168"/>
        <w:spacing w:after="0" w:line="237" w:lineRule="auto"/>
        <w:tabs>
          <w:tab w:leader="none" w:pos="20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Sempra previously registered (i) shares of common stock, without par value, having an aggregate gross sales price of up to $3,000,000,000, pursuant to a prospectus supplement dated November 6, 2024 (the "Prior Prospectus Supplement") and the accompanying prospectus dated May 26, 2023 that formed a part of a registration statement on Form S-3ASR (Registration No. 333-272237). The offering under the Prior Prospectus Supplement has terminated. The registration fee for the shares of common stock registered pursuant to the Prior Prospectus Supplement totaled $459,300.00, of which $34,174.01 (calculated at the filing fee rate in effect at the time of the filing of the Prior Prospectus Supplement) was contemporaneously paid with the filing of the Prior Prospectus Supplement and relates to unsold shares of common stock having an aggregate gross sales price of up to $223,213,701.75 and therefore is available to offset registration fees payable pursuant to this prospectus supplement. Sempra hereby uses the available previously paid but unused registration fees associated with the Prior Prospectus Supplement in the amount of $34,174.01 to partially offset the total registration fee due under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61595</wp:posOffset>
            </wp:positionV>
            <wp:extent cx="715200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Offset Note</w:t>
      </w:r>
    </w:p>
    <w:p>
      <w:pPr>
        <w:spacing w:after="0" w:line="98" w:lineRule="exact"/>
        <w:rPr>
          <w:sz w:val="20"/>
          <w:szCs w:val="20"/>
          <w:color w:val="auto"/>
        </w:rPr>
      </w:pPr>
    </w:p>
    <w:p>
      <w:pPr>
        <w:ind w:left="200" w:hanging="168"/>
        <w:spacing w:after="0"/>
        <w:tabs>
          <w:tab w:leader="none" w:pos="20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15200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3: Combined Prospectuses</w:t>
            </w:r>
          </w:p>
        </w:tc>
        <w:tc>
          <w:tcPr>
            <w:tcW w:w="2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Narrative Disclosure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maximum aggregate offering price of the securities to which the prospectus relates is $1,000,000,000.00. The prospectus is a final prospectus for the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00"/>
      </w:cols>
      <w:pgMar w:left="300" w:top="13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Roman"/>
      <w:start w:val="3"/>
    </w:lvl>
  </w:abstractNum>
  <w:abstractNum w:abstractNumId="4">
    <w:nsid w:val="4353D0CD"/>
    <w:multiLevelType w:val="hybridMultilevel"/>
    <w:lvl w:ilvl="0">
      <w:lvlJc w:val="left"/>
      <w:lvlText w:val="(%1)"/>
      <w:numFmt w:val="lowerRoman"/>
      <w:start w:val="2"/>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lowerLetter"/>
      <w:start w:val="1"/>
    </w:lvl>
    <w:lvl w:ilvl="1">
      <w:lvlJc w:val="left"/>
      <w:lvlText w:val="(%2)"/>
      <w:numFmt w:val="lowerRoman"/>
      <w:start w:val="1"/>
    </w:lvl>
  </w:abstractNum>
  <w:abstractNum w:abstractNumId="13">
    <w:nsid w:val="8138641"/>
    <w:multiLevelType w:val="hybridMultilevel"/>
    <w:lvl w:ilvl="0">
      <w:lvlJc w:val="left"/>
      <w:lvlText w:val="%1"/>
      <w:numFmt w:val="lowerLetter"/>
      <w:start w:val="1"/>
    </w:lvl>
    <w:lvl w:ilvl="1">
      <w:lvlJc w:val="left"/>
      <w:lvlText w:val="(%2)"/>
      <w:numFmt w:val="lowerLetter"/>
      <w:start w:val="61"/>
    </w:lvl>
  </w:abstractNum>
  <w:abstractNum w:abstractNumId="14">
    <w:nsid w:val="1E7FF521"/>
    <w:multiLevelType w:val="hybridMultilevel"/>
    <w:lvl w:ilvl="0">
      <w:lvlJc w:val="left"/>
      <w:lvlText w:val="(%1)"/>
      <w:numFmt w:val="lowerLetter"/>
      <w:start w:val="2"/>
    </w:lvl>
    <w:lvl w:ilvl="1">
      <w:lvlJc w:val="left"/>
      <w:lvlText w:val="%2"/>
      <w:numFmt w:val="lowerLetter"/>
      <w:start w:val="1"/>
    </w:lvl>
  </w:abstractNum>
  <w:abstractNum w:abstractNumId="15">
    <w:nsid w:val="7C3DBD3D"/>
    <w:multiLevelType w:val="hybridMultilevel"/>
    <w:lvl w:ilvl="0">
      <w:lvlJc w:val="left"/>
      <w:lvlText w:val="(%1)"/>
      <w:numFmt w:val="lowerLetter"/>
      <w:start w:val="1"/>
    </w:lvl>
    <w:lvl w:ilvl="1">
      <w:lvlJc w:val="left"/>
      <w:lvlText w:val="(%2)"/>
      <w:numFmt w:val="lowerRoman"/>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2"/>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lvl w:ilvl="1">
      <w:lvlJc w:val="left"/>
      <w:lvlText w:val="•"/>
      <w:numFmt w:val="bullet"/>
      <w:start w:val="1"/>
    </w:lvl>
    <w:lvl w:ilvl="2">
      <w:lvlJc w:val="left"/>
      <w:lvlText w:val=" "/>
      <w:numFmt w:val="bullet"/>
      <w:start w:val="1"/>
    </w:lvl>
  </w:abstractNum>
  <w:abstractNum w:abstractNumId="27">
    <w:nsid w:val="77465F01"/>
    <w:multiLevelType w:val="hybridMultilevel"/>
    <w:lvl w:ilvl="0">
      <w:lvlJc w:val="left"/>
      <w:lvlText w:val="•"/>
      <w:numFmt w:val="bullet"/>
      <w:start w:val="1"/>
    </w:lvl>
    <w:lvl w:ilvl="1">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lvl w:ilvl="1">
      <w:lvlJc w:val="left"/>
      <w:lvlText w:val="•"/>
      <w:numFmt w:val="bullet"/>
      <w:start w:val="1"/>
    </w:lvl>
  </w:abstractNum>
  <w:abstractNum w:abstractNumId="37">
    <w:nsid w:val="70A64E2A"/>
    <w:multiLevelType w:val="hybridMultilevel"/>
    <w:lvl w:ilvl="0">
      <w:lvlJc w:val="left"/>
      <w:lvlText w:val="•"/>
      <w:numFmt w:val="bullet"/>
      <w:start w:val="1"/>
    </w:lvl>
    <w:lvl w:ilvl="1">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bullet"/>
      <w:start w:val="1"/>
    </w:lvl>
  </w:abstractNum>
  <w:abstractNum w:abstractNumId="44">
    <w:nsid w:val="7A6D8D3C"/>
    <w:multiLevelType w:val="hybridMultilevel"/>
    <w:lvl w:ilvl="0">
      <w:lvlJc w:val="left"/>
      <w:lvlText w:val="1"/>
      <w:numFmt w:val="bullet"/>
      <w:start w:val="1"/>
    </w:lvl>
  </w:abstractNum>
  <w:abstractNum w:abstractNumId="45">
    <w:nsid w:val="4B588F5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6"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jpe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59" Type="http://schemas.openxmlformats.org/officeDocument/2006/relationships/hyperlink" Target="http://www.sec.gov/ix?doc=/Archives/edgar/data/0001032208/000103220826000010/sre-20251231.htm" TargetMode="External"/><Relationship Id="rId60" Type="http://schemas.openxmlformats.org/officeDocument/2006/relationships/hyperlink" Target="http://www.sec.gov/ix?doc=/Archives/edgar/data/0001032208/000119312526127603/d90144ddef14a.htm" TargetMode="External"/><Relationship Id="rId61" Type="http://schemas.openxmlformats.org/officeDocument/2006/relationships/hyperlink" Target="http://www.sec.gov/ix?doc=/Archives/edgar/data/0001032208/000103220826000030/sre-20260331.htm" TargetMode="External"/><Relationship Id="rId64" Type="http://schemas.openxmlformats.org/officeDocument/2006/relationships/hyperlink" Target="http://www.sec.gov/Archives/edgar/data/1032208/0000950172-98-000549.txt" TargetMode="External"/><Relationship Id="rId65" Type="http://schemas.openxmlformats.org/officeDocument/2006/relationships/hyperlink" Target="http://www.sec.gov/Archives/edgar/data/86521/000103220826000010/sempra-123125xex42.htm" TargetMode="External"/><Relationship Id="rId67" Type="http://schemas.openxmlformats.org/officeDocument/2006/relationships/hyperlink" Target="http://www.sec.gov/ix?doc=/Archives/edgar/data/0001032208/000119312526219514/d126786d8k.htm" TargetMode="External"/><Relationship Id="rId68" Type="http://schemas.openxmlformats.org/officeDocument/2006/relationships/hyperlink" Target="http://www.sec.gov/ix?doc=/Archives/edgar/data/1032208/000103220826000032/sempra-202605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2026-06-05T15:22:07Z</dcterms:created>
  <dcterms:modified xsi:type="dcterms:W3CDTF">2026-06-05T15:22:07Z</dcterms:modified>
</cp:coreProperties>
</file>