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tbl>
      <w:tblPr>
        <w:tblW w:w="3494" w:type="dxa"/>
        <w:jc w:val="center"/>
        <w:tblInd w:w="0" w:type="dxa"/>
        <w:tblLayout w:type="fixed"/>
        <w:tblCellMar>
          <w:top w:w="28" w:type="dxa"/>
          <w:left w:w="28" w:type="dxa"/>
          <w:bottom w:w="28" w:type="dxa"/>
          <w:right w:w="28" w:type="dxa"/>
        </w:tblCellMar>
      </w:tblPr>
      <w:tblGrid>
        <w:gridCol w:w="1116"/>
        <w:gridCol w:w="982"/>
        <w:gridCol w:w="1396"/>
      </w:tblGrid>
      <w:tr>
        <w:trPr/>
        <w:tc>
          <w:tcPr>
            <w:tcW w:w="111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August 6, 2026</w:t>
            </w:r>
          </w:p>
        </w:tc>
      </w:tr>
      <w:tr>
        <w:trPr/>
        <w:tc>
          <w:tcPr>
            <w:tcW w:w="34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tc>
      </w:tr>
    </w:tbl>
    <w:tbl>
      <w:tblPr>
        <w:tblW w:w="10205" w:type="dxa"/>
        <w:jc w:val="center"/>
        <w:tblInd w:w="0" w:type="dxa"/>
        <w:tblLayout w:type="fixed"/>
        <w:tblCellMar>
          <w:top w:w="28" w:type="dxa"/>
          <w:left w:w="28" w:type="dxa"/>
          <w:bottom w:w="28" w:type="dxa"/>
          <w:right w:w="28" w:type="dxa"/>
        </w:tblCellMar>
      </w:tblPr>
      <w:tblGrid>
        <w:gridCol w:w="434"/>
        <w:gridCol w:w="381"/>
        <w:gridCol w:w="383"/>
        <w:gridCol w:w="774"/>
        <w:gridCol w:w="494"/>
        <w:gridCol w:w="494"/>
        <w:gridCol w:w="1386"/>
        <w:gridCol w:w="909"/>
        <w:gridCol w:w="498"/>
        <w:gridCol w:w="410"/>
        <w:gridCol w:w="410"/>
        <w:gridCol w:w="411"/>
        <w:gridCol w:w="475"/>
        <w:gridCol w:w="475"/>
        <w:gridCol w:w="477"/>
        <w:gridCol w:w="521"/>
        <w:gridCol w:w="521"/>
        <w:gridCol w:w="752"/>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File No.</w:t>
            </w:r>
          </w:p>
        </w:tc>
        <w:tc>
          <w:tcPr>
            <w:tcW w:w="455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Address of Principal Executive Office and Telephone Number </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of Incorporation</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c>
      </w:tr>
      <w:tr>
        <w:trPr/>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1-14201</w:t>
            </w:r>
          </w:p>
        </w:tc>
        <w:tc>
          <w:tcPr>
            <w:tcW w:w="455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Sempra</w:t>
            </w:r>
          </w:p>
        </w:tc>
        <w:tc>
          <w:tcPr>
            <w:tcW w:w="12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4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33-0732627</w:t>
            </w:r>
          </w:p>
        </w:tc>
        <w:tc>
          <w:tcPr>
            <w:tcW w:w="1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488 8th Avenue</w:t>
            </w:r>
          </w:p>
        </w:tc>
        <w:tc>
          <w:tcPr>
            <w:tcW w:w="2793"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716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333375"/>
                          </a:xfrm>
                          <a:prstGeom prst="rect">
                            <a:avLst/>
                          </a:prstGeom>
                        </pic:spPr>
                      </pic:pic>
                    </a:graphicData>
                  </a:graphic>
                </wp:inline>
              </w:drawing>
            </w:r>
            <w:bookmarkStart w:id="0" w:name="i-1"/>
            <w:bookmarkEnd w:id="0"/>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 92101</w:t>
            </w:r>
          </w:p>
        </w:tc>
        <w:tc>
          <w:tcPr>
            <w:tcW w:w="2793" w:type="dxa"/>
            <w:gridSpan w:val="3"/>
            <w:vMerge w:val="continue"/>
            <w:tcBorders/>
            <w:tcMar>
              <w:top w:w="0" w:type="dxa"/>
              <w:left w:w="0" w:type="dxa"/>
              <w:bottom w:w="0" w:type="dxa"/>
              <w:right w:w="0" w:type="dxa"/>
            </w:tcMar>
            <w:vAlign w:val="center"/>
          </w:tcPr>
          <w:p>
            <w:pPr>
              <w:pStyle w:val="Normal"/>
              <w:bidi w:val="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(619) 696-2000</w:t>
            </w:r>
          </w:p>
        </w:tc>
        <w:tc>
          <w:tcPr>
            <w:tcW w:w="2793" w:type="dxa"/>
            <w:gridSpan w:val="3"/>
            <w:vMerge w:val="continue"/>
            <w:tcBorders/>
            <w:tcMar>
              <w:top w:w="0" w:type="dxa"/>
              <w:left w:w="0" w:type="dxa"/>
              <w:bottom w:w="0" w:type="dxa"/>
              <w:right w:w="0" w:type="dxa"/>
            </w:tcMar>
            <w:vAlign w:val="center"/>
          </w:tcPr>
          <w:p>
            <w:pPr>
              <w:pStyle w:val="Normal"/>
              <w:bidi w:val="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1-03779</w:t>
            </w:r>
          </w:p>
        </w:tc>
        <w:tc>
          <w:tcPr>
            <w:tcW w:w="45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San Diego Gas &amp; Electric Company</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95-1184800</w:t>
            </w:r>
          </w:p>
        </w:tc>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8330 Century Park Court</w:t>
            </w:r>
          </w:p>
        </w:tc>
        <w:tc>
          <w:tcPr>
            <w:tcW w:w="2793"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7635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6350" cy="361950"/>
                          </a:xfrm>
                          <a:prstGeom prst="rect">
                            <a:avLst/>
                          </a:prstGeom>
                        </pic:spPr>
                      </pic:pic>
                    </a:graphicData>
                  </a:graphic>
                </wp:inline>
              </w:drawing>
            </w:r>
            <w:bookmarkStart w:id="1" w:name="i-2"/>
            <w:bookmarkEnd w:id="1"/>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 92123</w:t>
            </w:r>
          </w:p>
        </w:tc>
        <w:tc>
          <w:tcPr>
            <w:tcW w:w="2793" w:type="dxa"/>
            <w:gridSpan w:val="3"/>
            <w:vMerge w:val="continue"/>
            <w:tcBorders/>
            <w:tcMar>
              <w:top w:w="0" w:type="dxa"/>
              <w:left w:w="0" w:type="dxa"/>
              <w:bottom w:w="0" w:type="dxa"/>
              <w:right w:w="0" w:type="dxa"/>
            </w:tcMar>
            <w:vAlign w:val="center"/>
          </w:tcPr>
          <w:p>
            <w:pPr>
              <w:pStyle w:val="Normal"/>
              <w:bidi w:val="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(619) 696-2000</w:t>
            </w:r>
          </w:p>
        </w:tc>
        <w:tc>
          <w:tcPr>
            <w:tcW w:w="2793" w:type="dxa"/>
            <w:gridSpan w:val="3"/>
            <w:vMerge w:val="continue"/>
            <w:tcBorders/>
            <w:tcMar>
              <w:top w:w="0" w:type="dxa"/>
              <w:left w:w="0" w:type="dxa"/>
              <w:bottom w:w="0" w:type="dxa"/>
              <w:right w:w="0" w:type="dxa"/>
            </w:tcMar>
            <w:vAlign w:val="center"/>
          </w:tcPr>
          <w:p>
            <w:pPr>
              <w:pStyle w:val="Normal"/>
              <w:bidi w:val="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1-01402</w:t>
            </w:r>
          </w:p>
        </w:tc>
        <w:tc>
          <w:tcPr>
            <w:tcW w:w="45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Southern California Gas Company</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95-1240705</w:t>
            </w:r>
          </w:p>
        </w:tc>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555 West 5th Street</w:t>
            </w:r>
          </w:p>
        </w:tc>
        <w:tc>
          <w:tcPr>
            <w:tcW w:w="2793"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81100" cy="495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81100" cy="495300"/>
                          </a:xfrm>
                          <a:prstGeom prst="rect">
                            <a:avLst/>
                          </a:prstGeom>
                        </pic:spPr>
                      </pic:pic>
                    </a:graphicData>
                  </a:graphic>
                </wp:inline>
              </w:drawing>
            </w:r>
            <w:bookmarkStart w:id="2" w:name="i-3"/>
            <w:bookmarkEnd w:id="2"/>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 Angeles, California 90013</w:t>
            </w:r>
          </w:p>
        </w:tc>
        <w:tc>
          <w:tcPr>
            <w:tcW w:w="2793" w:type="dxa"/>
            <w:gridSpan w:val="3"/>
            <w:vMerge w:val="continue"/>
            <w:tcBorders/>
            <w:tcMar>
              <w:top w:w="0" w:type="dxa"/>
              <w:left w:w="0" w:type="dxa"/>
              <w:bottom w:w="0" w:type="dxa"/>
              <w:right w:w="0" w:type="dxa"/>
            </w:tcMar>
            <w:vAlign w:val="center"/>
          </w:tcPr>
          <w:p>
            <w:pPr>
              <w:pStyle w:val="Normal"/>
              <w:bidi w:val="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(213) 244-1200</w:t>
            </w:r>
          </w:p>
        </w:tc>
        <w:tc>
          <w:tcPr>
            <w:tcW w:w="2793" w:type="dxa"/>
            <w:gridSpan w:val="3"/>
            <w:vMerge w:val="continue"/>
            <w:tcBorders/>
            <w:tcMar>
              <w:top w:w="0" w:type="dxa"/>
              <w:left w:w="0" w:type="dxa"/>
              <w:bottom w:w="0" w:type="dxa"/>
              <w:right w:w="0" w:type="dxa"/>
            </w:tcMar>
            <w:vAlign w:val="center"/>
          </w:tcPr>
          <w:p>
            <w:pPr>
              <w:pStyle w:val="Normal"/>
              <w:bidi w:val="0"/>
              <w:jc w:val="left"/>
              <w:rPr/>
            </w:pPr>
            <w:r>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504"/>
        <w:gridCol w:w="1319"/>
        <w:gridCol w:w="1319"/>
        <w:gridCol w:w="2068"/>
        <w:gridCol w:w="1646"/>
        <w:gridCol w:w="2349"/>
      </w:tblGrid>
      <w:tr>
        <w:trPr/>
        <w:tc>
          <w:tcPr>
            <w:tcW w:w="150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registrants under any of the following provisions:</w:t>
            </w:r>
          </w:p>
        </w:tc>
      </w:tr>
      <w:tr>
        <w:trPr/>
        <w:tc>
          <w:tcPr>
            <w:tcW w:w="4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center"/>
        <w:tblInd w:w="0" w:type="dxa"/>
        <w:tblLayout w:type="fixed"/>
        <w:tblCellMar>
          <w:top w:w="28" w:type="dxa"/>
          <w:left w:w="28" w:type="dxa"/>
          <w:bottom w:w="28" w:type="dxa"/>
          <w:right w:w="28" w:type="dxa"/>
        </w:tblCellMar>
      </w:tblPr>
      <w:tblGrid>
        <w:gridCol w:w="2076"/>
        <w:gridCol w:w="1459"/>
        <w:gridCol w:w="1410"/>
        <w:gridCol w:w="697"/>
        <w:gridCol w:w="498"/>
        <w:gridCol w:w="498"/>
        <w:gridCol w:w="1211"/>
        <w:gridCol w:w="1022"/>
        <w:gridCol w:w="1334"/>
      </w:tblGrid>
      <w:tr>
        <w:trPr/>
        <w:tc>
          <w:tcPr>
            <w:tcW w:w="207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6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Name of Each Exchange on Which Registered </w:t>
            </w:r>
          </w:p>
        </w:tc>
      </w:tr>
      <w:tr>
        <w:trPr/>
        <w:tc>
          <w:tcPr>
            <w:tcW w:w="4945" w:type="dxa"/>
            <w:gridSpan w:val="3"/>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Sempra:</w:t>
            </w:r>
          </w:p>
        </w:tc>
        <w:tc>
          <w:tcPr>
            <w:tcW w:w="169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without par value</w:t>
            </w:r>
          </w:p>
        </w:tc>
        <w:tc>
          <w:tcPr>
            <w:tcW w:w="1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SRE </w:t>
            </w:r>
          </w:p>
        </w:tc>
        <w:tc>
          <w:tcPr>
            <w:tcW w:w="3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9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 Junior Subordinated Notes Due 2079, $25 par value</w:t>
            </w:r>
          </w:p>
        </w:tc>
        <w:tc>
          <w:tcPr>
            <w:tcW w:w="169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SREA</w:t>
            </w:r>
          </w:p>
        </w:tc>
        <w:tc>
          <w:tcPr>
            <w:tcW w:w="356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San Diego Gas &amp; Electric Company:</w:t>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169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Southern California Gas Company:</w:t>
            </w:r>
          </w:p>
        </w:tc>
        <w:tc>
          <w:tcPr>
            <w:tcW w:w="1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169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5"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Registrants are an emerging growth company as defined in Rule 405 of the Securities Act of 1933 (17 CFR 230.405) or Rule 12b-2 of the Securities Exchange Act of 1934 (17 CFR 240.12b-2). </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Registrants have elected not to use the extended transition period for complying with any new or revised financial accounting standards provided pursuant to Section 13(a) of the Exchange Act.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6, 2026, Sempra issued a press release announcing its financial results for the three months and six months ended June 30, 2026. A copy of Sempra’s press release is attached hereto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this Item 2.02 and in Exhibit 99.1 shall not be deemed to be “filed” for purposes of the Securities Exchange Act of 1934, nor shall it be deemed to be incorporated by reference in any filing of Sempra, whether made before or after the date hereof,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926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2178"/>
        <w:gridCol w:w="2178"/>
        <w:gridCol w:w="309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FFFFFF"/>
                <w:sz w:val="20"/>
              </w:rPr>
            </w:pPr>
            <w:r>
              <w:rPr>
                <w:rFonts w:ascii="Times New Roman;serif" w:hAnsi="Times New Roman;serif"/>
                <w:b/>
                <w:color w:val="FFFFFF"/>
                <w:sz w:val="20"/>
              </w:rPr>
              <w:t>Exhibit Number</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FFFFFF"/>
                <w:sz w:val="20"/>
              </w:rPr>
            </w:pPr>
            <w:r>
              <w:rPr>
                <w:rFonts w:ascii="Times New Roman;serif" w:hAnsi="Times New Roman;serif"/>
                <w:b/>
                <w:color w:val="FFFFFF"/>
                <w:sz w:val="20"/>
              </w:rPr>
              <w:t xml:space="preserve">Exhibit Description </w:t>
            </w:r>
          </w:p>
        </w:tc>
      </w:tr>
      <w:tr>
        <w:trPr/>
        <w:tc>
          <w:tcPr>
            <w:tcW w:w="1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ex99_1x20260630xearningsta.htm">
              <w:r>
                <w:rPr>
                  <w:rStyle w:val="InternetLink"/>
                  <w:rFonts w:ascii="Times New Roman;serif" w:hAnsi="Times New Roman;serif"/>
                  <w:b w:val="false"/>
                  <w:color w:val="0000FF"/>
                  <w:sz w:val="20"/>
                  <w:u w:val="single"/>
                </w:rPr>
                <w:t>August 6, 2026 Sempra News Release (including tables).</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SIGNATURES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r>
    </w:p>
    <w:tbl>
      <w:tblPr>
        <w:tblW w:w="6583" w:type="dxa"/>
        <w:jc w:val="left"/>
        <w:tblInd w:w="0" w:type="dxa"/>
        <w:tblLayout w:type="fixed"/>
        <w:tblCellMar>
          <w:top w:w="28" w:type="dxa"/>
          <w:left w:w="28" w:type="dxa"/>
          <w:bottom w:w="28" w:type="dxa"/>
          <w:right w:w="28" w:type="dxa"/>
        </w:tblCellMar>
      </w:tblPr>
      <w:tblGrid>
        <w:gridCol w:w="667"/>
        <w:gridCol w:w="587"/>
        <w:gridCol w:w="590"/>
        <w:gridCol w:w="1385"/>
        <w:gridCol w:w="1385"/>
        <w:gridCol w:w="196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SEMPRA,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Dyan Z. Wold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Dyan Z. Wold</w:t>
              <w:br/>
              <w:t xml:space="preserve">Vice President, Controller and Chief Accounting Officer </w:t>
            </w:r>
          </w:p>
        </w:tc>
      </w:tr>
    </w:tbl>
    <w:p>
      <w:pPr>
        <w:pStyle w:val="TextBody"/>
        <w:bidi w:val="0"/>
        <w:spacing w:before="0" w:after="0"/>
        <w:jc w:val="left"/>
        <w:rPr/>
      </w:pPr>
      <w:r>
        <w:rPr/>
      </w:r>
    </w:p>
    <w:tbl>
      <w:tblPr>
        <w:tblW w:w="6539" w:type="dxa"/>
        <w:jc w:val="left"/>
        <w:tblInd w:w="0" w:type="dxa"/>
        <w:tblLayout w:type="fixed"/>
        <w:tblCellMar>
          <w:top w:w="28" w:type="dxa"/>
          <w:left w:w="28" w:type="dxa"/>
          <w:bottom w:w="28" w:type="dxa"/>
          <w:right w:w="28" w:type="dxa"/>
        </w:tblCellMar>
      </w:tblPr>
      <w:tblGrid>
        <w:gridCol w:w="667"/>
        <w:gridCol w:w="587"/>
        <w:gridCol w:w="590"/>
        <w:gridCol w:w="1375"/>
        <w:gridCol w:w="1375"/>
        <w:gridCol w:w="194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SAN DIEGO GAS &amp; ELECTRIC COMPANY,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Maritza Mekitarian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Maritza Mekitarian</w:t>
              <w:br/>
              <w:t>Vice President, Controller and Chief Accounting Officer</w:t>
            </w:r>
          </w:p>
        </w:tc>
      </w:tr>
    </w:tbl>
    <w:p>
      <w:pPr>
        <w:pStyle w:val="TextBody"/>
        <w:bidi w:val="0"/>
        <w:spacing w:before="0" w:after="0"/>
        <w:jc w:val="left"/>
        <w:rPr/>
      </w:pPr>
      <w:r>
        <w:rPr/>
      </w:r>
    </w:p>
    <w:tbl>
      <w:tblPr>
        <w:tblW w:w="6584" w:type="dxa"/>
        <w:jc w:val="left"/>
        <w:tblInd w:w="0" w:type="dxa"/>
        <w:tblLayout w:type="fixed"/>
        <w:tblCellMar>
          <w:top w:w="28" w:type="dxa"/>
          <w:left w:w="28" w:type="dxa"/>
          <w:bottom w:w="28" w:type="dxa"/>
          <w:right w:w="28" w:type="dxa"/>
        </w:tblCellMar>
      </w:tblPr>
      <w:tblGrid>
        <w:gridCol w:w="667"/>
        <w:gridCol w:w="587"/>
        <w:gridCol w:w="590"/>
        <w:gridCol w:w="1386"/>
        <w:gridCol w:w="1386"/>
        <w:gridCol w:w="196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CALIFORNIA GAS COMPANY,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Elvia Lima Ortiz</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Elvia Lima Ortiz</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Vice President, Controller and Chief Accounting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2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before="0" w:after="0"/>
        <w:jc w:val="left"/>
        <w:rPr/>
      </w:pPr>
      <w:r>
        <w:rPr/>
      </w:r>
    </w:p>
    <w:p>
      <w:pPr>
        <w:pStyle w:val="TextBody"/>
        <w:bidi w:val="0"/>
        <w:spacing w:before="0" w:after="0"/>
        <w:jc w:val="left"/>
        <w:rPr/>
      </w:pPr>
      <w:r>
        <w:rPr/>
        <w:drawing>
          <wp:inline distT="0" distB="0" distL="0" distR="0">
            <wp:extent cx="2381250" cy="59055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2381250" cy="590550"/>
                    </a:xfrm>
                    <a:prstGeom prst="rect">
                      <a:avLst/>
                    </a:prstGeom>
                  </pic:spPr>
                </pic:pic>
              </a:graphicData>
            </a:graphic>
          </wp:inline>
        </w:drawing>
      </w:r>
    </w:p>
    <w:p>
      <w:pPr>
        <w:pStyle w:val="TextBody"/>
        <w:bidi w:val="0"/>
        <w:spacing w:lineRule="auto" w:line="300" w:before="0" w:after="0"/>
        <w:jc w:val="right"/>
        <w:rPr>
          <w:rFonts w:ascii="Times New Roman;serif" w:hAnsi="Times New Roman;serif"/>
          <w:b/>
          <w:color w:val="000000"/>
          <w:sz w:val="28"/>
        </w:rPr>
      </w:pPr>
      <w:r>
        <w:rPr>
          <w:rFonts w:ascii="Times New Roman;serif" w:hAnsi="Times New Roman;serif"/>
          <w:b/>
          <w:color w:val="000000"/>
          <w:sz w:val="28"/>
        </w:rPr>
        <w:t>NEWS RELEASE</w:t>
      </w:r>
    </w:p>
    <w:tbl>
      <w:tblPr>
        <w:tblW w:w="4551" w:type="dxa"/>
        <w:jc w:val="center"/>
        <w:tblInd w:w="0" w:type="dxa"/>
        <w:tblLayout w:type="fixed"/>
        <w:tblCellMar>
          <w:top w:w="28" w:type="dxa"/>
          <w:left w:w="28" w:type="dxa"/>
          <w:bottom w:w="28" w:type="dxa"/>
          <w:right w:w="28" w:type="dxa"/>
        </w:tblCellMar>
      </w:tblPr>
      <w:tblGrid>
        <w:gridCol w:w="576"/>
        <w:gridCol w:w="505"/>
        <w:gridCol w:w="508"/>
        <w:gridCol w:w="643"/>
        <w:gridCol w:w="643"/>
        <w:gridCol w:w="650"/>
        <w:gridCol w:w="109"/>
        <w:gridCol w:w="109"/>
        <w:gridCol w:w="109"/>
        <w:gridCol w:w="109"/>
        <w:gridCol w:w="109"/>
        <w:gridCol w:w="109"/>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Media Contact:</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Patrick Reynolds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Sempra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(877) 340-8875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media@sempra.com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Contact:</w:t>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Eric Llamas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Sempra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(877) 736-7727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investor@sempra.com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ahoma;sans-serif" w:hAnsi="Tahoma;sans-serif"/>
          <w:b/>
          <w:color w:val="000000"/>
          <w:sz w:val="44"/>
        </w:rPr>
      </w:pPr>
      <w:r>
        <w:rPr>
          <w:rFonts w:ascii="Tahoma;sans-serif" w:hAnsi="Tahoma;sans-serif"/>
          <w:b/>
          <w:color w:val="000000"/>
          <w:sz w:val="44"/>
        </w:rPr>
        <w:t>Sempra Reports Strong Second-Quarter</w:t>
      </w:r>
    </w:p>
    <w:p>
      <w:pPr>
        <w:pStyle w:val="TextBody"/>
        <w:bidi w:val="0"/>
        <w:spacing w:lineRule="auto" w:line="268" w:before="0" w:after="0"/>
        <w:jc w:val="center"/>
        <w:rPr>
          <w:rFonts w:ascii="Tahoma;sans-serif" w:hAnsi="Tahoma;sans-serif"/>
          <w:b/>
          <w:color w:val="000000"/>
          <w:sz w:val="44"/>
        </w:rPr>
      </w:pPr>
      <w:r>
        <w:rPr>
          <w:rFonts w:ascii="Tahoma;sans-serif" w:hAnsi="Tahoma;sans-serif"/>
          <w:b/>
          <w:color w:val="000000"/>
          <w:sz w:val="44"/>
        </w:rPr>
        <w:t>2026 Results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SAN DIEGO, Aug. 6, 2026 — Sempra (NYSE: SRE) today reported second-quarter 2026 earnings, prepared in accordance with Generally Accepted Accounting Principles (GAAP), of $796 million or $1.21 per diluted share, compared to second-quarter 2025 GAAP earnings of $461 million or $0.71 per diluted share. On an adjusted basis, second-quarter 2026 earnings were $762 million or $1.16 per diluted share, compared to $583 million or $0.89 per diluted share in 2025. </w:t>
      </w:r>
    </w:p>
    <w:p>
      <w:pPr>
        <w:pStyle w:val="TextBody"/>
        <w:bidi w:val="0"/>
        <w:spacing w:before="0" w:after="0"/>
        <w:jc w:val="left"/>
        <w:rPr/>
      </w:pPr>
      <w:r>
        <w:rPr/>
      </w:r>
    </w:p>
    <w:p>
      <w:pPr>
        <w:pStyle w:val="TextBody"/>
        <w:bidi w:val="0"/>
        <w:spacing w:lineRule="auto" w:line="360" w:before="0" w:after="0"/>
        <w:jc w:val="left"/>
        <w:rPr>
          <w:color w:val="000000"/>
        </w:rPr>
      </w:pPr>
      <w:r>
        <w:rPr>
          <w:color w:val="000000"/>
        </w:rPr>
        <w:t>“</w:t>
      </w:r>
      <w:r>
        <w:rPr>
          <w:rFonts w:ascii="Times New Roman;serif" w:hAnsi="Times New Roman;serif"/>
          <w:b w:val="false"/>
          <w:color w:val="000000"/>
          <w:sz w:val="24"/>
        </w:rPr>
        <w:t>Across our management team, there is a consistent emphasis on execution, and our progress through the first half of the year is reflected in strong financial performance,” said Jeffrey W. Martin, chairman and CEO of Sempra. “I could not be more proud of our employees and their commitment to innovation and continuous improvement, as we look to find new and better ways to serve customers.”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The reported financial results reflect certain significant items as described on an after-tax basis in the following table of GAAP earnings, reconciled to adjusted earnings, for second-quarter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1982"/>
        <w:gridCol w:w="1408"/>
        <w:gridCol w:w="1415"/>
        <w:gridCol w:w="222"/>
        <w:gridCol w:w="554"/>
        <w:gridCol w:w="114"/>
        <w:gridCol w:w="114"/>
        <w:gridCol w:w="114"/>
        <w:gridCol w:w="114"/>
        <w:gridCol w:w="222"/>
        <w:gridCol w:w="554"/>
        <w:gridCol w:w="114"/>
        <w:gridCol w:w="109"/>
        <w:gridCol w:w="109"/>
        <w:gridCol w:w="109"/>
        <w:gridCol w:w="211"/>
        <w:gridCol w:w="631"/>
        <w:gridCol w:w="109"/>
        <w:gridCol w:w="109"/>
        <w:gridCol w:w="109"/>
        <w:gridCol w:w="109"/>
        <w:gridCol w:w="211"/>
        <w:gridCol w:w="631"/>
        <w:gridCol w:w="109"/>
        <w:gridCol w:w="109"/>
        <w:gridCol w:w="109"/>
        <w:gridCol w:w="1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vMerge w:val="restart"/>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and shares in millions, except EPS)</w:t>
            </w:r>
          </w:p>
        </w:tc>
        <w:tc>
          <w:tcPr>
            <w:tcW w:w="2122"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Three months ended June 30,</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Six months ended June 30,</w:t>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vMerge w:val="continue"/>
            <w:tcBorders/>
            <w:shd w:fill="001689" w:val="clear"/>
            <w:tcMar>
              <w:top w:w="0" w:type="dxa"/>
              <w:left w:w="0" w:type="dxa"/>
              <w:bottom w:w="0" w:type="dxa"/>
              <w:right w:w="0" w:type="dxa"/>
            </w:tcMar>
            <w:vAlign w:val="center"/>
          </w:tcPr>
          <w:p>
            <w:pPr>
              <w:pStyle w:val="Normal"/>
              <w:bidi w:val="0"/>
              <w:jc w:val="left"/>
              <w:rPr/>
            </w:pPr>
            <w:r>
              <w:rPr/>
            </w:r>
          </w:p>
        </w:tc>
        <w:tc>
          <w:tcPr>
            <w:tcW w:w="890" w:type="dxa"/>
            <w:gridSpan w:val="3"/>
            <w:tcBorders>
              <w:top w:val="single" w:sz="8" w:space="0" w:color="FFFFFF"/>
            </w:tcBorders>
            <w:shd w:fill="001689"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2026</w:t>
            </w:r>
          </w:p>
        </w:tc>
        <w:tc>
          <w:tcPr>
            <w:tcW w:w="342" w:type="dxa"/>
            <w:gridSpan w:val="3"/>
            <w:tcBorders>
              <w:top w:val="single" w:sz="8" w:space="0" w:color="FFFFFF"/>
            </w:tcBorders>
            <w:shd w:fill="00168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FFFFFF"/>
            </w:tcBorders>
            <w:shd w:fill="001689"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tcBorders>
            <w:shd w:fill="001689"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2026</w:t>
            </w:r>
          </w:p>
        </w:tc>
        <w:tc>
          <w:tcPr>
            <w:tcW w:w="327" w:type="dxa"/>
            <w:gridSpan w:val="3"/>
            <w:tcBorders>
              <w:top w:val="single" w:sz="8" w:space="0" w:color="FFFFFF"/>
            </w:tcBorders>
            <w:shd w:fill="00168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FFFF"/>
            </w:tcBorders>
            <w:shd w:fill="001689"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2025</w:t>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Earnings</w:t>
            </w:r>
          </w:p>
        </w:tc>
        <w:tc>
          <w:tcPr>
            <w:tcW w:w="2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796</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461</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1,833</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1,367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from regulatory disallowances</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05"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805"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from foreign currency and inflation on monetary positions in Mexico and associated undesignated derivatives</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 losses on derivatives</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 losses on interest rate swaps related to Port Arthur LNG Phase 1 project</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items related to assets held for sale</w:t>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Earnings</w:t>
            </w:r>
            <w:r>
              <w:rPr>
                <w:rFonts w:ascii="Arial;sans-serif" w:hAnsi="Arial;sans-serif"/>
                <w:b/>
                <w:color w:val="000000"/>
                <w:sz w:val="12"/>
              </w:rPr>
              <w:t>(1)</w:t>
            </w:r>
          </w:p>
        </w:tc>
        <w:tc>
          <w:tcPr>
            <w:tcW w:w="22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762</w:t>
            </w:r>
            <w:r>
              <w:rPr>
                <w:color w:val="000000"/>
              </w:rPr>
              <w:t> </w:t>
            </w:r>
          </w:p>
        </w:tc>
        <w:tc>
          <w:tcPr>
            <w:tcW w:w="11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4"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583</w:t>
            </w:r>
            <w:r>
              <w:rPr>
                <w:color w:val="000000"/>
              </w:rPr>
              <w:t> </w:t>
            </w:r>
          </w:p>
        </w:tc>
        <w:tc>
          <w:tcPr>
            <w:tcW w:w="114"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1,753</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DBDBDB"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1,525</w:t>
            </w:r>
            <w:r>
              <w:rPr>
                <w:color w:val="000000"/>
              </w:rPr>
              <w:t> </w:t>
            </w:r>
          </w:p>
        </w:tc>
        <w:tc>
          <w:tcPr>
            <w:tcW w:w="109" w:type="dxa"/>
            <w:tcBorders>
              <w:top w:val="single" w:sz="8" w:space="0" w:color="000000"/>
            </w:tcBorders>
            <w:shd w:fill="DBDBDB"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Weighted-Average Common Shares Outstanding</w:t>
            </w:r>
          </w:p>
        </w:tc>
        <w:tc>
          <w:tcPr>
            <w:tcW w:w="7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653 </w:t>
            </w:r>
          </w:p>
        </w:tc>
        <w:tc>
          <w:tcPr>
            <w:tcW w:w="11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GAAP EPS</w:t>
            </w:r>
          </w:p>
        </w:tc>
        <w:tc>
          <w:tcPr>
            <w:tcW w:w="2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1.21</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0.71</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2.80</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2.09</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EPS</w:t>
            </w:r>
            <w:r>
              <w:rPr>
                <w:rFonts w:ascii="Arial;sans-serif" w:hAnsi="Arial;sans-serif"/>
                <w:b/>
                <w:color w:val="000000"/>
                <w:sz w:val="12"/>
              </w:rPr>
              <w:t>(1)</w:t>
            </w:r>
          </w:p>
        </w:tc>
        <w:tc>
          <w:tcPr>
            <w:tcW w:w="2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54"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0.89</w:t>
            </w:r>
            <w:r>
              <w:rPr>
                <w:color w:val="000000"/>
              </w:rPr>
              <w:t> </w:t>
            </w:r>
          </w:p>
        </w:tc>
        <w:tc>
          <w:tcPr>
            <w:tcW w:w="114"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2.67</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2.34</w:t>
            </w:r>
            <w:r>
              <w:rPr>
                <w:color w:val="000000"/>
              </w:rPr>
              <w:t> </w:t>
            </w:r>
          </w:p>
        </w:tc>
        <w:tc>
          <w:tcPr>
            <w:tcW w:w="109"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left"/>
        <w:rPr/>
      </w:pPr>
      <w:r>
        <w:rPr>
          <w:rFonts w:ascii="Arial;sans-serif" w:hAnsi="Arial;sans-serif"/>
          <w:b w:val="false"/>
          <w:i/>
          <w:color w:val="000000"/>
          <w:sz w:val="10"/>
        </w:rPr>
        <w:t xml:space="preserve">(1) </w:t>
      </w:r>
      <w:r>
        <w:rPr>
          <w:rFonts w:ascii="Arial;sans-serif" w:hAnsi="Arial;sans-serif"/>
          <w:b w:val="false"/>
          <w:i/>
          <w:color w:val="000000"/>
          <w:sz w:val="16"/>
        </w:rPr>
        <w:t>See Table A for information regarding non-GAAP financial measures.</w:t>
      </w:r>
    </w:p>
    <w:p>
      <w:pPr>
        <w:pStyle w:val="TextBody"/>
        <w:bidi w:val="0"/>
        <w:spacing w:before="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Advancing Value Creation Initiatives</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During the second quarter, Sempra continued executing on a series of value creation initiatives to further its mission of building America’s leading utility growth business. Taken together, these initiatives are designed to simplify the company’s strategy, strengthen its financial position and support long-term utility growth.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In the first half of 2026, Sempra's businesses invested capital expenditures of over $6 billion to support safe, reliable and affordable energy for the communities we serve. These investments are part of Sempra’s record five-year 2026-2030 capital plan of approximately $65 billion, with 95% allocated to investments at our Texas and California utilities.</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Sempra Texas</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Sempra continues to see strong growth opportunities in Texas through its investment in Oncor Electric Delivery Company LLC (Oncor). During the quarter, Oncor’s new base rates became effective June 1. In addition, Oncor filed the surcharge that was approved through its recent base rate review. The surcharge, which took effect August 1, recovers the difference between the new base rates and the rates in effect from January 1 to June 1, 2026. The updated base rates better align Oncor's cost structure with today's operating environment, strengthen its financial profile and support continued infrastructure investments to meet Texas' growing energy needs.</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Texas continues to experience unprecedented growth in electric demand as evidenced by Electric Reliability Council of Texas’ (ERCOT) new all-time peak load of 91 gigawatts (GW) set in July. Continued growth in demand is leading to a series of new opportunities to invest in the electric grid.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Earlier this year, ERCOT endorsed a series of high-voltage transmission projects expected to require more than $7 billion of incremental investment, supporting approximately 16 GW of new electric demand with anticipated in-service dates between 2026 and 2034. Oncor expects to construct the majority of those projects, which are subject to regulatory approval.</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Also, the Public Utility Commission of Texas recently approved ERCOT’s Batch Zero process, establishing a standardized framework intended to streamline large-load interconnections and support growing demand across the electric grid. While the timeline of the Batch Zero process remains to be determined, approximately 44 GW of large-load requests in Oncor's service territory are expected to be eligible as base or studied load, consisting of approximately 27 GW of base load and 17 GW of studied load. The referenced 44 GW also includes 8 GW of existing interconnected large load that is ramping up to its authorized capacity. The projects reflect significant customer commitment through financial security, site control and other ERCOT qualification requirements, reinforcing the substantial demand for infrastructure investment across Oncor’s service territory. For context, if fully realized, these requests would represent over 140% growth relative to Oncor’s current system peak load of 31 GW.</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Sempra California</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In California, Sempra’s utilities remained focused on advancing safety, reliability and affordability for customers. During the quarter, San Diego Gas &amp; Electric (SDGE) and Southern California Gas Company (SoCalGas) filed their 2028 General Rate Case (GRC) applications. Together, these GRC applications demonstrate a balanced approach to advancing critical safety and reliability investments supporting wildfire risk reduction, electric reliability and resilience, and pipeline safety, while maintaining disciplined cost management and a focus on customer affordability.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Regulatory momentum continued in the quarter, including the approval by the Federal Energy Regulatory Commission of SDGE’s electric transmission rate, or TO6, settlement. The settlement provides a constructive outcome for SDGE’s transmission business, including an authorized base return on equity of approximately 10.28% and a supportive regulatory framework for continued transmission investment. Additionally, the California Independent System Operator’s 2025–2026 Transmission Plan included over $160 million of reliability-driven projects for SDGE, further supporting grid resilience.</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Sempra California also continued to advance innovation and deliver meaningful benefits for customers. SoCalGas estimates that its energy efficiency programs helped customers save more than $100 million on their utility bills last year, while SDGE expanded its battery energy storage capacity in the second quarter to support grid reliability. In addition, SDGE launched a collaboration with Qualcomm Technologies, Inc. and the University of California San Diego's Scripps Institution of Oceanography to develop edge-based artificial intelligence technology aimed at enhancing extreme-weather response capabilities. In combination, these efforts reflect Sempra California’s broader commitment to safety, innovation and long-term system reliability.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Sempra Infrastructure Partners Strategic Updates</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The transaction to sell a 45% equity interest in Sempra Infrastructure Partners to affiliates of KKR remains on track and is expected to close in the third quarter of 2026, subject to required approvals and customary closing conditions. The planned sale of Ecogas México, S. de R.L. de C.V. continues to advance following the recent approval without condition by Mexico’s antitrust authority and is expected to close in August. These transactions further Sempra's capital recycling program with a view toward simplifying the company’s strategy, strengthening its financial position and supporting long-term utility growth.</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 xml:space="preserve">Earnings Guidance </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Sempra is updating its full-year 2026 GAAP earnings-per-common share (EPS) guidance range to $5.02 to $5.55, reflecting actual results through the second quarter, affirming its 2026 adjusted EPS guidance range of $4.80 to $5.30 and affirming its full-year 2027 EPS guidance range of $5.10 to $5.70. Sempra is also affirming a 7% to 9% projected long</w:t>
        <w:noBreakHyphen/>
        <w:t xml:space="preserve">term EPS growth rate. </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Non-GAAP Financial Measures</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Non-GAAP financial measures include Sempra’s adjusted earnings, adjusted EPS and adjusted EPS guidance range. See Table A for additional information regarding these non-GAAP financial measures.</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Internet Broadcast</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Sempra will broadcast a live discussion of its earnings results over the internet today at 12 p.m. ET with the company’s senior management. Access is available by visiting the Investors section of the company’s website at sempra.com/investors. The webcast will be available on replay a few hours after its conclusion at sempra.com/investors.</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color w:val="000000"/>
          <w:sz w:val="24"/>
        </w:rPr>
      </w:pPr>
      <w:r>
        <w:rPr>
          <w:rFonts w:ascii="Times New Roman;serif" w:hAnsi="Times New Roman;serif"/>
          <w:b/>
          <w:color w:val="000000"/>
          <w:sz w:val="24"/>
        </w:rPr>
        <w:t>About Sempra</w:t>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Sempra’s mission is to build America’s leading utility growth business. As owner of one of the largest energy networks on the continent, Sempra is electrifying and improving energy resilience in California and Texas, the two largest economies in the U.S. The company is recognized as a leader in responsible business practices and for its high-performance culture focused on safety and operational excellence, as demonstrated by Sempra's inclusion in The Wall Street Journal’s Management Top 250 and Fortune’s World’s Most Admired Companies. More information about Sempra is available at sempra.com, including investor.sempra.com/corporate-updates which contains important information for investors, and on social media @sempra.</w:t>
      </w:r>
    </w:p>
    <w:p>
      <w:pPr>
        <w:pStyle w:val="TextBody"/>
        <w:bidi w:val="0"/>
        <w:spacing w:before="0" w:after="0"/>
        <w:jc w:val="left"/>
        <w:rPr/>
      </w:pPr>
      <w:r>
        <w:rPr/>
      </w:r>
    </w:p>
    <w:p>
      <w:pPr>
        <w:pStyle w:val="TextBody"/>
        <w:bidi w:val="0"/>
        <w:spacing w:lineRule="auto" w:line="360" w:before="0" w:after="0"/>
        <w:jc w:val="left"/>
        <w:rPr>
          <w:rFonts w:ascii="Times New Roman;serif" w:hAnsi="Times New Roman;serif"/>
          <w:b w:val="false"/>
          <w:color w:val="000000"/>
          <w:sz w:val="24"/>
        </w:rPr>
      </w:pPr>
      <w:r>
        <w:rPr>
          <w:rFonts w:ascii="Times New Roman;serif" w:hAnsi="Times New Roman;serif"/>
          <w:b w:val="false"/>
          <w:color w:val="000000"/>
          <w:sz w:val="24"/>
        </w:rPr>
        <w:t>We use the investor.sempra.com/corporate-updates webpage as a means of disclosing important information to investors, some of which may be material, and complying with our disclosure obligations under SEC Regulation FD. The information on this webpage is supplemental to the information we disseminate to investors through other channels, including filings with the SEC, press releases, and public conference calls and webcasts, and investors should monitor all these sources for material information about us.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jc w:val="center"/>
        <w:rPr>
          <w:rFonts w:ascii="Times New Roman;serif" w:hAnsi="Times New Roman;serif"/>
          <w:b w:val="false"/>
          <w:color w:val="000000"/>
          <w:sz w:val="24"/>
        </w:rPr>
      </w:pP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16"/>
        </w:rPr>
      </w:pPr>
      <w:r>
        <w:rPr>
          <w:rFonts w:ascii="Times New Roman;serif" w:hAnsi="Times New Roman;serif"/>
          <w:b w:val="false"/>
          <w:i/>
          <w:color w:val="000000"/>
          <w:sz w:val="16"/>
        </w:rPr>
        <w:t>This press release contains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date of this press release. We assume no obligation to update or revise any forward-looking statement as a result of new information, future events or otherwise.</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this press release, 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i/>
          <w:color w:val="000000"/>
          <w:sz w:val="16"/>
        </w:rPr>
      </w:pPr>
      <w:r>
        <w:rPr>
          <w:rFonts w:ascii="Times New Roman;serif" w:hAnsi="Times New Roman;serif"/>
          <w:b w:val="false"/>
          <w:i/>
          <w:color w:val="000000"/>
          <w:sz w:val="16"/>
        </w:rPr>
        <w:t xml:space="preserve">Factors, among others, that could cause actual results and events to differ materially from those expressed or implied in any forward-looking statement include: California wildfires, including potential liability for damages regardless of fault and any inability to recover all or a substantial portion of costs from insurance, the wildfire fund established by California Assembly Bill 1054 and the wildfire fund continuation account established by California Senate Bill 254, rates from customers or a combination thereof; decisions, disallowances or denials of cost recovery, audits, investigations, inquiries, ordered studies, regulations, legislative actions, denials or revocations of permits, consents, approvals or other authorizations, renewals of franchises, and other actions, including the failure to honor contracts and commitments, by the (i) Comisión Nacional de Energía, California Public Utilities Commission (CPUC), U.S. Department of Energy, Electric Reliability Council of Texas, Inc., U.S. Federal Energy Regulatory Commission, U.S. Internal Revenue Service, Public Utility Commission of Texas and other regulatory bodies and (ii) U.S., Mexico and states, counties, cities and other jurisdictions therein and in other countries where we do business; the success of business development efforts, construction projects, acquisitions, divestitures, and other significant transactions, such as the planned sale of a portion of our equity interest in Sempra Infrastructure Partners, including risks related to, as applicable, (i) being able to reach a positive final investment decision, (ii) negotiating pricing and other terms in definitive contracts, (iii) completing construction projects or other transactions on schedule and budget, (iv) realizing anticipated benefits from any of these efforts if completed, (v) obtaining regulatory and other approvals and (vi) third parties honoring their contracts and commitments, including with respect to closing or post-closing payments; changes to our capital expenditure plans and their potential impact on rate base or other growth; changes, due to evolving economic, political and other factors and increasing geopolitical instability as a result of wars or other conflicts in various parts of the world, to (i) trade and other foreign policy, including the imposition of tariffs by the U.S. and foreign countries (and uncertainty related to the implementation and enforceability thereof), and (ii) laws and regulations, including those related to tax and the energy industry in the U.S. and Mexico; litigation, arbitration, property disputes and other proceedings; cybersecurity threats, including by nation-state actors, of ransomware or other attacks on our systems, the energy grid or our other infrastructure, or the systems of third parties with which we conduct business; 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 the impact of efforts to increase affordability of U.S. utility customer rates on our ability to obtain cost recovery from applicable regulators, our capital expenditure and other growth plans and our ability to advance statewide policies; the impact on affordability of customer rates, cost of capital and operating margin due to (i) volatility in inflation, interest rates, commodity prices, tariff rates, and foreign currency exchange rates and (ii) with respect to SDG&amp;E’s and SoCalGas’ businesses, the cost of meeting the demand for lower carbon and reliable energy in California; the impact of air quality and climate-related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 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 the availability and reliability of electric power, natural gas and natural gas storage and transportation capacity, including disruptions caused by failures in the transmission grid or pipeline and storage systems or limitations on the injection and withdrawal of natural gas from storage facilities; Oncor Electric Delivery Company LLC’s (Oncor) ability to reduce or eliminate its quarterly dividends due to regulatory and governance requirements and commitments, including by actions of Oncor’s independent directors or a minority member director; and other uncertainties, some of which are difficult to predict and beyond our control. </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i/>
          <w:color w:val="000000"/>
          <w:sz w:val="16"/>
        </w:rPr>
      </w:pPr>
      <w:r>
        <w:rPr>
          <w:rFonts w:ascii="Times New Roman;serif" w:hAnsi="Times New Roman;serif"/>
          <w:b w:val="false"/>
          <w:i/>
          <w:color w:val="000000"/>
          <w:sz w:val="16"/>
        </w:rPr>
        <w:t>These risks and uncertainties are further discussed in the reports that Sempra has filed with the U.S. Securities and Exchange Commission (SEC). These reports are available through the EDGAR system free-of-charge on the SEC's website, www.sec.gov, and on Sempra’s website, www.sempra.com. Investors should not rely unduly on any forward-looking statements.</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i/>
          <w:color w:val="000000"/>
          <w:sz w:val="16"/>
        </w:rPr>
      </w:pPr>
      <w:r>
        <w:rPr>
          <w:rFonts w:ascii="Times New Roman;serif" w:hAnsi="Times New Roman;serif"/>
          <w:b w:val="false"/>
          <w:i/>
          <w:color w:val="000000"/>
          <w:sz w:val="16"/>
        </w:rPr>
        <w:t>Sempra Infrastructure Partners and its subsidiaries, and the Sempra Texas utilities (Oncor and Sharyland Utilities) are not the same companies as the Sempra California utilities, SDG&amp;E or SoCalGas, nor are they regulated by the California Public Utilities Commission (CPUC).</w:t>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i/>
          <w:color w:val="000000"/>
          <w:sz w:val="16"/>
        </w:rPr>
      </w:pPr>
      <w:r>
        <w:rPr>
          <w:rFonts w:ascii="Times New Roman;serif" w:hAnsi="Times New Roman;serif"/>
          <w:b w:val="false"/>
          <w:i/>
          <w:color w:val="000000"/>
          <w:sz w:val="16"/>
        </w:rPr>
        <w:t>None of the website references in this press release are active hyperlinks, and the information contained on, or that can be accessed through, any such website is not, and shall not be deemed to be, part of this document.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936"/>
        <w:gridCol w:w="1569"/>
        <w:gridCol w:w="1574"/>
        <w:gridCol w:w="226"/>
        <w:gridCol w:w="662"/>
        <w:gridCol w:w="117"/>
        <w:gridCol w:w="117"/>
        <w:gridCol w:w="117"/>
        <w:gridCol w:w="117"/>
        <w:gridCol w:w="226"/>
        <w:gridCol w:w="662"/>
        <w:gridCol w:w="117"/>
        <w:gridCol w:w="117"/>
        <w:gridCol w:w="117"/>
        <w:gridCol w:w="117"/>
        <w:gridCol w:w="226"/>
        <w:gridCol w:w="662"/>
        <w:gridCol w:w="117"/>
        <w:gridCol w:w="117"/>
        <w:gridCol w:w="117"/>
        <w:gridCol w:w="117"/>
        <w:gridCol w:w="226"/>
        <w:gridCol w:w="662"/>
        <w:gridCol w:w="170"/>
      </w:tblGrid>
      <w:tr>
        <w:trPr/>
        <w:tc>
          <w:tcPr>
            <w:tcW w:w="193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SEMPRA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A</w:t>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CONDENSED CONSOLIDATED STATEMENTS OF OPERATIONS</w:t>
            </w:r>
          </w:p>
        </w:tc>
      </w:tr>
      <w:tr>
        <w:trPr/>
        <w:tc>
          <w:tcPr>
            <w:tcW w:w="5079"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 except per share amounts; shares in thousands)</w:t>
            </w:r>
          </w:p>
        </w:tc>
        <w:tc>
          <w:tcPr>
            <w:tcW w:w="100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5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07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10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2,382 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2,090 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888"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6,652 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6,802 </w:t>
            </w:r>
          </w:p>
        </w:tc>
        <w:tc>
          <w:tcPr>
            <w:tcW w:w="170"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 AND OTHER INCOME</w:t>
            </w:r>
          </w:p>
        </w:tc>
        <w:tc>
          <w:tcPr>
            <w:tcW w:w="10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natural gas</w:t>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(676)</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electric fuel and purchased power</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 cost of sales</w:t>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Franchise fees and other taxes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 and equity earnings</w:t>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888"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70"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contingently redeemable noncontrolling interest</w:t>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of subsidiary</w:t>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earnings per common share (EPS):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Earnings </w:t>
            </w:r>
          </w:p>
        </w:tc>
        <w:tc>
          <w:tcPr>
            <w:tcW w:w="22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654,038 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652,664 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653,815 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652,330 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EPS:</w:t>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w:t>
            </w:r>
          </w:p>
        </w:tc>
        <w:tc>
          <w:tcPr>
            <w:tcW w:w="22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0.71 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w:t>
            </w:r>
          </w:p>
        </w:tc>
        <w:tc>
          <w:tcPr>
            <w:tcW w:w="888"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655,945 </w:t>
            </w:r>
          </w:p>
        </w:tc>
        <w:tc>
          <w:tcPr>
            <w:tcW w:w="11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653,224 </w:t>
            </w:r>
          </w:p>
        </w:tc>
        <w:tc>
          <w:tcPr>
            <w:tcW w:w="11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655,718 </w:t>
            </w:r>
          </w:p>
        </w:tc>
        <w:tc>
          <w:tcPr>
            <w:tcW w:w="11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653,123 </w:t>
            </w:r>
          </w:p>
        </w:tc>
        <w:tc>
          <w:tcPr>
            <w:tcW w:w="170"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60"/>
        <w:jc w:val="center"/>
        <w:rPr>
          <w:rFonts w:ascii="Arial;sans-serif" w:hAnsi="Arial;sans-serif"/>
          <w:b/>
          <w:color w:val="000000"/>
          <w:sz w:val="24"/>
        </w:rPr>
      </w:pPr>
      <w:r>
        <w:rPr>
          <w:rFonts w:ascii="Arial;sans-serif" w:hAnsi="Arial;sans-serif"/>
          <w:b/>
          <w:color w:val="000000"/>
          <w:sz w:val="24"/>
        </w:rPr>
        <w:t>SEMPRA</w:t>
      </w:r>
    </w:p>
    <w:p>
      <w:pPr>
        <w:pStyle w:val="TextBody"/>
        <w:bidi w:val="0"/>
        <w:spacing w:lineRule="auto" w:line="240" w:before="0" w:after="180"/>
        <w:jc w:val="center"/>
        <w:rPr>
          <w:rFonts w:ascii="Arial;sans-serif" w:hAnsi="Arial;sans-serif"/>
          <w:b/>
          <w:color w:val="000000"/>
          <w:sz w:val="20"/>
        </w:rPr>
      </w:pPr>
      <w:r>
        <w:rPr>
          <w:rFonts w:ascii="Arial;sans-serif" w:hAnsi="Arial;sans-serif"/>
          <w:b/>
          <w:color w:val="000000"/>
          <w:sz w:val="20"/>
        </w:rPr>
        <w:t>Table A (Continued)</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Sempra Adjusted Earnings and Adjusted EPS are non-GAAP financial measures (GAAP represents generally accepted accounting principles in the United States of America). These non-GAAP financial measures exclude significant items that are generally not related to our ongoing business activities and/or are infrequent in nature. These non-GAAP financial measures also exclude the impact from foreign currency and inflation on our monetary positions in Mexico and associated undesignated derivatives and net unrealized gains and losses on commodity and interest rate derivatives, which we expect to occur in future periods, and which can vary significantly from one period to the next. Exclusion of these items is useful to management and investors because it provides a meaningful comparison of the performance of Sempra’s business operations to prior and future periods. Non-GAAP financial measures are supplementary information that should be considered in addition to, but not as a substitute for, the information prepared in accordance with GAAP. </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6"/>
        </w:rPr>
      </w:pPr>
      <w:r>
        <w:rPr>
          <w:rFonts w:ascii="Arial;sans-serif" w:hAnsi="Arial;sans-serif"/>
          <w:b w:val="false"/>
          <w:i/>
          <w:color w:val="000000"/>
          <w:sz w:val="16"/>
        </w:rPr>
        <w:t>RECONCILIATION OF SEMPRA ADJUSTED EARNINGS AND ADJUSTED EPS TO SEMPRA GAAP EARNINGS AND GAAP EPS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Sempra Adjusted Earnings and Adjusted EPS exclude items (after the effects of income taxes and, if applicable, noncontrolling interests (NCI)) in 2026 and 2025 as follows:</w:t>
      </w:r>
    </w:p>
    <w:p>
      <w:pPr>
        <w:pStyle w:val="TextBody"/>
        <w:bidi w:val="0"/>
        <w:spacing w:before="0" w:after="0"/>
        <w:jc w:val="left"/>
        <w:rPr/>
      </w:pPr>
      <w:r>
        <w:rPr/>
      </w:r>
    </w:p>
    <w:p>
      <w:pPr>
        <w:pStyle w:val="TextBody"/>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Three months ended June 30, 2026:</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$(71) million impact from foreign currency and inflation on our monetary positions in Mexico and associated undesignated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$82 million net unrealized gains on commodity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$3 million net unrealized gains on interest rate swaps related to the initial phase of the Port Arthur LNG liquefaction project (PA LNG Phase 1 project)</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$20 million net income tax benefit as a result of classifying Sempra Infrastructure Partners, LP (SI Partners) and Ecogas México, S. de R.L. de C.V. (Ecogas) as held for sale, which such amounts could change in future periods until the dates of sale:</w:t>
      </w:r>
    </w:p>
    <w:p>
      <w:pPr>
        <w:pStyle w:val="TextBody"/>
        <w:bidi w:val="0"/>
        <w:spacing w:lineRule="auto" w:line="288" w:before="0" w:after="0"/>
        <w:ind w:left="0" w:right="0" w:hanging="180"/>
        <w:jc w:val="left"/>
        <w:rPr>
          <w:color w:val="000000"/>
        </w:rPr>
      </w:pPr>
      <w:r>
        <w:rPr>
          <w:color w:val="000000"/>
        </w:rPr>
        <w:t xml:space="preserve">◦ </w:t>
      </w:r>
      <w:r>
        <w:rPr>
          <w:rFonts w:ascii="Arial;sans-serif" w:hAnsi="Arial;sans-serif"/>
          <w:b w:val="false"/>
          <w:color w:val="000000"/>
          <w:sz w:val="16"/>
        </w:rPr>
        <w:t>$21 million income tax benefit to adjust deferred income tax liabilities primarily related to outside basis differences in our investment in SI Partners</w:t>
      </w:r>
    </w:p>
    <w:p>
      <w:pPr>
        <w:pStyle w:val="TextBody"/>
        <w:bidi w:val="0"/>
        <w:spacing w:lineRule="auto" w:line="288" w:before="0" w:after="0"/>
        <w:ind w:left="0" w:right="0" w:hanging="180"/>
        <w:jc w:val="left"/>
        <w:rPr>
          <w:color w:val="000000"/>
        </w:rPr>
      </w:pPr>
      <w:r>
        <w:rPr>
          <w:color w:val="000000"/>
        </w:rPr>
        <w:t xml:space="preserve">◦ </w:t>
      </w:r>
      <w:r>
        <w:rPr>
          <w:rFonts w:ascii="Arial;sans-serif" w:hAnsi="Arial;sans-serif"/>
          <w:b w:val="false"/>
          <w:color w:val="000000"/>
          <w:sz w:val="16"/>
        </w:rPr>
        <w:t>$(1) million income tax expense to adjust a Mexican deferred tax liability on our outside basis difference in our investment in Ecogas</w:t>
      </w:r>
    </w:p>
    <w:p>
      <w:pPr>
        <w:pStyle w:val="TextBody"/>
        <w:bidi w:val="0"/>
        <w:spacing w:before="0" w:after="0"/>
        <w:ind w:left="0" w:right="0" w:hanging="18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Three months ended June 30, 2025:</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$(25) million impact from regulatory disallowances related to the recovery of coronavirus disease 2019 (COVID-19) costs at Sempra California</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$(97) million impact from foreign currency and inflation on our monetary positions in Mexico</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$25 million net unrealized gains on commodity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$1 million net unrealized gains on interest rate swaps related to the PA LNG Phase 1 project</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$(26) million income tax expense due to the recognition of a Mexican deferred tax liability on the outside basis difference in our investment in Ecogas as a result of classifying the asset as held for sale</w:t>
      </w:r>
    </w:p>
    <w:p>
      <w:pPr>
        <w:pStyle w:val="TextBody"/>
        <w:bidi w:val="0"/>
        <w:spacing w:before="0" w:after="0"/>
        <w:jc w:val="left"/>
        <w:rPr/>
      </w:pPr>
      <w:r>
        <w:rPr/>
      </w:r>
    </w:p>
    <w:p>
      <w:pPr>
        <w:pStyle w:val="TextBody"/>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Six months ended June 30, 2026:</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$(52) million impact from foreign currency and inflation on our monetary positions in Mexico and associated undesignated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$85 million net unrealized gains on commodity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$(8) million net unrealized losses on interest rate swaps related to the PA LNG Phase 1 project</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$55 million income tax benefit as a result of classifying SI Partners and Ecogas as held for sale, which such amounts could change in future periods until the dates of sale:</w:t>
      </w:r>
    </w:p>
    <w:p>
      <w:pPr>
        <w:pStyle w:val="TextBody"/>
        <w:bidi w:val="0"/>
        <w:spacing w:lineRule="auto" w:line="288" w:before="0" w:after="0"/>
        <w:ind w:left="0" w:right="0" w:hanging="180"/>
        <w:jc w:val="left"/>
        <w:rPr>
          <w:color w:val="000000"/>
        </w:rPr>
      </w:pPr>
      <w:r>
        <w:rPr>
          <w:color w:val="000000"/>
        </w:rPr>
        <w:t xml:space="preserve">◦ </w:t>
      </w:r>
      <w:r>
        <w:rPr>
          <w:rFonts w:ascii="Arial;sans-serif" w:hAnsi="Arial;sans-serif"/>
          <w:b w:val="false"/>
          <w:color w:val="000000"/>
          <w:sz w:val="16"/>
        </w:rPr>
        <w:t>$54 million income tax benefit to adjust deferred income tax liabilities primarily related to outside basis differences in our investment in SI Partners</w:t>
      </w:r>
    </w:p>
    <w:p>
      <w:pPr>
        <w:pStyle w:val="TextBody"/>
        <w:bidi w:val="0"/>
        <w:spacing w:lineRule="auto" w:line="288" w:before="0" w:after="0"/>
        <w:ind w:left="0" w:right="0" w:hanging="180"/>
        <w:jc w:val="left"/>
        <w:rPr>
          <w:color w:val="000000"/>
        </w:rPr>
      </w:pPr>
      <w:r>
        <w:rPr>
          <w:color w:val="000000"/>
        </w:rPr>
        <w:t xml:space="preserve">◦ </w:t>
      </w:r>
      <w:r>
        <w:rPr>
          <w:rFonts w:ascii="Arial;sans-serif" w:hAnsi="Arial;sans-serif"/>
          <w:b w:val="false"/>
          <w:color w:val="000000"/>
          <w:sz w:val="16"/>
        </w:rPr>
        <w:t>$1 million income tax benefit to adjust a Mexican deferred tax liability on the outside basis difference in our investment in Ecogas</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Six months ended June 30, 2025:</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$(25) million impact from regulatory disallowances related to the recovery of COVID-19 costs at Sempra California</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$(89) million impact from foreign currency and inflation on our monetary positions in Mexico</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$(10) million net unrealized losses on commodity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$(8) million net unrealized losses on interest rate swaps related to the PA LNG Phase 1 project</w:t>
      </w:r>
    </w:p>
    <w:p>
      <w:pPr>
        <w:pStyle w:val="TextBody"/>
        <w:bidi w:val="0"/>
        <w:spacing w:lineRule="auto" w:line="288"/>
        <w:ind w:left="0" w:right="0" w:hanging="180"/>
        <w:jc w:val="left"/>
        <w:rPr/>
      </w:pPr>
      <w:r>
        <w:rPr>
          <w:color w:val="000000"/>
        </w:rPr>
        <w:t>▪</w:t>
      </w:r>
      <w:r>
        <w:rPr>
          <w:rFonts w:ascii="Arial;sans-serif" w:hAnsi="Arial;sans-serif"/>
          <w:b w:val="false"/>
          <w:color w:val="000000"/>
          <w:sz w:val="16"/>
        </w:rPr>
        <w:t>$(26) million income tax expense due to the recognition of a Mexican deferred tax liability on the outside basis difference in our investment in Ecogas as a result of classifying the asset as held for sale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The table below reconciles Sempra Adjusted Earnings and Adjusted EPS to Sempra GAAP Earnings and GAAP EPS, which we consider to be the most directly comparable financial measures calculated in accordance with GAAP.</w:t>
      </w:r>
    </w:p>
    <w:tbl>
      <w:tblPr>
        <w:tblW w:w="10205" w:type="dxa"/>
        <w:jc w:val="left"/>
        <w:tblInd w:w="0" w:type="dxa"/>
        <w:tblLayout w:type="fixed"/>
        <w:tblCellMar>
          <w:top w:w="28" w:type="dxa"/>
          <w:left w:w="28" w:type="dxa"/>
          <w:bottom w:w="28" w:type="dxa"/>
          <w:right w:w="28" w:type="dxa"/>
        </w:tblCellMar>
      </w:tblPr>
      <w:tblGrid>
        <w:gridCol w:w="126"/>
        <w:gridCol w:w="111"/>
        <w:gridCol w:w="111"/>
        <w:gridCol w:w="296"/>
        <w:gridCol w:w="253"/>
        <w:gridCol w:w="123"/>
        <w:gridCol w:w="123"/>
        <w:gridCol w:w="123"/>
        <w:gridCol w:w="123"/>
        <w:gridCol w:w="182"/>
        <w:gridCol w:w="408"/>
        <w:gridCol w:w="109"/>
        <w:gridCol w:w="185"/>
        <w:gridCol w:w="416"/>
        <w:gridCol w:w="111"/>
        <w:gridCol w:w="266"/>
        <w:gridCol w:w="599"/>
        <w:gridCol w:w="162"/>
        <w:gridCol w:w="181"/>
        <w:gridCol w:w="496"/>
        <w:gridCol w:w="109"/>
        <w:gridCol w:w="109"/>
        <w:gridCol w:w="109"/>
        <w:gridCol w:w="109"/>
        <w:gridCol w:w="213"/>
        <w:gridCol w:w="433"/>
        <w:gridCol w:w="109"/>
        <w:gridCol w:w="109"/>
        <w:gridCol w:w="109"/>
        <w:gridCol w:w="109"/>
        <w:gridCol w:w="182"/>
        <w:gridCol w:w="303"/>
        <w:gridCol w:w="109"/>
        <w:gridCol w:w="189"/>
        <w:gridCol w:w="333"/>
        <w:gridCol w:w="112"/>
        <w:gridCol w:w="266"/>
        <w:gridCol w:w="599"/>
        <w:gridCol w:w="162"/>
        <w:gridCol w:w="181"/>
        <w:gridCol w:w="496"/>
        <w:gridCol w:w="109"/>
        <w:gridCol w:w="109"/>
        <w:gridCol w:w="109"/>
        <w:gridCol w:w="109"/>
        <w:gridCol w:w="211"/>
        <w:gridCol w:w="435"/>
        <w:gridCol w:w="169"/>
      </w:tblGrid>
      <w:tr>
        <w:trPr/>
        <w:tc>
          <w:tcPr>
            <w:tcW w:w="12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RECONCILIATION OF ADJUSTED EARNINGS AND ADJUSTED EPS TO GAAP EARNINGS AND GAAP EPS</w:t>
            </w:r>
          </w:p>
        </w:tc>
      </w:tr>
      <w:tr>
        <w:trPr/>
        <w:tc>
          <w:tcPr>
            <w:tcW w:w="9063" w:type="dxa"/>
            <w:gridSpan w:val="4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 except per share amounts; shares in thousands)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Pretax amount</w:t>
            </w:r>
          </w:p>
        </w:tc>
        <w:tc>
          <w:tcPr>
            <w:tcW w:w="7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Income tax expense (benefit)</w:t>
            </w:r>
            <w:r>
              <w:rPr>
                <w:rFonts w:ascii="Arial;sans-serif" w:hAnsi="Arial;sans-serif"/>
                <w:b w:val="false"/>
                <w:color w:val="000000"/>
                <w:sz w:val="9"/>
              </w:rPr>
              <w:t>(1)</w:t>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interests</w:t>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Diluted 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Pretax amount</w:t>
            </w:r>
          </w:p>
        </w:tc>
        <w:tc>
          <w:tcPr>
            <w:tcW w:w="6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4"/>
              </w:rPr>
              <w:t>Income tax (benefit) expense</w:t>
            </w:r>
            <w:r>
              <w:rPr>
                <w:rFonts w:ascii="Arial;sans-serif" w:hAnsi="Arial;sans-serif"/>
                <w:b w:val="false"/>
                <w:color w:val="000000"/>
                <w:sz w:val="9"/>
              </w:rPr>
              <w:t>(1)</w:t>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Non-controlling interests</w:t>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 xml:space="preserve">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Diluted EPS</w:t>
            </w:r>
          </w:p>
        </w:tc>
      </w:tr>
      <w:tr>
        <w:trPr/>
        <w:tc>
          <w:tcPr>
            <w:tcW w:w="13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Three months ended June 30, 2025</w:t>
            </w:r>
          </w:p>
        </w:tc>
      </w:tr>
      <w:tr>
        <w:trPr/>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Sempra GAAP Earnings and GAAP EPS</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9"/>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Excluded items:</w:t>
            </w:r>
          </w:p>
        </w:tc>
        <w:tc>
          <w:tcPr>
            <w:tcW w:w="69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Impact from regulatory disallowances</w:t>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tcPr>
          <w:p>
            <w:pPr>
              <w:pStyle w:val="TableContents"/>
              <w:bidi w:val="0"/>
              <w:spacing w:before="0" w:after="283"/>
              <w:jc w:val="left"/>
              <w:rPr>
                <w:sz w:val="4"/>
                <w:szCs w:val="4"/>
              </w:rPr>
            </w:pPr>
            <w:r>
              <w:rPr>
                <w:sz w:val="4"/>
                <w:szCs w:val="4"/>
              </w:rPr>
            </w:r>
          </w:p>
        </w:tc>
      </w:tr>
      <w:tr>
        <w:trPr/>
        <w:tc>
          <w:tcPr>
            <w:tcW w:w="348" w:type="dxa"/>
            <w:gridSpan w:val="3"/>
            <w:tcBorders/>
            <w:shd w:fill="D4F1F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6"/>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Impact from foreign currency and inflation on monetary positions in Mexico and associated undesignated derivatives </w:t>
            </w:r>
          </w:p>
        </w:tc>
        <w:tc>
          <w:tcPr>
            <w:tcW w:w="5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1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unrealized gains on commodity derivatives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shd w:fill="D4F1F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6"/>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unrealized gains on interest rate swaps related to PA LNG Phase 1 project</w:t>
            </w:r>
          </w:p>
        </w:tc>
        <w:tc>
          <w:tcPr>
            <w:tcW w:w="5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items related to assets held for sale</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815" w:type="dxa"/>
            <w:gridSpan w:val="3"/>
            <w:tcBorders/>
          </w:tcPr>
          <w:p>
            <w:pPr>
              <w:pStyle w:val="TableContents"/>
              <w:bidi w:val="0"/>
              <w:spacing w:before="0" w:after="283"/>
              <w:jc w:val="left"/>
              <w:rPr>
                <w:sz w:val="4"/>
                <w:szCs w:val="4"/>
              </w:rPr>
            </w:pPr>
            <w:r>
              <w:rPr>
                <w:sz w:val="4"/>
                <w:szCs w:val="4"/>
              </w:rPr>
            </w:r>
          </w:p>
        </w:tc>
      </w:tr>
      <w:tr>
        <w:trPr/>
        <w:tc>
          <w:tcPr>
            <w:tcW w:w="1389" w:type="dxa"/>
            <w:gridSpan w:val="9"/>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Sempra Adjusted Earnings and Adjusted EPS</w:t>
            </w:r>
          </w:p>
        </w:tc>
        <w:tc>
          <w:tcPr>
            <w:tcW w:w="69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762 </w:t>
            </w:r>
          </w:p>
        </w:tc>
        <w:tc>
          <w:tcPr>
            <w:tcW w:w="10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3"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1.16 </w:t>
            </w:r>
          </w:p>
        </w:tc>
        <w:tc>
          <w:tcPr>
            <w:tcW w:w="10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583 </w:t>
            </w:r>
          </w:p>
        </w:tc>
        <w:tc>
          <w:tcPr>
            <w:tcW w:w="10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5"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0.89 </w:t>
            </w:r>
          </w:p>
        </w:tc>
        <w:tc>
          <w:tcPr>
            <w:tcW w:w="16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9"/>
            <w:tcBorders/>
            <w:shd w:fill="D4F1F5"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Weighted-average common shares outstanding, diluted</w:t>
            </w:r>
          </w:p>
        </w:tc>
        <w:tc>
          <w:tcPr>
            <w:tcW w:w="69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655,945 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653,224 </w:t>
            </w:r>
          </w:p>
        </w:tc>
        <w:tc>
          <w:tcPr>
            <w:tcW w:w="1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Six months ended June 30, 2025</w:t>
            </w:r>
          </w:p>
        </w:tc>
      </w:tr>
      <w:tr>
        <w:trPr/>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Sempra GAAP Earnings and GAAP EPS</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9"/>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Excluded items:</w:t>
            </w:r>
          </w:p>
        </w:tc>
        <w:tc>
          <w:tcPr>
            <w:tcW w:w="69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Impact from regulatory disallowances</w:t>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shd w:fill="D4F1F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6"/>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 xml:space="preserve">Impact from foreign currency and inflation on monetary positions in Mexico and associated undesignated derivatives </w:t>
            </w:r>
          </w:p>
        </w:tc>
        <w:tc>
          <w:tcPr>
            <w:tcW w:w="5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112 </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0.14 </w:t>
            </w:r>
          </w:p>
        </w:tc>
        <w:tc>
          <w:tcPr>
            <w:tcW w:w="1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unrealized (gains) losses on commodity derivatives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shd w:fill="D4F1F5"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6"/>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unrealized losses on interest rate swaps related to PA LNG Phase 1 project</w:t>
            </w:r>
          </w:p>
        </w:tc>
        <w:tc>
          <w:tcPr>
            <w:tcW w:w="5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1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0.01 </w:t>
            </w:r>
          </w:p>
        </w:tc>
        <w:tc>
          <w:tcPr>
            <w:tcW w:w="1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4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items related to assets held for sale</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vAlign w:val="center"/>
          </w:tcPr>
          <w:p>
            <w:pPr>
              <w:pStyle w:val="TableContents"/>
              <w:bidi w:val="0"/>
              <w:spacing w:before="0" w:after="283"/>
              <w:jc w:val="left"/>
              <w:rPr>
                <w:sz w:val="4"/>
                <w:szCs w:val="4"/>
              </w:rPr>
            </w:pPr>
            <w:r>
              <w:rPr>
                <w:sz w:val="4"/>
                <w:szCs w:val="4"/>
              </w:rPr>
            </w:r>
          </w:p>
        </w:tc>
        <w:tc>
          <w:tcPr>
            <w:tcW w:w="67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699"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4" w:type="dxa"/>
            <w:gridSpan w:val="3"/>
            <w:tcBorders/>
            <w:vAlign w:val="center"/>
          </w:tcPr>
          <w:p>
            <w:pPr>
              <w:pStyle w:val="TableContents"/>
              <w:bidi w:val="0"/>
              <w:spacing w:before="0" w:after="283"/>
              <w:jc w:val="left"/>
              <w:rPr>
                <w:sz w:val="4"/>
                <w:szCs w:val="4"/>
              </w:rPr>
            </w:pPr>
            <w:r>
              <w:rPr>
                <w:sz w:val="4"/>
                <w:szCs w:val="4"/>
              </w:rPr>
            </w:r>
          </w:p>
        </w:tc>
        <w:tc>
          <w:tcPr>
            <w:tcW w:w="634"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ind w:left="0" w:right="0" w:hanging="180"/>
              <w:jc w:val="left"/>
              <w:rPr>
                <w:sz w:val="4"/>
                <w:szCs w:val="4"/>
              </w:rPr>
            </w:pPr>
            <w:r>
              <w:rPr>
                <w:sz w:val="4"/>
                <w:szCs w:val="4"/>
              </w:rPr>
            </w:r>
          </w:p>
        </w:tc>
        <w:tc>
          <w:tcPr>
            <w:tcW w:w="815" w:type="dxa"/>
            <w:gridSpan w:val="3"/>
            <w:tcBorders/>
          </w:tcPr>
          <w:p>
            <w:pPr>
              <w:pStyle w:val="TableContents"/>
              <w:bidi w:val="0"/>
              <w:spacing w:before="0" w:after="283"/>
              <w:jc w:val="left"/>
              <w:rPr>
                <w:sz w:val="4"/>
                <w:szCs w:val="4"/>
              </w:rPr>
            </w:pPr>
            <w:r>
              <w:rPr>
                <w:sz w:val="4"/>
                <w:szCs w:val="4"/>
              </w:rPr>
            </w:r>
          </w:p>
        </w:tc>
      </w:tr>
      <w:tr>
        <w:trPr/>
        <w:tc>
          <w:tcPr>
            <w:tcW w:w="1389" w:type="dxa"/>
            <w:gridSpan w:val="9"/>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Sempra Adjusted Earnings and Adjusted EPS</w:t>
            </w:r>
          </w:p>
        </w:tc>
        <w:tc>
          <w:tcPr>
            <w:tcW w:w="69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1,753 </w:t>
            </w:r>
          </w:p>
        </w:tc>
        <w:tc>
          <w:tcPr>
            <w:tcW w:w="10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3"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2.67 </w:t>
            </w:r>
          </w:p>
        </w:tc>
        <w:tc>
          <w:tcPr>
            <w:tcW w:w="10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1,525 </w:t>
            </w:r>
          </w:p>
        </w:tc>
        <w:tc>
          <w:tcPr>
            <w:tcW w:w="10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5"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2.34 </w:t>
            </w:r>
          </w:p>
        </w:tc>
        <w:tc>
          <w:tcPr>
            <w:tcW w:w="16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9" w:type="dxa"/>
            <w:gridSpan w:val="9"/>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Weighted-average common shares outstanding, diluted</w:t>
            </w:r>
          </w:p>
        </w:tc>
        <w:tc>
          <w:tcPr>
            <w:tcW w:w="699"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655,718 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4"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653,123 </w:t>
            </w:r>
          </w:p>
        </w:tc>
        <w:tc>
          <w:tcPr>
            <w:tcW w:w="16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9"/>
        </w:rPr>
        <w:t>(1)</w:t>
      </w:r>
      <w:r>
        <w:rPr>
          <w:color w:val="000000"/>
        </w:rPr>
        <w:t>    </w:t>
      </w:r>
      <w:r>
        <w:rPr>
          <w:rFonts w:ascii="Arial;sans-serif" w:hAnsi="Arial;sans-serif"/>
          <w:b w:val="false"/>
          <w:i/>
          <w:color w:val="000000"/>
          <w:sz w:val="14"/>
        </w:rPr>
        <w:t>Except for adjustments that are solely income tax and tax related to outside basis differences, income taxes on pretax amounts were primarily calculated based on applicable statutory tax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60"/>
        <w:jc w:val="center"/>
        <w:rPr>
          <w:rFonts w:ascii="Arial;sans-serif" w:hAnsi="Arial;sans-serif"/>
          <w:b/>
          <w:color w:val="000000"/>
          <w:sz w:val="24"/>
        </w:rPr>
      </w:pPr>
      <w:r>
        <w:rPr>
          <w:rFonts w:ascii="Arial;sans-serif" w:hAnsi="Arial;sans-serif"/>
          <w:b/>
          <w:color w:val="000000"/>
          <w:sz w:val="24"/>
        </w:rPr>
        <w:t>SEMPRA</w:t>
      </w:r>
    </w:p>
    <w:p>
      <w:pPr>
        <w:pStyle w:val="TextBody"/>
        <w:bidi w:val="0"/>
        <w:spacing w:lineRule="auto" w:line="240" w:before="0" w:after="180"/>
        <w:jc w:val="center"/>
        <w:rPr>
          <w:rFonts w:ascii="Arial;sans-serif" w:hAnsi="Arial;sans-serif"/>
          <w:b/>
          <w:color w:val="000000"/>
          <w:sz w:val="20"/>
        </w:rPr>
      </w:pPr>
      <w:r>
        <w:rPr>
          <w:rFonts w:ascii="Arial;sans-serif" w:hAnsi="Arial;sans-serif"/>
          <w:b/>
          <w:color w:val="000000"/>
          <w:sz w:val="20"/>
        </w:rPr>
        <w:t>Table A (Continued)</w:t>
      </w:r>
    </w:p>
    <w:p>
      <w:pPr>
        <w:pStyle w:val="TextBody"/>
        <w:bidi w:val="0"/>
        <w:spacing w:lineRule="auto" w:line="300" w:before="0" w:after="120"/>
        <w:jc w:val="left"/>
        <w:rPr>
          <w:rFonts w:ascii="Arial;sans-serif" w:hAnsi="Arial;sans-serif"/>
          <w:b w:val="false"/>
          <w:color w:val="000000"/>
          <w:sz w:val="16"/>
        </w:rPr>
      </w:pPr>
      <w:r>
        <w:rPr>
          <w:rFonts w:ascii="Arial;sans-serif" w:hAnsi="Arial;sans-serif"/>
          <w:b w:val="false"/>
          <w:color w:val="000000"/>
          <w:sz w:val="16"/>
        </w:rPr>
        <w:t xml:space="preserve">Sempra 2026 Adjusted EPS Guidance is a non-GAAP financial measure. This non-GAAP financial measure excludes significant items that are generally not related to our ongoing business activities and/or infrequent in nature. This non-GAAP financial measure also excludes the impact from foreign currency and inflation on our monetary positions in Mexico and associated undesignated derivatives and net unrealized gains and losses on commodity and interest rate derivatives for the six months ended June 30, 2026, which we expect to occur in future periods, and which can vary significantly from one period to the next. Exclusion of these items is useful to management and investors because it provides a meaningful comparison of the performance of Sempra's business operations to prior and future periods. </w:t>
      </w:r>
    </w:p>
    <w:p>
      <w:pPr>
        <w:pStyle w:val="TextBody"/>
        <w:bidi w:val="0"/>
        <w:spacing w:lineRule="auto" w:line="300" w:before="0" w:after="120"/>
        <w:jc w:val="left"/>
        <w:rPr>
          <w:rFonts w:ascii="Arial;sans-serif" w:hAnsi="Arial;sans-serif"/>
          <w:b w:val="false"/>
          <w:color w:val="000000"/>
          <w:sz w:val="16"/>
        </w:rPr>
      </w:pPr>
      <w:r>
        <w:rPr>
          <w:rFonts w:ascii="Arial;sans-serif" w:hAnsi="Arial;sans-serif"/>
          <w:b w:val="false"/>
          <w:color w:val="000000"/>
          <w:sz w:val="16"/>
        </w:rPr>
        <w:t>Because we cannot reasonably estimate the forward-looking amount or range of amounts of reasonably estimable GAAP amounts, this non-GAAP financial measure does not contemplate the anticipated impacts of each of the following future events: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impact from foreign currency and inflation on our monetary positions in Mexico and associated undesignated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net unrealized gains and losses on commodity and interest rate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any potential gain from the agreement to sell an equity interest in SI Partners to the KKR Partners that was entered into in September 2025, as the purchase price is subject to closing adjustments, post-closing adjustments, and tax items related to our outside basis difference in SI Partners, all of which are subject to adjustments based on changes in carrying value, foreign exchange rates and inflation until the date of sale</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ancillary costs associated with the sale of SI Partners</w:t>
      </w:r>
    </w:p>
    <w:p>
      <w:pPr>
        <w:pStyle w:val="TextBody"/>
        <w:bidi w:val="0"/>
        <w:spacing w:before="0" w:after="0"/>
        <w:ind w:left="0" w:right="0" w:hanging="180"/>
        <w:jc w:val="left"/>
        <w:rPr/>
      </w:pPr>
      <w:r>
        <w:rPr/>
      </w:r>
    </w:p>
    <w:p>
      <w:pPr>
        <w:pStyle w:val="TextBody"/>
        <w:bidi w:val="0"/>
        <w:spacing w:lineRule="auto" w:line="300" w:before="0" w:after="0"/>
        <w:jc w:val="left"/>
        <w:rPr>
          <w:rFonts w:ascii="Arial;sans-serif" w:hAnsi="Arial;sans-serif"/>
          <w:b w:val="false"/>
          <w:color w:val="000000"/>
          <w:sz w:val="16"/>
        </w:rPr>
      </w:pPr>
      <w:r>
        <w:rPr>
          <w:rFonts w:ascii="Arial;sans-serif" w:hAnsi="Arial;sans-serif"/>
          <w:b w:val="false"/>
          <w:color w:val="000000"/>
          <w:sz w:val="16"/>
        </w:rPr>
        <w:t>We expect to complete the sale of SI Partners in the third quarter of 2026, which we expect to be accretive. Sempra 2026 Adjusted EPS Guidance Range should not be considered an alternative to Sempra 2026 GAAP EPS Guidance Range. Non-GAAP financial measures are supplementary information that should be considered in addition to, but not as a substitute for, the information prepared in accordance with GAAP.</w:t>
      </w:r>
    </w:p>
    <w:p>
      <w:pPr>
        <w:pStyle w:val="TextBody"/>
        <w:bidi w:val="0"/>
        <w:spacing w:before="0" w:after="0"/>
        <w:jc w:val="left"/>
        <w:rPr/>
      </w:pPr>
      <w:r>
        <w:rPr/>
      </w:r>
    </w:p>
    <w:p>
      <w:pPr>
        <w:pStyle w:val="TextBody"/>
        <w:bidi w:val="0"/>
        <w:spacing w:lineRule="auto" w:line="288" w:before="0" w:after="120"/>
        <w:jc w:val="left"/>
        <w:rPr>
          <w:rFonts w:ascii="Arial;sans-serif" w:hAnsi="Arial;sans-serif"/>
          <w:b w:val="false"/>
          <w:i/>
          <w:color w:val="000000"/>
          <w:sz w:val="16"/>
        </w:rPr>
      </w:pPr>
      <w:r>
        <w:rPr>
          <w:rFonts w:ascii="Arial;sans-serif" w:hAnsi="Arial;sans-serif"/>
          <w:b w:val="false"/>
          <w:i/>
          <w:color w:val="000000"/>
          <w:sz w:val="16"/>
        </w:rPr>
        <w:t>RECONCILIATION OF SEMPRA 2026 ADJUSTED EPS GUIDANCE RANGE TO SEMPRA 2026 GAAP EPS GUIDANCE RANGE</w:t>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Sempra 2026 Adjusted EPS Guidance Range of $4.80 to $5.30 excludes items (after the effects of income taxes and, if applicable, NCI) for the six months ended June 30, 2026 as follows:</w:t>
      </w:r>
    </w:p>
    <w:p>
      <w:pPr>
        <w:pStyle w:val="TextBody"/>
        <w:bidi w:val="0"/>
        <w:spacing w:before="0" w:after="0"/>
        <w:jc w:val="left"/>
        <w:rPr/>
      </w:pPr>
      <w:r>
        <w:rPr/>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$(52) million impact from foreign currency and inflation on our monetary positions in Mexico and associated undesignated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$85 million net unrealized gains on commodity derivatives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$(8) million net unrealized losses on interest rate swaps related to the PA LNG Phase 1 project</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$55 million income tax benefit as a result of classifying SI Partners and Ecogas as held for sale, which such amounts could change in future periods until the dates of sale:</w:t>
      </w:r>
    </w:p>
    <w:p>
      <w:pPr>
        <w:pStyle w:val="TextBody"/>
        <w:bidi w:val="0"/>
        <w:spacing w:lineRule="auto" w:line="288" w:before="0" w:after="0"/>
        <w:ind w:left="0" w:right="0" w:hanging="180"/>
        <w:jc w:val="left"/>
        <w:rPr>
          <w:color w:val="000000"/>
        </w:rPr>
      </w:pPr>
      <w:r>
        <w:rPr>
          <w:color w:val="000000"/>
        </w:rPr>
        <w:t xml:space="preserve">◦ </w:t>
      </w:r>
      <w:r>
        <w:rPr>
          <w:rFonts w:ascii="Arial;sans-serif" w:hAnsi="Arial;sans-serif"/>
          <w:b w:val="false"/>
          <w:color w:val="000000"/>
          <w:sz w:val="16"/>
        </w:rPr>
        <w:t>$54 million income tax benefit to adjust deferred income tax liabilities primarily related to outside basis differences in our investment in SI Partners</w:t>
      </w:r>
    </w:p>
    <w:p>
      <w:pPr>
        <w:pStyle w:val="TextBody"/>
        <w:bidi w:val="0"/>
        <w:spacing w:lineRule="auto" w:line="288" w:before="0" w:after="0"/>
        <w:ind w:left="0" w:right="0" w:hanging="180"/>
        <w:jc w:val="left"/>
        <w:rPr>
          <w:color w:val="000000"/>
        </w:rPr>
      </w:pPr>
      <w:r>
        <w:rPr>
          <w:color w:val="000000"/>
        </w:rPr>
        <w:t xml:space="preserve">◦ </w:t>
      </w:r>
      <w:r>
        <w:rPr>
          <w:rFonts w:ascii="Arial;sans-serif" w:hAnsi="Arial;sans-serif"/>
          <w:b w:val="false"/>
          <w:color w:val="000000"/>
          <w:sz w:val="16"/>
        </w:rPr>
        <w:t>$1 million income tax benefit to adjust a Mexican deferred tax liability on the outside basis difference in our investment in Ecogas</w:t>
      </w:r>
    </w:p>
    <w:p>
      <w:pPr>
        <w:pStyle w:val="TextBody"/>
        <w:bidi w:val="0"/>
        <w:spacing w:lineRule="auto" w:line="288" w:before="0" w:after="0"/>
        <w:ind w:left="0" w:right="0" w:hanging="180"/>
        <w:jc w:val="left"/>
        <w:rPr/>
      </w:pPr>
      <w:r>
        <w:rPr>
          <w:color w:val="000000"/>
        </w:rPr>
        <w:t>▪</w:t>
      </w:r>
      <w:r>
        <w:rPr>
          <w:rFonts w:ascii="Arial;sans-serif" w:hAnsi="Arial;sans-serif"/>
          <w:b w:val="false"/>
          <w:color w:val="000000"/>
          <w:sz w:val="16"/>
        </w:rPr>
        <w:t>a gain on sale of Ecogas ranging from approximately $165 million ($57 million after tax and NCI) to $205 million ($77 million after tax and NCI), which SI Partners expects to complete in August 2026</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The table below reconciles Sempra 2026 Adjusted EPS Guidance Range to Sempra 2026 GAAP EPS Guidance Range, which we consider to be the most directly comparable financial measure calculated in accordance with GAAP.</w:t>
      </w:r>
    </w:p>
    <w:p>
      <w:pPr>
        <w:pStyle w:val="TextBody"/>
        <w:bidi w:val="0"/>
        <w:spacing w:before="0" w:after="0"/>
        <w:jc w:val="left"/>
        <w:rPr/>
      </w:pPr>
      <w:r>
        <w:rPr/>
      </w:r>
    </w:p>
    <w:tbl>
      <w:tblPr>
        <w:tblW w:w="10205" w:type="dxa"/>
        <w:jc w:val="right"/>
        <w:tblInd w:w="0" w:type="dxa"/>
        <w:tblLayout w:type="fixed"/>
        <w:tblCellMar>
          <w:top w:w="28" w:type="dxa"/>
          <w:left w:w="28" w:type="dxa"/>
          <w:bottom w:w="28" w:type="dxa"/>
          <w:right w:w="28" w:type="dxa"/>
        </w:tblCellMar>
      </w:tblPr>
      <w:tblGrid>
        <w:gridCol w:w="2218"/>
        <w:gridCol w:w="1657"/>
        <w:gridCol w:w="1588"/>
        <w:gridCol w:w="485"/>
        <w:gridCol w:w="1154"/>
        <w:gridCol w:w="269"/>
        <w:gridCol w:w="269"/>
        <w:gridCol w:w="269"/>
        <w:gridCol w:w="269"/>
        <w:gridCol w:w="485"/>
        <w:gridCol w:w="1154"/>
        <w:gridCol w:w="388"/>
      </w:tblGrid>
      <w:tr>
        <w:trPr/>
        <w:tc>
          <w:tcPr>
            <w:tcW w:w="2218"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RECONCILIATION OF ADJUSTED EPS GUIDANCE RANGE TO GAAP EPS GUIDANCE RANGE</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Full-Year 2026</w:t>
            </w:r>
          </w:p>
        </w:tc>
      </w:tr>
      <w:tr>
        <w:trPr/>
        <w:tc>
          <w:tcPr>
            <w:tcW w:w="5463" w:type="dxa"/>
            <w:gridSpan w:val="3"/>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Sempra GAAP EPS Guidance Range</w:t>
            </w:r>
          </w:p>
        </w:tc>
        <w:tc>
          <w:tcPr>
            <w:tcW w:w="485"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4"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5.02 </w:t>
            </w:r>
          </w:p>
        </w:tc>
        <w:tc>
          <w:tcPr>
            <w:tcW w:w="26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w:t>
            </w:r>
          </w:p>
        </w:tc>
        <w:tc>
          <w:tcPr>
            <w:tcW w:w="485"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4"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388"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Excluded items:</w:t>
            </w:r>
          </w:p>
        </w:tc>
        <w:tc>
          <w:tcPr>
            <w:tcW w:w="1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vAlign w:val="center"/>
          </w:tcPr>
          <w:p>
            <w:pPr>
              <w:pStyle w:val="TableContents"/>
              <w:bidi w:val="0"/>
              <w:spacing w:before="0" w:after="283"/>
              <w:jc w:val="left"/>
              <w:rPr>
                <w:sz w:val="4"/>
                <w:szCs w:val="4"/>
              </w:rPr>
            </w:pPr>
            <w:r>
              <w:rPr>
                <w:sz w:val="4"/>
                <w:szCs w:val="4"/>
              </w:rPr>
            </w:r>
          </w:p>
        </w:tc>
        <w:tc>
          <w:tcPr>
            <w:tcW w:w="1908"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2027" w:type="dxa"/>
            <w:gridSpan w:val="3"/>
            <w:tcBorders/>
            <w:vAlign w:val="center"/>
          </w:tcPr>
          <w:p>
            <w:pPr>
              <w:pStyle w:val="TableContents"/>
              <w:bidi w:val="0"/>
              <w:spacing w:before="0" w:after="283"/>
              <w:jc w:val="left"/>
              <w:rPr>
                <w:sz w:val="4"/>
                <w:szCs w:val="4"/>
              </w:rPr>
            </w:pPr>
            <w:r>
              <w:rPr>
                <w:sz w:val="4"/>
                <w:szCs w:val="4"/>
              </w:rPr>
            </w:r>
          </w:p>
        </w:tc>
      </w:tr>
      <w:tr>
        <w:trPr/>
        <w:tc>
          <w:tcPr>
            <w:tcW w:w="546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Impact from foreign currency and inflation on monetary positions in Mexico and associated undesignated derivatives</w:t>
            </w:r>
          </w:p>
        </w:tc>
        <w:tc>
          <w:tcPr>
            <w:tcW w:w="16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2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3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gains on commodity derivatives</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losses on interest rate swaps related to PA LNG Phase 1 project</w:t>
            </w:r>
          </w:p>
        </w:tc>
        <w:tc>
          <w:tcPr>
            <w:tcW w:w="16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2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3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items related to assets held for sale</w:t>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(0.08)</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Estimated gain on sale of Ecogas</w:t>
            </w:r>
          </w:p>
        </w:tc>
        <w:tc>
          <w:tcPr>
            <w:tcW w:w="16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c>
          <w:tcPr>
            <w:tcW w:w="2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3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Sempra Adjusted EPS Guidance Range</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w:t>
            </w:r>
          </w:p>
        </w:tc>
        <w:tc>
          <w:tcPr>
            <w:tcW w:w="4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3"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common shares outstanding, diluted (millions)</w:t>
            </w:r>
          </w:p>
        </w:tc>
        <w:tc>
          <w:tcPr>
            <w:tcW w:w="1908"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2"/>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655 </w:t>
            </w:r>
          </w:p>
        </w:tc>
        <w:tc>
          <w:tcPr>
            <w:tcW w:w="388"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288" w:type="dxa"/>
        <w:jc w:val="left"/>
        <w:tblInd w:w="0" w:type="dxa"/>
        <w:tblLayout w:type="fixed"/>
        <w:tblCellMar>
          <w:top w:w="28" w:type="dxa"/>
          <w:left w:w="28" w:type="dxa"/>
          <w:bottom w:w="28" w:type="dxa"/>
          <w:right w:w="28" w:type="dxa"/>
        </w:tblCellMar>
      </w:tblPr>
      <w:tblGrid>
        <w:gridCol w:w="1546"/>
        <w:gridCol w:w="1361"/>
        <w:gridCol w:w="1367"/>
        <w:gridCol w:w="318"/>
        <w:gridCol w:w="1245"/>
        <w:gridCol w:w="164"/>
        <w:gridCol w:w="164"/>
        <w:gridCol w:w="164"/>
        <w:gridCol w:w="164"/>
        <w:gridCol w:w="318"/>
        <w:gridCol w:w="1245"/>
        <w:gridCol w:w="232"/>
      </w:tblGrid>
      <w:tr>
        <w:trPr/>
        <w:tc>
          <w:tcPr>
            <w:tcW w:w="15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82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SEMPRA</w:t>
            </w:r>
          </w:p>
        </w:tc>
      </w:tr>
      <w:tr>
        <w:trPr/>
        <w:tc>
          <w:tcPr>
            <w:tcW w:w="82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B</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88"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CONDENSED CONSOLIDATED BALANCE SHEETS</w:t>
            </w:r>
          </w:p>
        </w:tc>
      </w:tr>
      <w:tr>
        <w:trPr/>
        <w:tc>
          <w:tcPr>
            <w:tcW w:w="4274"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7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2025</w:t>
            </w:r>
            <w:r>
              <w:rPr>
                <w:rFonts w:ascii="Arial;sans-serif" w:hAnsi="Arial;sans-serif"/>
                <w:b w:val="false"/>
                <w:color w:val="000000"/>
                <w:sz w:val="10"/>
              </w:rPr>
              <w:t>(1)</w:t>
            </w:r>
          </w:p>
        </w:tc>
      </w:tr>
      <w:tr>
        <w:trPr/>
        <w:tc>
          <w:tcPr>
            <w:tcW w:w="4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7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unconsolidated affiliates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32,939 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31,024 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563"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36,290 </w:t>
            </w:r>
          </w:p>
        </w:tc>
        <w:tc>
          <w:tcPr>
            <w:tcW w:w="164"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34,837 </w:t>
            </w:r>
          </w:p>
        </w:tc>
        <w:tc>
          <w:tcPr>
            <w:tcW w:w="232"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7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1,498 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Dedicated assets in support of certain benefit plans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617 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 operating leases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Oncor Holdings</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17,472 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795"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Wildfire fund</w:t>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2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5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29,255 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27,030 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563"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49,736 </w:t>
            </w:r>
          </w:p>
        </w:tc>
        <w:tc>
          <w:tcPr>
            <w:tcW w:w="164"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49,011 </w:t>
            </w:r>
          </w:p>
        </w:tc>
        <w:tc>
          <w:tcPr>
            <w:tcW w:w="232"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1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115,281 </w:t>
            </w:r>
          </w:p>
        </w:tc>
        <w:tc>
          <w:tcPr>
            <w:tcW w:w="16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4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110,878 </w:t>
            </w:r>
          </w:p>
        </w:tc>
        <w:tc>
          <w:tcPr>
            <w:tcW w:w="23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Derived from audited financial statements.</w:t>
      </w:r>
    </w:p>
    <w:p>
      <w:pPr>
        <w:pStyle w:val="TextBody"/>
        <w:bidi w:val="0"/>
        <w:spacing w:before="40" w:after="283"/>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43"/>
        <w:gridCol w:w="2060"/>
        <w:gridCol w:w="2077"/>
        <w:gridCol w:w="294"/>
        <w:gridCol w:w="1154"/>
        <w:gridCol w:w="152"/>
        <w:gridCol w:w="152"/>
        <w:gridCol w:w="152"/>
        <w:gridCol w:w="152"/>
        <w:gridCol w:w="294"/>
        <w:gridCol w:w="1154"/>
        <w:gridCol w:w="221"/>
      </w:tblGrid>
      <w:tr>
        <w:trPr/>
        <w:tc>
          <w:tcPr>
            <w:tcW w:w="2343"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SEMPRA</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B (Continued)</w:t>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CONDENSED CONSOLIDATED BALANCE SHEETS</w:t>
            </w:r>
          </w:p>
        </w:tc>
      </w:tr>
      <w:tr>
        <w:trPr/>
        <w:tc>
          <w:tcPr>
            <w:tcW w:w="6480"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60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30,</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6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2025</w:t>
            </w:r>
            <w:r>
              <w:rPr>
                <w:rFonts w:ascii="Arial;sans-serif" w:hAnsi="Arial;sans-serif"/>
                <w:b w:val="false"/>
                <w:color w:val="000000"/>
                <w:sz w:val="10"/>
              </w:rPr>
              <w:t>(1)</w:t>
            </w:r>
          </w:p>
        </w:tc>
      </w:tr>
      <w:tr>
        <w:trPr/>
        <w:tc>
          <w:tcPr>
            <w:tcW w:w="648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CONTINGENTLY REDEEMABLE NONCONTROLLING INTEREST, AND EQUITY</w:t>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60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trade</w:t>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22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other</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to unconsolidated affiliates</w:t>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2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interest payable</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benefits</w:t>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22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liabilities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and finance leases</w:t>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2,075 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1,876 </w:t>
            </w:r>
          </w:p>
        </w:tc>
        <w:tc>
          <w:tcPr>
            <w:tcW w:w="22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held for sale</w:t>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12,992 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11,704 </w:t>
            </w:r>
          </w:p>
        </w:tc>
        <w:tc>
          <w:tcPr>
            <w:tcW w:w="22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448"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22,105 </w:t>
            </w:r>
          </w:p>
        </w:tc>
        <w:tc>
          <w:tcPr>
            <w:tcW w:w="152"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21,894 </w:t>
            </w:r>
          </w:p>
        </w:tc>
        <w:tc>
          <w:tcPr>
            <w:tcW w:w="221"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and finance leases</w:t>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31,023 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28,979 </w:t>
            </w:r>
          </w:p>
        </w:tc>
        <w:tc>
          <w:tcPr>
            <w:tcW w:w="22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 liabilities:</w:t>
            </w:r>
          </w:p>
        </w:tc>
        <w:tc>
          <w:tcPr>
            <w:tcW w:w="160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Regulatory liabilities </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22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 plan obligations, net of plan assets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6,505 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6,127 </w:t>
            </w:r>
          </w:p>
        </w:tc>
        <w:tc>
          <w:tcPr>
            <w:tcW w:w="22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w:t>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2,805 </w:t>
            </w:r>
          </w:p>
        </w:tc>
        <w:tc>
          <w:tcPr>
            <w:tcW w:w="22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credits and other liabilities</w:t>
            </w:r>
          </w:p>
        </w:tc>
        <w:tc>
          <w:tcPr>
            <w:tcW w:w="14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18,847 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18,006 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Contingently redeemable noncontrolling interest</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1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shareholders’ equity</w:t>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32,685 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31,594 </w:t>
            </w:r>
          </w:p>
        </w:tc>
        <w:tc>
          <w:tcPr>
            <w:tcW w:w="22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of subsidiary</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noncontrolling interests</w:t>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7,293 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7,179 </w:t>
            </w:r>
          </w:p>
        </w:tc>
        <w:tc>
          <w:tcPr>
            <w:tcW w:w="22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14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39,998 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38,793 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contingently redeemable noncontrolling interest, and equity</w:t>
            </w:r>
          </w:p>
        </w:tc>
        <w:tc>
          <w:tcPr>
            <w:tcW w:w="294"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115,281 </w:t>
            </w:r>
          </w:p>
        </w:tc>
        <w:tc>
          <w:tcPr>
            <w:tcW w:w="152"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110,878 </w:t>
            </w:r>
          </w:p>
        </w:tc>
        <w:tc>
          <w:tcPr>
            <w:tcW w:w="221"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Derived from 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50"/>
        <w:gridCol w:w="1827"/>
        <w:gridCol w:w="1785"/>
        <w:gridCol w:w="417"/>
        <w:gridCol w:w="1220"/>
        <w:gridCol w:w="215"/>
        <w:gridCol w:w="215"/>
        <w:gridCol w:w="215"/>
        <w:gridCol w:w="215"/>
        <w:gridCol w:w="417"/>
        <w:gridCol w:w="1220"/>
        <w:gridCol w:w="309"/>
      </w:tblGrid>
      <w:tr>
        <w:trPr/>
        <w:tc>
          <w:tcPr>
            <w:tcW w:w="2150"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SEMPRA</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C</w:t>
            </w:r>
          </w:p>
        </w:tc>
      </w:tr>
      <w:tr>
        <w:trPr/>
        <w:tc>
          <w:tcPr>
            <w:tcW w:w="5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CONDENSED CONSOLIDATED STATEMENTS OF CASH FLOWS</w:t>
            </w:r>
          </w:p>
        </w:tc>
      </w:tr>
      <w:tr>
        <w:trPr/>
        <w:tc>
          <w:tcPr>
            <w:tcW w:w="5762"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85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5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64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76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9"/>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41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2,092 </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797 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working capital components</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268 </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investments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noncurrent assets and liabilities, net</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1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2,266 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plant and equipment</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(4,687)</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(4,640)</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Expenditures for investments </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nuclear decommissioning and other trust assets</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nuclear decommissioning and other trust assets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Advances to unconsolidated affiliates</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163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(6,164)</w:t>
            </w:r>
          </w:p>
        </w:tc>
        <w:tc>
          <w:tcPr>
            <w:tcW w:w="215"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(5,563)</w:t>
            </w:r>
          </w:p>
        </w:tc>
        <w:tc>
          <w:tcPr>
            <w:tcW w:w="30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8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dividends paid</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paid</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common stock, net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debt (maturities greater than 90 days)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Payments on debt (maturities greater than 90 days) and finance leases </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(4,544)</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short-term debt, net</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Advances from unconsolidated affiliates </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5762"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Termination of interest rate swaps, net of transaction costs</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financing activities</w:t>
            </w:r>
          </w:p>
        </w:tc>
        <w:tc>
          <w:tcPr>
            <w:tcW w:w="1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2,194 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1,891 </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cash, cash equivalents and restricted cash</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(1,405)</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January 1</w:t>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3,552 </w:t>
            </w:r>
          </w:p>
        </w:tc>
        <w:tc>
          <w:tcPr>
            <w:tcW w:w="21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3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2"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June 30</w:t>
            </w:r>
          </w:p>
        </w:tc>
        <w:tc>
          <w:tcPr>
            <w:tcW w:w="41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2,700 </w:t>
            </w:r>
          </w:p>
        </w:tc>
        <w:tc>
          <w:tcPr>
            <w:tcW w:w="215"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184 </w:t>
            </w:r>
          </w:p>
        </w:tc>
        <w:tc>
          <w:tcPr>
            <w:tcW w:w="3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87"/>
        <w:gridCol w:w="1569"/>
        <w:gridCol w:w="1579"/>
        <w:gridCol w:w="229"/>
        <w:gridCol w:w="668"/>
        <w:gridCol w:w="117"/>
        <w:gridCol w:w="117"/>
        <w:gridCol w:w="117"/>
        <w:gridCol w:w="117"/>
        <w:gridCol w:w="229"/>
        <w:gridCol w:w="668"/>
        <w:gridCol w:w="117"/>
        <w:gridCol w:w="117"/>
        <w:gridCol w:w="117"/>
        <w:gridCol w:w="117"/>
        <w:gridCol w:w="229"/>
        <w:gridCol w:w="668"/>
        <w:gridCol w:w="117"/>
        <w:gridCol w:w="117"/>
        <w:gridCol w:w="117"/>
        <w:gridCol w:w="117"/>
        <w:gridCol w:w="229"/>
        <w:gridCol w:w="668"/>
        <w:gridCol w:w="178"/>
      </w:tblGrid>
      <w:tr>
        <w:trPr/>
        <w:tc>
          <w:tcPr>
            <w:tcW w:w="1887"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SEMPRA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D</w:t>
            </w:r>
          </w:p>
        </w:tc>
      </w:tr>
      <w:tr>
        <w:trPr/>
        <w:tc>
          <w:tcPr>
            <w:tcW w:w="5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SEGMENT EARNINGS (LOSSES) AND CAPITAL EXPENDITURES</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5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June 30,</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Six months ended June 30,</w:t>
            </w:r>
          </w:p>
        </w:tc>
      </w:tr>
      <w:tr>
        <w:trPr/>
        <w:tc>
          <w:tcPr>
            <w:tcW w:w="5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5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5035" w:type="dxa"/>
            <w:gridSpan w:val="3"/>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(LOSSES) ATTRIBUTABLE TO COMMON SHARES</w:t>
            </w:r>
          </w:p>
        </w:tc>
        <w:tc>
          <w:tcPr>
            <w:tcW w:w="10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1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89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 attributable to common shares</w:t>
            </w:r>
          </w:p>
        </w:tc>
        <w:tc>
          <w:tcPr>
            <w:tcW w:w="89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78"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Sempra earnings attributable to common shares </w:t>
            </w:r>
          </w:p>
        </w:tc>
        <w:tc>
          <w:tcPr>
            <w:tcW w:w="22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1,367 </w:t>
            </w:r>
          </w:p>
        </w:tc>
        <w:tc>
          <w:tcPr>
            <w:tcW w:w="178"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PROPERTY, PLANT AND EQUIPMENT</w:t>
            </w:r>
          </w:p>
        </w:tc>
        <w:tc>
          <w:tcPr>
            <w:tcW w:w="10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22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1,901 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2,315 </w:t>
            </w:r>
          </w:p>
        </w:tc>
        <w:tc>
          <w:tcPr>
            <w:tcW w:w="1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89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2,302 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4,685 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4,637 </w:t>
            </w:r>
          </w:p>
        </w:tc>
        <w:tc>
          <w:tcPr>
            <w:tcW w:w="178"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22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2,226 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2,304 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4,687 </w:t>
            </w:r>
          </w:p>
        </w:tc>
        <w:tc>
          <w:tcPr>
            <w:tcW w:w="117"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4,640 </w:t>
            </w:r>
          </w:p>
        </w:tc>
        <w:tc>
          <w:tcPr>
            <w:tcW w:w="178"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top w:val="single" w:sz="16"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INVESTMENTS</w:t>
            </w:r>
          </w:p>
        </w:tc>
        <w:tc>
          <w:tcPr>
            <w:tcW w:w="10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22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971 </w:t>
            </w:r>
          </w:p>
        </w:tc>
        <w:tc>
          <w:tcPr>
            <w:tcW w:w="1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229"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17"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17"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1,485 </w:t>
            </w:r>
          </w:p>
        </w:tc>
        <w:tc>
          <w:tcPr>
            <w:tcW w:w="117"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8"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972 </w:t>
            </w:r>
          </w:p>
        </w:tc>
        <w:tc>
          <w:tcPr>
            <w:tcW w:w="178"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360"/>
        <w:jc w:val="left"/>
        <w:rPr/>
      </w:pPr>
      <w:r>
        <w:rPr/>
      </w:r>
    </w:p>
    <w:p>
      <w:pPr>
        <w:pStyle w:val="TextBody"/>
        <w:bidi w:val="0"/>
        <w:spacing w:before="40" w:after="283"/>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66"/>
        <w:gridCol w:w="1380"/>
        <w:gridCol w:w="1388"/>
        <w:gridCol w:w="548"/>
        <w:gridCol w:w="277"/>
        <w:gridCol w:w="590"/>
        <w:gridCol w:w="499"/>
        <w:gridCol w:w="277"/>
        <w:gridCol w:w="590"/>
        <w:gridCol w:w="678"/>
        <w:gridCol w:w="254"/>
        <w:gridCol w:w="590"/>
        <w:gridCol w:w="499"/>
        <w:gridCol w:w="277"/>
        <w:gridCol w:w="692"/>
      </w:tblGrid>
      <w:tr>
        <w:trPr/>
        <w:tc>
          <w:tcPr>
            <w:tcW w:w="166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SEMPRA</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D (Continued)</w:t>
            </w:r>
          </w:p>
        </w:tc>
      </w:tr>
      <w:tr>
        <w:trPr/>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RECONCILIATION OF SEMPRA'S CAPITAL PLAN TO PROJECTED FUTURE CAPITAL EXPENDITURES</w:t>
            </w:r>
          </w:p>
        </w:tc>
      </w:tr>
      <w:tr>
        <w:trPr/>
        <w:tc>
          <w:tcPr>
            <w:tcW w:w="10205" w:type="dxa"/>
            <w:gridSpan w:val="15"/>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billions)</w:t>
            </w:r>
          </w:p>
        </w:tc>
      </w:tr>
      <w:tr>
        <w:trPr/>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Sempra</w:t>
              <w:br/>
              <w:t>California</w:t>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Sempra </w:t>
              <w:br/>
              <w:t>Texas Utilities</w:t>
            </w:r>
          </w:p>
        </w:tc>
        <w:tc>
          <w:tcPr>
            <w:tcW w:w="15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Sempra</w:t>
              <w:br/>
              <w:t>Infrastructure</w:t>
            </w:r>
          </w:p>
        </w:tc>
        <w:tc>
          <w:tcPr>
            <w:tcW w:w="14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Sempra</w:t>
            </w:r>
          </w:p>
        </w:tc>
      </w:tr>
      <w:tr>
        <w:trPr/>
        <w:tc>
          <w:tcPr>
            <w:tcW w:w="4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12"/>
            <w:tcBorders>
              <w:top w:val="single" w:sz="8" w:space="0" w:color="000000"/>
            </w:tcBorders>
            <w:tcMar>
              <w:top w:w="52" w:type="dxa"/>
              <w:left w:w="0" w:type="dxa"/>
              <w:bottom w:w="0" w:type="dxa"/>
              <w:right w:w="0" w:type="dxa"/>
            </w:tcMar>
            <w:vAlign w:val="center"/>
          </w:tcPr>
          <w:p>
            <w:pPr>
              <w:pStyle w:val="TableContents"/>
              <w:bidi w:val="0"/>
              <w:spacing w:lineRule="auto" w:line="240" w:before="0" w:after="0"/>
              <w:ind w:left="0" w:right="0" w:hanging="180"/>
              <w:jc w:val="center"/>
              <w:rPr/>
            </w:pPr>
            <w:r>
              <w:rPr>
                <w:rFonts w:ascii="Arial;sans-serif" w:hAnsi="Arial;sans-serif"/>
                <w:b w:val="false"/>
                <w:color w:val="000000"/>
                <w:sz w:val="16"/>
              </w:rPr>
              <w:t>Capital Plan for 2026 – 2030</w:t>
            </w:r>
            <w:r>
              <w:rPr>
                <w:rFonts w:ascii="Arial;sans-serif" w:hAnsi="Arial;sans-serif"/>
                <w:b w:val="false"/>
                <w:color w:val="000000"/>
                <w:sz w:val="10"/>
              </w:rPr>
              <w:t>(1)</w:t>
            </w:r>
          </w:p>
        </w:tc>
      </w:tr>
      <w:tr>
        <w:trPr/>
        <w:tc>
          <w:tcPr>
            <w:tcW w:w="4434" w:type="dxa"/>
            <w:gridSpan w:val="3"/>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Projected future capital expenditures for PP&amp;E and investments – GAAP</w:t>
            </w:r>
          </w:p>
        </w:tc>
        <w:tc>
          <w:tcPr>
            <w:tcW w:w="54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w:t>
            </w:r>
          </w:p>
        </w:tc>
        <w:tc>
          <w:tcPr>
            <w:tcW w:w="49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67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49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9"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 expenditures to unconsolidated entities</w:t>
            </w:r>
            <w:r>
              <w:rPr>
                <w:rFonts w:ascii="Arial;sans-serif" w:hAnsi="Arial;sans-serif"/>
                <w:b w:val="false"/>
                <w:color w:val="000000"/>
                <w:sz w:val="12"/>
              </w:rPr>
              <w:t>(2)</w:t>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r>
      <w:tr>
        <w:trPr/>
        <w:tc>
          <w:tcPr>
            <w:tcW w:w="443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 expenditures at unconsolidated entities</w:t>
            </w:r>
            <w:r>
              <w:rPr>
                <w:rFonts w:ascii="Arial;sans-serif" w:hAnsi="Arial;sans-serif"/>
                <w:b w:val="false"/>
                <w:color w:val="000000"/>
                <w:sz w:val="12"/>
              </w:rPr>
              <w:t>(3)</w:t>
            </w:r>
          </w:p>
        </w:tc>
        <w:tc>
          <w:tcPr>
            <w:tcW w:w="141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6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15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4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w:t>
            </w:r>
          </w:p>
        </w:tc>
      </w:tr>
      <w:tr>
        <w:trPr/>
        <w:tc>
          <w:tcPr>
            <w:tcW w:w="4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 expenditures attributable to NCI owners</w:t>
            </w:r>
            <w:r>
              <w:rPr>
                <w:rFonts w:ascii="Arial;sans-serif" w:hAnsi="Arial;sans-serif"/>
                <w:b w:val="false"/>
                <w:color w:val="000000"/>
                <w:sz w:val="12"/>
              </w:rPr>
              <w:t>(4)</w:t>
            </w:r>
          </w:p>
        </w:tc>
        <w:tc>
          <w:tcPr>
            <w:tcW w:w="1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5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r>
      <w:tr>
        <w:trPr/>
        <w:tc>
          <w:tcPr>
            <w:tcW w:w="44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Plan</w:t>
            </w:r>
          </w:p>
        </w:tc>
        <w:tc>
          <w:tcPr>
            <w:tcW w:w="54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w:t>
            </w:r>
          </w:p>
        </w:tc>
        <w:tc>
          <w:tcPr>
            <w:tcW w:w="49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678"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49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9" w:type="dxa"/>
            <w:gridSpan w:val="2"/>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w:t>
            </w:r>
          </w:p>
        </w:tc>
      </w:tr>
      <w:tr>
        <w:trPr/>
        <w:tc>
          <w:tcPr>
            <w:tcW w:w="443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projected future capital expenditures for PP&amp;E and investments – GAAP</w:t>
            </w:r>
          </w:p>
        </w:tc>
        <w:tc>
          <w:tcPr>
            <w:tcW w:w="82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59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59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59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69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34"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Percentage of Capital Plan</w:t>
            </w:r>
          </w:p>
        </w:tc>
        <w:tc>
          <w:tcPr>
            <w:tcW w:w="825" w:type="dxa"/>
            <w:gridSpan w:val="2"/>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590"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76" w:type="dxa"/>
            <w:gridSpan w:val="2"/>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590"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932" w:type="dxa"/>
            <w:gridSpan w:val="2"/>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590"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776" w:type="dxa"/>
            <w:gridSpan w:val="2"/>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692"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356" w:type="dxa"/>
            <w:gridSpan w:val="9"/>
            <w:tcBorders/>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4356" w:type="dxa"/>
            <w:gridSpan w:val="9"/>
            <w:tcBorders/>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vAlign w:val="center"/>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tcPr>
          <w:p>
            <w:pPr>
              <w:pStyle w:val="TableContents"/>
              <w:bidi w:val="0"/>
              <w:spacing w:before="0" w:after="283"/>
              <w:jc w:val="left"/>
              <w:rPr>
                <w:sz w:val="4"/>
                <w:szCs w:val="4"/>
              </w:rPr>
            </w:pPr>
            <w:r>
              <w:rPr>
                <w:sz w:val="4"/>
                <w:szCs w:val="4"/>
              </w:rPr>
            </w:r>
          </w:p>
        </w:tc>
      </w:tr>
      <w:tr>
        <w:trPr/>
        <w:tc>
          <w:tcPr>
            <w:tcW w:w="4434"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c>
          <w:tcPr>
            <w:tcW w:w="1468"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0"/>
        </w:rPr>
        <w:t>(1)</w:t>
      </w:r>
      <w:r>
        <w:rPr>
          <w:color w:val="000000"/>
        </w:rPr>
        <w:t>    </w:t>
      </w:r>
      <w:r>
        <w:rPr>
          <w:rFonts w:ascii="Arial;sans-serif" w:hAnsi="Arial;sans-serif"/>
          <w:b w:val="false"/>
          <w:i/>
          <w:color w:val="000000"/>
          <w:sz w:val="16"/>
        </w:rPr>
        <w:t>All projects in progress and future projects are subject to a number of risks and uncertainties. Sempra's Capital Plan and expectations regarding potential increases to its capital requirements are based on a number of assumptions, the failure of which to be accurate could materially impact Sempra's actual Capital Plan. Sempra's Capital Plan assumes Sempra's 70% consolidated ownership of SI Partners for the first three months of 2026 and 25% ownership thereafter, which represents Sempra's remaining interest under the equity method upon completion of the sale of a 45% equity interest in SI Partners. Sempra’s Capital Plan is considered by management to be an operating measure.</w:t>
      </w:r>
    </w:p>
    <w:p>
      <w:pPr>
        <w:pStyle w:val="TextBody"/>
        <w:bidi w:val="0"/>
        <w:spacing w:lineRule="auto" w:line="288" w:before="40" w:after="283"/>
        <w:ind w:left="0" w:right="0" w:hanging="360"/>
        <w:jc w:val="left"/>
        <w:rPr/>
      </w:pPr>
      <w:r>
        <w:rPr>
          <w:rFonts w:ascii="Arial;sans-serif" w:hAnsi="Arial;sans-serif"/>
          <w:b w:val="false"/>
          <w:i/>
          <w:color w:val="000000"/>
          <w:sz w:val="10"/>
        </w:rPr>
        <w:t>(2)    </w:t>
      </w:r>
      <w:r>
        <w:rPr>
          <w:rFonts w:ascii="Arial;sans-serif" w:hAnsi="Arial;sans-serif"/>
          <w:b w:val="false"/>
          <w:i/>
          <w:color w:val="000000"/>
          <w:sz w:val="16"/>
        </w:rPr>
        <w:t>Represents Sempra's projected future capital contributions to unconsolidated equity method investees.</w:t>
      </w:r>
    </w:p>
    <w:p>
      <w:pPr>
        <w:pStyle w:val="TextBody"/>
        <w:bidi w:val="0"/>
        <w:spacing w:lineRule="auto" w:line="288" w:before="40" w:after="283"/>
        <w:ind w:left="0" w:right="0" w:hanging="360"/>
        <w:jc w:val="left"/>
        <w:rPr/>
      </w:pPr>
      <w:r>
        <w:rPr>
          <w:rFonts w:ascii="Arial;sans-serif" w:hAnsi="Arial;sans-serif"/>
          <w:b w:val="false"/>
          <w:i/>
          <w:color w:val="000000"/>
          <w:sz w:val="10"/>
        </w:rPr>
        <w:t>(3)    </w:t>
      </w:r>
      <w:r>
        <w:rPr>
          <w:rFonts w:ascii="Arial;sans-serif" w:hAnsi="Arial;sans-serif"/>
          <w:b w:val="false"/>
          <w:i/>
          <w:color w:val="000000"/>
          <w:sz w:val="16"/>
        </w:rPr>
        <w:t>Represents Sempra's proportionate ownership interest in projected capital expenditures at unconsolidated equity method investees.</w:t>
      </w:r>
    </w:p>
    <w:p>
      <w:pPr>
        <w:pStyle w:val="TextBody"/>
        <w:bidi w:val="0"/>
        <w:spacing w:lineRule="auto" w:line="288" w:before="40" w:after="283"/>
        <w:ind w:left="0" w:right="0" w:hanging="360"/>
        <w:jc w:val="left"/>
        <w:rPr/>
      </w:pPr>
      <w:r>
        <w:rPr>
          <w:rFonts w:ascii="Arial;sans-serif" w:hAnsi="Arial;sans-serif"/>
          <w:b w:val="false"/>
          <w:i/>
          <w:color w:val="000000"/>
          <w:sz w:val="10"/>
        </w:rPr>
        <w:t>(4)    </w:t>
      </w:r>
      <w:r>
        <w:rPr>
          <w:rFonts w:ascii="Arial;sans-serif" w:hAnsi="Arial;sans-serif"/>
          <w:b w:val="false"/>
          <w:i/>
          <w:color w:val="000000"/>
          <w:sz w:val="16"/>
        </w:rPr>
        <w:t>Represents NCI's proportionate ownership interest in projected capital expenditures at Sempra and at unconsolidated equity method investees.</w:t>
      </w:r>
    </w:p>
    <w:p>
      <w:pPr>
        <w:pStyle w:val="TextBody"/>
        <w:bidi w:val="0"/>
        <w:spacing w:before="40" w:after="283"/>
        <w:ind w:left="0" w:right="0" w:hanging="360"/>
        <w:jc w:val="left"/>
        <w:rPr/>
      </w:pPr>
      <w:r>
        <w:rPr/>
      </w:r>
    </w:p>
    <w:tbl>
      <w:tblPr>
        <w:tblW w:w="6942" w:type="dxa"/>
        <w:jc w:val="left"/>
        <w:tblInd w:w="0" w:type="dxa"/>
        <w:tblLayout w:type="fixed"/>
        <w:tblCellMar>
          <w:top w:w="28" w:type="dxa"/>
          <w:left w:w="28" w:type="dxa"/>
          <w:bottom w:w="28" w:type="dxa"/>
          <w:right w:w="28" w:type="dxa"/>
        </w:tblCellMar>
      </w:tblPr>
      <w:tblGrid>
        <w:gridCol w:w="1691"/>
        <w:gridCol w:w="1483"/>
        <w:gridCol w:w="1491"/>
        <w:gridCol w:w="220"/>
        <w:gridCol w:w="220"/>
        <w:gridCol w:w="220"/>
        <w:gridCol w:w="426"/>
        <w:gridCol w:w="220"/>
        <w:gridCol w:w="220"/>
        <w:gridCol w:w="220"/>
        <w:gridCol w:w="220"/>
        <w:gridCol w:w="311"/>
      </w:tblGrid>
      <w:tr>
        <w:trPr/>
        <w:tc>
          <w:tcPr>
            <w:tcW w:w="169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942"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SEMPRA'S CAPITAL DEPLOYED</w:t>
            </w:r>
          </w:p>
        </w:tc>
      </w:tr>
      <w:tr>
        <w:trPr/>
        <w:tc>
          <w:tcPr>
            <w:tcW w:w="6942"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billions)</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 Sempra</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ind w:left="0" w:right="0" w:hanging="180"/>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 2026</w:t>
            </w:r>
          </w:p>
        </w:tc>
      </w:tr>
      <w:tr>
        <w:trPr/>
        <w:tc>
          <w:tcPr>
            <w:tcW w:w="4665" w:type="dxa"/>
            <w:gridSpan w:val="3"/>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PP&amp;E and investments – GAAP</w:t>
            </w:r>
          </w:p>
        </w:tc>
        <w:tc>
          <w:tcPr>
            <w:tcW w:w="66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1" w:type="dxa"/>
            <w:gridSpan w:val="5"/>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 expenditures to unconsolidated entities</w:t>
            </w:r>
            <w:r>
              <w:rPr>
                <w:rFonts w:ascii="Arial;sans-serif" w:hAnsi="Arial;sans-serif"/>
                <w:b w:val="false"/>
                <w:color w:val="000000"/>
                <w:sz w:val="12"/>
              </w:rPr>
              <w:t>(1)</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r>
      <w:tr>
        <w:trPr/>
        <w:tc>
          <w:tcPr>
            <w:tcW w:w="466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 expenditures at unconsolidated entities</w:t>
            </w:r>
            <w:r>
              <w:rPr>
                <w:rFonts w:ascii="Arial;sans-serif" w:hAnsi="Arial;sans-serif"/>
                <w:b w:val="false"/>
                <w:color w:val="000000"/>
                <w:sz w:val="12"/>
              </w:rPr>
              <w:t>(2)</w:t>
            </w:r>
          </w:p>
        </w:tc>
        <w:tc>
          <w:tcPr>
            <w:tcW w:w="66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 expenditures attributable to NCI owners</w:t>
            </w:r>
            <w:r>
              <w:rPr>
                <w:rFonts w:ascii="Arial;sans-serif" w:hAnsi="Arial;sans-serif"/>
                <w:b w:val="false"/>
                <w:color w:val="000000"/>
                <w:sz w:val="12"/>
              </w:rPr>
              <w:t>(3)</w:t>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r>
      <w:tr>
        <w:trPr/>
        <w:tc>
          <w:tcPr>
            <w:tcW w:w="466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deployed</w:t>
            </w:r>
          </w:p>
        </w:tc>
        <w:tc>
          <w:tcPr>
            <w:tcW w:w="660"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1" w:type="dxa"/>
            <w:gridSpan w:val="5"/>
            <w:tcBorders>
              <w:top w:val="single" w:sz="8" w:space="0" w:color="000000"/>
              <w:bottom w:val="single" w:sz="16" w:space="0" w:color="000000"/>
            </w:tcBorders>
            <w:shd w:fill="D4F1F5"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r>
    </w:tbl>
    <w:p>
      <w:pPr>
        <w:pStyle w:val="TextBody"/>
        <w:bidi w:val="0"/>
        <w:spacing w:lineRule="auto" w:line="288" w:before="40" w:after="283"/>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Represents Sempra's actual capital contributions to unconsolidated equity method investees.</w:t>
      </w:r>
    </w:p>
    <w:p>
      <w:pPr>
        <w:pStyle w:val="TextBody"/>
        <w:bidi w:val="0"/>
        <w:spacing w:lineRule="auto" w:line="288" w:before="40" w:after="283"/>
        <w:ind w:left="0" w:right="0" w:hanging="360"/>
        <w:jc w:val="left"/>
        <w:rPr/>
      </w:pPr>
      <w:r>
        <w:rPr>
          <w:rFonts w:ascii="Arial;sans-serif" w:hAnsi="Arial;sans-serif"/>
          <w:b w:val="false"/>
          <w:i/>
          <w:color w:val="000000"/>
          <w:sz w:val="10"/>
        </w:rPr>
        <w:t>(2)    </w:t>
      </w:r>
      <w:r>
        <w:rPr>
          <w:rFonts w:ascii="Arial;sans-serif" w:hAnsi="Arial;sans-serif"/>
          <w:b w:val="false"/>
          <w:i/>
          <w:color w:val="000000"/>
          <w:sz w:val="16"/>
        </w:rPr>
        <w:t>Represents Sempra's proportionate ownership interest in actual capital expenditures at unconsolidated equity method investees.</w:t>
      </w:r>
    </w:p>
    <w:p>
      <w:pPr>
        <w:pStyle w:val="TextBody"/>
        <w:bidi w:val="0"/>
        <w:spacing w:lineRule="auto" w:line="288" w:before="40" w:after="283"/>
        <w:ind w:left="0" w:right="0" w:hanging="360"/>
        <w:jc w:val="left"/>
        <w:rPr/>
      </w:pPr>
      <w:r>
        <w:rPr>
          <w:rFonts w:ascii="Arial;sans-serif" w:hAnsi="Arial;sans-serif"/>
          <w:b w:val="false"/>
          <w:i/>
          <w:color w:val="000000"/>
          <w:sz w:val="10"/>
        </w:rPr>
        <w:t>(3)    </w:t>
      </w:r>
      <w:r>
        <w:rPr>
          <w:rFonts w:ascii="Arial;sans-serif" w:hAnsi="Arial;sans-serif"/>
          <w:b w:val="false"/>
          <w:i/>
          <w:color w:val="000000"/>
          <w:sz w:val="16"/>
        </w:rPr>
        <w:t>Represents NCI's proportionate ownership interest in actual capital expenditures at Sempra and at unconsolidated equity method investees.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26"/>
        <w:gridCol w:w="849"/>
        <w:gridCol w:w="849"/>
        <w:gridCol w:w="845"/>
        <w:gridCol w:w="828"/>
        <w:gridCol w:w="828"/>
        <w:gridCol w:w="392"/>
        <w:gridCol w:w="329"/>
        <w:gridCol w:w="185"/>
        <w:gridCol w:w="185"/>
        <w:gridCol w:w="185"/>
        <w:gridCol w:w="185"/>
        <w:gridCol w:w="392"/>
        <w:gridCol w:w="329"/>
        <w:gridCol w:w="185"/>
        <w:gridCol w:w="109"/>
        <w:gridCol w:w="109"/>
        <w:gridCol w:w="109"/>
        <w:gridCol w:w="360"/>
        <w:gridCol w:w="361"/>
        <w:gridCol w:w="157"/>
        <w:gridCol w:w="152"/>
        <w:gridCol w:w="152"/>
        <w:gridCol w:w="152"/>
        <w:gridCol w:w="360"/>
        <w:gridCol w:w="361"/>
        <w:gridCol w:w="231"/>
      </w:tblGrid>
      <w:tr>
        <w:trPr/>
        <w:tc>
          <w:tcPr>
            <w:tcW w:w="10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SEMPRA</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E</w:t>
            </w:r>
          </w:p>
        </w:tc>
      </w:tr>
      <w:tr>
        <w:trPr/>
        <w:tc>
          <w:tcPr>
            <w:tcW w:w="759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15"/>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 xml:space="preserve">OTHER OPERATING STATISTICS </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2" w:type="dxa"/>
            <w:gridSpan w:val="15"/>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Six months ended </w:t>
              <w:br/>
              <w:t>June 30,</w:t>
            </w:r>
          </w:p>
        </w:tc>
      </w:tr>
      <w:tr>
        <w:trPr/>
        <w:tc>
          <w:tcPr>
            <w:tcW w:w="522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55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2026</w:t>
            </w:r>
          </w:p>
        </w:tc>
        <w:tc>
          <w:tcPr>
            <w:tcW w:w="45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272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Sempra California</w:t>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Gas sales (Bcf)</w:t>
            </w:r>
            <w:r>
              <w:rPr>
                <w:rFonts w:ascii="Arial;sans-serif" w:hAnsi="Arial;sans-serif"/>
                <w:b w:val="false"/>
                <w:color w:val="000000"/>
                <w:sz w:val="12"/>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Transportation (Bcf)</w:t>
            </w:r>
            <w:r>
              <w:rPr>
                <w:rFonts w:ascii="Arial;sans-serif" w:hAnsi="Arial;sans-serif"/>
                <w:b w:val="false"/>
                <w:color w:val="000000"/>
                <w:sz w:val="12"/>
              </w:rPr>
              <w:t>(1)</w:t>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2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deliveries (Bcf)</w:t>
            </w:r>
            <w:r>
              <w:rPr>
                <w:rFonts w:ascii="Arial;sans-serif" w:hAnsi="Arial;sans-serif"/>
                <w:b w:val="false"/>
                <w:color w:val="000000"/>
                <w:sz w:val="12"/>
              </w:rPr>
              <w:t>(1)</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gas customer meters (thousands)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Electric sales (millions of kWhs)</w:t>
            </w:r>
            <w:r>
              <w:rPr>
                <w:rFonts w:ascii="Arial;sans-serif" w:hAnsi="Arial;sans-serif"/>
                <w:b w:val="false"/>
                <w:color w:val="000000"/>
                <w:sz w:val="12"/>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Community Choice Aggregation and Direct Access (millions of kWhs)</w:t>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3,259 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3,104 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6,558 </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6,536 </w:t>
            </w:r>
          </w:p>
        </w:tc>
        <w:tc>
          <w:tcPr>
            <w:tcW w:w="2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deliveries (millions of kWhs)</w:t>
            </w:r>
            <w:r>
              <w:rPr>
                <w:rFonts w:ascii="Arial;sans-serif" w:hAnsi="Arial;sans-serif"/>
                <w:b w:val="false"/>
                <w:color w:val="000000"/>
                <w:sz w:val="12"/>
              </w:rPr>
              <w:t>(1)</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3,891 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3,714 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7,861 </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electric customer meters (thousands)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i/>
                <w:color w:val="000000"/>
                <w:sz w:val="18"/>
              </w:rPr>
              <w:t>Oncor Electric Delivery Company LLC (Oncor)</w:t>
            </w:r>
            <w:r>
              <w:rPr>
                <w:rFonts w:ascii="Arial;sans-serif" w:hAnsi="Arial;sans-serif"/>
                <w:b/>
                <w:i/>
                <w:color w:val="000000"/>
                <w:sz w:val="12"/>
              </w:rPr>
              <w:t>(2)</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deliveries (millions of kWhs)</w:t>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44,595 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42,226 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84,784 </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81,232 </w:t>
            </w:r>
          </w:p>
        </w:tc>
        <w:tc>
          <w:tcPr>
            <w:tcW w:w="2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electric customer meters (thousands)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Ecogas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sales (Bcf)</w:t>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3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customer meters (thousands)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Sempra Infrastructure</w:t>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Termoeléctrica de Mexicali (millions of kWhs)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5" w:type="dxa"/>
            <w:gridSpan w:val="6"/>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Wind and solar (millions of kWhs)</w:t>
            </w:r>
            <w:r>
              <w:rPr>
                <w:rFonts w:ascii="Arial;sans-serif" w:hAnsi="Arial;sans-serif"/>
                <w:b w:val="false"/>
                <w:color w:val="000000"/>
                <w:sz w:val="12"/>
              </w:rPr>
              <w:t>(1)</w:t>
            </w:r>
          </w:p>
        </w:tc>
        <w:tc>
          <w:tcPr>
            <w:tcW w:w="721" w:type="dxa"/>
            <w:gridSpan w:val="2"/>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971 </w:t>
            </w:r>
          </w:p>
        </w:tc>
        <w:tc>
          <w:tcPr>
            <w:tcW w:w="185"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842 </w:t>
            </w:r>
          </w:p>
        </w:tc>
        <w:tc>
          <w:tcPr>
            <w:tcW w:w="185"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1,710 </w:t>
            </w:r>
          </w:p>
        </w:tc>
        <w:tc>
          <w:tcPr>
            <w:tcW w:w="157"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1,588 </w:t>
            </w:r>
          </w:p>
        </w:tc>
        <w:tc>
          <w:tcPr>
            <w:tcW w:w="23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Includes intercompany sales.</w:t>
      </w:r>
    </w:p>
    <w:p>
      <w:pPr>
        <w:pStyle w:val="TextBody"/>
        <w:bidi w:val="0"/>
        <w:spacing w:lineRule="auto" w:line="288" w:before="40" w:after="283"/>
        <w:ind w:left="0" w:right="0" w:hanging="360"/>
        <w:jc w:val="left"/>
        <w:rPr/>
      </w:pPr>
      <w:r>
        <w:rPr>
          <w:rFonts w:ascii="Arial;sans-serif" w:hAnsi="Arial;sans-serif"/>
          <w:b w:val="false"/>
          <w:i/>
          <w:color w:val="000000"/>
          <w:sz w:val="10"/>
        </w:rPr>
        <w:t>(2)     </w:t>
      </w:r>
      <w:r>
        <w:rPr>
          <w:rFonts w:ascii="Arial;sans-serif" w:hAnsi="Arial;sans-serif"/>
          <w:b w:val="false"/>
          <w:i/>
          <w:color w:val="000000"/>
          <w:sz w:val="16"/>
        </w:rPr>
        <w:t xml:space="preserve">Includes 100% of the electric deliveries and customer meters of Oncor, in which we hold an 80.25% interest through our investment in Oncor Electric Delivery Holdings Company LLC.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925"/>
        <w:gridCol w:w="743"/>
        <w:gridCol w:w="748"/>
        <w:gridCol w:w="211"/>
        <w:gridCol w:w="616"/>
        <w:gridCol w:w="109"/>
        <w:gridCol w:w="109"/>
        <w:gridCol w:w="109"/>
        <w:gridCol w:w="109"/>
        <w:gridCol w:w="236"/>
        <w:gridCol w:w="523"/>
        <w:gridCol w:w="122"/>
        <w:gridCol w:w="109"/>
        <w:gridCol w:w="109"/>
        <w:gridCol w:w="109"/>
        <w:gridCol w:w="294"/>
        <w:gridCol w:w="649"/>
        <w:gridCol w:w="153"/>
        <w:gridCol w:w="109"/>
        <w:gridCol w:w="109"/>
        <w:gridCol w:w="109"/>
        <w:gridCol w:w="211"/>
        <w:gridCol w:w="616"/>
        <w:gridCol w:w="109"/>
        <w:gridCol w:w="109"/>
        <w:gridCol w:w="109"/>
        <w:gridCol w:w="109"/>
        <w:gridCol w:w="399"/>
        <w:gridCol w:w="712"/>
        <w:gridCol w:w="208"/>
        <w:gridCol w:w="109"/>
        <w:gridCol w:w="109"/>
        <w:gridCol w:w="109"/>
        <w:gridCol w:w="211"/>
        <w:gridCol w:w="616"/>
        <w:gridCol w:w="159"/>
      </w:tblGrid>
      <w:tr>
        <w:trPr/>
        <w:tc>
          <w:tcPr>
            <w:tcW w:w="9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SEMPRA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F</w:t>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STATEMENTS OF OPERATIONS DATA BY SEGMENT</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75" w:after="283"/>
              <w:jc w:val="center"/>
              <w:rPr>
                <w:rFonts w:ascii="Arial;sans-serif" w:hAnsi="Arial;sans-serif"/>
                <w:b w:val="false"/>
                <w:color w:val="000000"/>
                <w:sz w:val="16"/>
              </w:rPr>
            </w:pPr>
            <w:r>
              <w:rPr>
                <w:rFonts w:ascii="Arial;sans-serif" w:hAnsi="Arial;sans-serif"/>
                <w:b w:val="false"/>
                <w:color w:val="000000"/>
                <w:sz w:val="16"/>
              </w:rPr>
              <w:t xml:space="preserve">Sempra </w:t>
            </w:r>
          </w:p>
          <w:p>
            <w:pPr>
              <w:pStyle w:val="TableContents"/>
              <w:bidi w:val="0"/>
              <w:spacing w:lineRule="auto" w:line="240" w:before="0" w:after="30"/>
              <w:jc w:val="center"/>
              <w:rPr>
                <w:rFonts w:ascii="Arial;sans-serif" w:hAnsi="Arial;sans-serif"/>
                <w:b w:val="false"/>
                <w:color w:val="000000"/>
                <w:sz w:val="16"/>
              </w:rPr>
            </w:pPr>
            <w:r>
              <w:rPr>
                <w:rFonts w:ascii="Arial;sans-serif" w:hAnsi="Arial;sans-serif"/>
                <w:b w:val="false"/>
                <w:color w:val="000000"/>
                <w:sz w:val="16"/>
              </w:rPr>
              <w:t>California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75" w:after="283"/>
              <w:jc w:val="center"/>
              <w:rPr>
                <w:rFonts w:ascii="Arial;sans-serif" w:hAnsi="Arial;sans-serif"/>
                <w:b w:val="false"/>
                <w:color w:val="000000"/>
                <w:sz w:val="16"/>
              </w:rPr>
            </w:pPr>
            <w:r>
              <w:rPr>
                <w:rFonts w:ascii="Arial;sans-serif" w:hAnsi="Arial;sans-serif"/>
                <w:b w:val="false"/>
                <w:color w:val="000000"/>
                <w:sz w:val="16"/>
              </w:rPr>
              <w:t>Sempra Texas</w:t>
            </w:r>
          </w:p>
          <w:p>
            <w:pPr>
              <w:pStyle w:val="TableContents"/>
              <w:bidi w:val="0"/>
              <w:spacing w:lineRule="auto" w:line="240" w:before="0" w:after="30"/>
              <w:jc w:val="center"/>
              <w:rPr/>
            </w:pPr>
            <w:r>
              <w:rPr>
                <w:rFonts w:ascii="Arial;sans-serif" w:hAnsi="Arial;sans-serif"/>
                <w:b w:val="false"/>
                <w:color w:val="000000"/>
                <w:sz w:val="16"/>
              </w:rPr>
              <w:t>Utilities</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75" w:after="283"/>
              <w:jc w:val="center"/>
              <w:rPr>
                <w:rFonts w:ascii="Arial;sans-serif" w:hAnsi="Arial;sans-serif"/>
                <w:b w:val="false"/>
                <w:color w:val="000000"/>
                <w:sz w:val="16"/>
              </w:rPr>
            </w:pPr>
            <w:r>
              <w:rPr>
                <w:rFonts w:ascii="Arial;sans-serif" w:hAnsi="Arial;sans-serif"/>
                <w:b w:val="false"/>
                <w:color w:val="000000"/>
                <w:sz w:val="16"/>
              </w:rPr>
              <w:t>Sempra</w:t>
            </w:r>
          </w:p>
          <w:p>
            <w:pPr>
              <w:pStyle w:val="TableContents"/>
              <w:bidi w:val="0"/>
              <w:spacing w:lineRule="auto" w:line="240" w:before="0" w:after="30"/>
              <w:jc w:val="center"/>
              <w:rPr>
                <w:rFonts w:ascii="Arial;sans-serif" w:hAnsi="Arial;sans-serif"/>
                <w:b w:val="false"/>
                <w:color w:val="000000"/>
                <w:sz w:val="16"/>
              </w:rPr>
            </w:pPr>
            <w:r>
              <w:rPr>
                <w:rFonts w:ascii="Arial;sans-serif" w:hAnsi="Arial;sans-serif"/>
                <w:b w:val="false"/>
                <w:color w:val="000000"/>
                <w:sz w:val="16"/>
              </w:rPr>
              <w:t>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75" w:after="283"/>
              <w:jc w:val="center"/>
              <w:rPr>
                <w:rFonts w:ascii="Arial;sans-serif" w:hAnsi="Arial;sans-serif"/>
                <w:b w:val="false"/>
                <w:color w:val="000000"/>
                <w:sz w:val="16"/>
              </w:rPr>
            </w:pPr>
            <w:r>
              <w:rPr>
                <w:rFonts w:ascii="Arial;sans-serif" w:hAnsi="Arial;sans-serif"/>
                <w:b w:val="false"/>
                <w:color w:val="000000"/>
                <w:sz w:val="16"/>
              </w:rPr>
              <w:t xml:space="preserve">Segment </w:t>
            </w:r>
          </w:p>
          <w:p>
            <w:pPr>
              <w:pStyle w:val="TableContents"/>
              <w:bidi w:val="0"/>
              <w:spacing w:lineRule="auto" w:line="240" w:before="0" w:after="30"/>
              <w:jc w:val="center"/>
              <w:rPr>
                <w:rFonts w:ascii="Arial;sans-serif" w:hAnsi="Arial;sans-serif"/>
                <w:b w:val="false"/>
                <w:color w:val="000000"/>
                <w:sz w:val="16"/>
              </w:rPr>
            </w:pPr>
            <w:r>
              <w:rPr>
                <w:rFonts w:ascii="Arial;sans-serif" w:hAnsi="Arial;sans-serif"/>
                <w:b w:val="false"/>
                <w:color w:val="000000"/>
                <w:sz w:val="16"/>
              </w:rPr>
              <w:t>Totals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Consolidating Adjustments,</w:t>
              <w:br/>
              <w:t>Parent &amp; Other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Three months ended June 30, 2026</w:t>
            </w:r>
          </w:p>
        </w:tc>
      </w:tr>
      <w:tr>
        <w:trPr/>
        <w:tc>
          <w:tcPr>
            <w:tcW w:w="2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0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2,997 </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0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(2)</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w:t>
            </w:r>
          </w:p>
        </w:tc>
        <w:tc>
          <w:tcPr>
            <w:tcW w:w="20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(expense) benefit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827"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contingently redeemable noncontrolling interest</w:t>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(losses) attributable to common shares</w:t>
            </w:r>
          </w:p>
        </w:tc>
        <w:tc>
          <w:tcPr>
            <w:tcW w:w="21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0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346 </w:t>
            </w:r>
          </w:p>
        </w:tc>
        <w:tc>
          <w:tcPr>
            <w:tcW w:w="122"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53"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873 </w:t>
            </w:r>
          </w:p>
        </w:tc>
        <w:tc>
          <w:tcPr>
            <w:tcW w:w="10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w:t>
            </w:r>
          </w:p>
        </w:tc>
        <w:tc>
          <w:tcPr>
            <w:tcW w:w="208"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5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Three months ended June 30, 2025</w:t>
            </w:r>
          </w:p>
        </w:tc>
      </w:tr>
      <w:tr>
        <w:trPr/>
        <w:tc>
          <w:tcPr>
            <w:tcW w:w="2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0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0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(2)</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w:t>
            </w:r>
          </w:p>
        </w:tc>
        <w:tc>
          <w:tcPr>
            <w:tcW w:w="20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827"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0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(losses) attributable to common shares</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2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5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208"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5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40"/>
        <w:ind w:left="0" w:right="0" w:hanging="360"/>
        <w:jc w:val="left"/>
        <w:rPr/>
      </w:pPr>
      <w:r>
        <w:rPr>
          <w:rFonts w:ascii="Arial;sans-serif" w:hAnsi="Arial;sans-serif"/>
          <w:b w:val="false"/>
          <w:i/>
          <w:color w:val="000000"/>
          <w:sz w:val="10"/>
        </w:rPr>
        <w:t>(1)</w:t>
      </w:r>
      <w:r>
        <w:rPr>
          <w:color w:val="000000"/>
        </w:rPr>
        <w:t>    </w:t>
      </w:r>
      <w:r>
        <w:rPr>
          <w:rFonts w:ascii="Arial;sans-serif" w:hAnsi="Arial;sans-serif"/>
          <w:b w:val="false"/>
          <w:i/>
          <w:color w:val="000000"/>
          <w:sz w:val="16"/>
        </w:rPr>
        <w:t>Substantially all earnings attributable to common shares are from equity earnings.</w:t>
      </w:r>
    </w:p>
    <w:p>
      <w:pPr>
        <w:pStyle w:val="TextBody"/>
        <w:bidi w:val="0"/>
        <w:spacing w:lineRule="auto" w:line="333" w:before="40" w:after="40"/>
        <w:ind w:left="0" w:right="0" w:hanging="360"/>
        <w:jc w:val="left"/>
        <w:rPr/>
      </w:pPr>
      <w:r>
        <w:rPr>
          <w:rFonts w:ascii="Arial;sans-serif" w:hAnsi="Arial;sans-serif"/>
          <w:b w:val="false"/>
          <w:i/>
          <w:color w:val="000000"/>
          <w:sz w:val="10"/>
        </w:rPr>
        <w:t>(2)</w:t>
      </w:r>
      <w:r>
        <w:rPr>
          <w:color w:val="000000"/>
        </w:rPr>
        <w:t>    </w:t>
      </w:r>
      <w:r>
        <w:rPr>
          <w:rFonts w:ascii="Arial;sans-serif" w:hAnsi="Arial;sans-serif"/>
          <w:b w:val="false"/>
          <w:i/>
          <w:color w:val="000000"/>
          <w:sz w:val="16"/>
        </w:rPr>
        <w:t>Sempra Infrastructure includes net unrealized gains (losses) from undesignated interest rate swaps related to the PA LNG Phase 1 project.</w:t>
      </w:r>
    </w:p>
    <w:p>
      <w:pPr>
        <w:pStyle w:val="TextBody"/>
        <w:bidi w:val="0"/>
        <w:spacing w:lineRule="auto" w:line="333" w:before="40" w:after="40"/>
        <w:ind w:left="0" w:right="0" w:hanging="360"/>
        <w:jc w:val="left"/>
        <w:rPr/>
      </w:pPr>
      <w:r>
        <w:rPr>
          <w:rFonts w:ascii="Arial;sans-serif" w:hAnsi="Arial;sans-serif"/>
          <w:b w:val="false"/>
          <w:i/>
          <w:color w:val="000000"/>
          <w:sz w:val="10"/>
        </w:rPr>
        <w:t>(3)</w:t>
      </w:r>
      <w:r>
        <w:rPr>
          <w:color w:val="000000"/>
        </w:rPr>
        <w:t>    </w:t>
      </w:r>
      <w:r>
        <w:rPr>
          <w:rFonts w:ascii="Arial;sans-serif" w:hAnsi="Arial;sans-serif"/>
          <w:b w:val="false"/>
          <w:i/>
          <w:color w:val="000000"/>
          <w:sz w:val="16"/>
        </w:rPr>
        <w:t>Includes cost of natural gas, cost of electric fuel and purchased power, franchise fees and other taxes, other income (expense), net, and preferred dividends for Sempra California; operation and maintenance (O&amp;M) and interest expense for Sempra Texas Utilities related to activities at the holding company; and cost of natural gas, energy-related businesses cost of sales, franchise fees and other taxes, and other income (expense), net, for Sempra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925"/>
        <w:gridCol w:w="743"/>
        <w:gridCol w:w="748"/>
        <w:gridCol w:w="211"/>
        <w:gridCol w:w="616"/>
        <w:gridCol w:w="109"/>
        <w:gridCol w:w="109"/>
        <w:gridCol w:w="109"/>
        <w:gridCol w:w="109"/>
        <w:gridCol w:w="236"/>
        <w:gridCol w:w="523"/>
        <w:gridCol w:w="122"/>
        <w:gridCol w:w="109"/>
        <w:gridCol w:w="109"/>
        <w:gridCol w:w="109"/>
        <w:gridCol w:w="294"/>
        <w:gridCol w:w="649"/>
        <w:gridCol w:w="153"/>
        <w:gridCol w:w="109"/>
        <w:gridCol w:w="109"/>
        <w:gridCol w:w="109"/>
        <w:gridCol w:w="211"/>
        <w:gridCol w:w="616"/>
        <w:gridCol w:w="109"/>
        <w:gridCol w:w="109"/>
        <w:gridCol w:w="109"/>
        <w:gridCol w:w="109"/>
        <w:gridCol w:w="347"/>
        <w:gridCol w:w="792"/>
        <w:gridCol w:w="180"/>
        <w:gridCol w:w="109"/>
        <w:gridCol w:w="109"/>
        <w:gridCol w:w="109"/>
        <w:gridCol w:w="211"/>
        <w:gridCol w:w="616"/>
        <w:gridCol w:w="159"/>
      </w:tblGrid>
      <w:tr>
        <w:trPr/>
        <w:tc>
          <w:tcPr>
            <w:tcW w:w="92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SEMPRA</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Table F (Continued)</w:t>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STATEMENTS OF OPERATIONS DATA BY SEGMENT</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75" w:after="283"/>
              <w:jc w:val="center"/>
              <w:rPr>
                <w:rFonts w:ascii="Arial;sans-serif" w:hAnsi="Arial;sans-serif"/>
                <w:b w:val="false"/>
                <w:color w:val="000000"/>
                <w:sz w:val="16"/>
              </w:rPr>
            </w:pPr>
            <w:r>
              <w:rPr>
                <w:rFonts w:ascii="Arial;sans-serif" w:hAnsi="Arial;sans-serif"/>
                <w:b w:val="false"/>
                <w:color w:val="000000"/>
                <w:sz w:val="16"/>
              </w:rPr>
              <w:t xml:space="preserve">Sempra </w:t>
            </w:r>
          </w:p>
          <w:p>
            <w:pPr>
              <w:pStyle w:val="TableContents"/>
              <w:bidi w:val="0"/>
              <w:spacing w:lineRule="auto" w:line="240" w:before="0" w:after="30"/>
              <w:jc w:val="center"/>
              <w:rPr>
                <w:rFonts w:ascii="Arial;sans-serif" w:hAnsi="Arial;sans-serif"/>
                <w:b w:val="false"/>
                <w:color w:val="000000"/>
                <w:sz w:val="16"/>
              </w:rPr>
            </w:pPr>
            <w:r>
              <w:rPr>
                <w:rFonts w:ascii="Arial;sans-serif" w:hAnsi="Arial;sans-serif"/>
                <w:b w:val="false"/>
                <w:color w:val="000000"/>
                <w:sz w:val="16"/>
              </w:rPr>
              <w:t>California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75" w:after="283"/>
              <w:jc w:val="center"/>
              <w:rPr>
                <w:rFonts w:ascii="Arial;sans-serif" w:hAnsi="Arial;sans-serif"/>
                <w:b w:val="false"/>
                <w:color w:val="000000"/>
                <w:sz w:val="16"/>
              </w:rPr>
            </w:pPr>
            <w:r>
              <w:rPr>
                <w:rFonts w:ascii="Arial;sans-serif" w:hAnsi="Arial;sans-serif"/>
                <w:b w:val="false"/>
                <w:color w:val="000000"/>
                <w:sz w:val="16"/>
              </w:rPr>
              <w:t>Sempra Texas</w:t>
            </w:r>
          </w:p>
          <w:p>
            <w:pPr>
              <w:pStyle w:val="TableContents"/>
              <w:bidi w:val="0"/>
              <w:spacing w:lineRule="auto" w:line="240" w:before="0" w:after="30"/>
              <w:jc w:val="center"/>
              <w:rPr/>
            </w:pPr>
            <w:r>
              <w:rPr>
                <w:rFonts w:ascii="Arial;sans-serif" w:hAnsi="Arial;sans-serif"/>
                <w:b w:val="false"/>
                <w:color w:val="000000"/>
                <w:sz w:val="16"/>
              </w:rPr>
              <w:t>Utilities</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75" w:after="283"/>
              <w:jc w:val="center"/>
              <w:rPr>
                <w:rFonts w:ascii="Arial;sans-serif" w:hAnsi="Arial;sans-serif"/>
                <w:b w:val="false"/>
                <w:color w:val="000000"/>
                <w:sz w:val="16"/>
              </w:rPr>
            </w:pPr>
            <w:r>
              <w:rPr>
                <w:rFonts w:ascii="Arial;sans-serif" w:hAnsi="Arial;sans-serif"/>
                <w:b w:val="false"/>
                <w:color w:val="000000"/>
                <w:sz w:val="16"/>
              </w:rPr>
              <w:t>Sempra</w:t>
            </w:r>
          </w:p>
          <w:p>
            <w:pPr>
              <w:pStyle w:val="TableContents"/>
              <w:bidi w:val="0"/>
              <w:spacing w:lineRule="auto" w:line="240" w:before="0" w:after="30"/>
              <w:jc w:val="center"/>
              <w:rPr>
                <w:rFonts w:ascii="Arial;sans-serif" w:hAnsi="Arial;sans-serif"/>
                <w:b w:val="false"/>
                <w:color w:val="000000"/>
                <w:sz w:val="16"/>
              </w:rPr>
            </w:pPr>
            <w:r>
              <w:rPr>
                <w:rFonts w:ascii="Arial;sans-serif" w:hAnsi="Arial;sans-serif"/>
                <w:b w:val="false"/>
                <w:color w:val="000000"/>
                <w:sz w:val="16"/>
              </w:rPr>
              <w:t>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75" w:after="283"/>
              <w:jc w:val="center"/>
              <w:rPr>
                <w:rFonts w:ascii="Arial;sans-serif" w:hAnsi="Arial;sans-serif"/>
                <w:b w:val="false"/>
                <w:color w:val="000000"/>
                <w:sz w:val="16"/>
              </w:rPr>
            </w:pPr>
            <w:r>
              <w:rPr>
                <w:rFonts w:ascii="Arial;sans-serif" w:hAnsi="Arial;sans-serif"/>
                <w:b w:val="false"/>
                <w:color w:val="000000"/>
                <w:sz w:val="16"/>
              </w:rPr>
              <w:t xml:space="preserve">Segment </w:t>
            </w:r>
          </w:p>
          <w:p>
            <w:pPr>
              <w:pStyle w:val="TableContents"/>
              <w:bidi w:val="0"/>
              <w:spacing w:lineRule="auto" w:line="240" w:before="0" w:after="30"/>
              <w:jc w:val="center"/>
              <w:rPr>
                <w:rFonts w:ascii="Arial;sans-serif" w:hAnsi="Arial;sans-serif"/>
                <w:b w:val="false"/>
                <w:color w:val="000000"/>
                <w:sz w:val="16"/>
              </w:rPr>
            </w:pPr>
            <w:r>
              <w:rPr>
                <w:rFonts w:ascii="Arial;sans-serif" w:hAnsi="Arial;sans-serif"/>
                <w:b w:val="false"/>
                <w:color w:val="000000"/>
                <w:sz w:val="16"/>
              </w:rPr>
              <w:t>Totals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Consolidating Adjustments,</w:t>
              <w:br/>
              <w:t>Parent &amp; Other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Six months ended June 30, 2026</w:t>
            </w:r>
          </w:p>
        </w:tc>
      </w:tr>
      <w:tr>
        <w:trPr/>
        <w:tc>
          <w:tcPr>
            <w:tcW w:w="2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6,652 </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(2)</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827"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521 </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914 </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contingently redeemable noncontrolling interest</w:t>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(losses) attributable to common shares</w:t>
            </w:r>
          </w:p>
        </w:tc>
        <w:tc>
          <w:tcPr>
            <w:tcW w:w="21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1,017 </w:t>
            </w:r>
          </w:p>
        </w:tc>
        <w:tc>
          <w:tcPr>
            <w:tcW w:w="10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22"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492 </w:t>
            </w:r>
          </w:p>
        </w:tc>
        <w:tc>
          <w:tcPr>
            <w:tcW w:w="153"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2,026 </w:t>
            </w:r>
          </w:p>
        </w:tc>
        <w:tc>
          <w:tcPr>
            <w:tcW w:w="10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180"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1,833 </w:t>
            </w:r>
          </w:p>
        </w:tc>
        <w:tc>
          <w:tcPr>
            <w:tcW w:w="159" w:type="dxa"/>
            <w:tcBorders>
              <w:top w:val="single" w:sz="8" w:space="0" w:color="000000"/>
            </w:tcBorders>
            <w:shd w:fill="D4F1F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9"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Six months ended June 30, 2025</w:t>
            </w:r>
          </w:p>
        </w:tc>
      </w:tr>
      <w:tr>
        <w:trPr/>
        <w:tc>
          <w:tcPr>
            <w:tcW w:w="2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6,802 </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(2)</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 (expense) benefit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827"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718 </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(1,257)</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(losses) attributable to common shares</w:t>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12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53"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1,555 </w:t>
            </w:r>
          </w:p>
        </w:tc>
        <w:tc>
          <w:tcPr>
            <w:tcW w:w="10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180"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1,367 </w:t>
            </w:r>
          </w:p>
        </w:tc>
        <w:tc>
          <w:tcPr>
            <w:tcW w:w="159" w:type="dxa"/>
            <w:tcBorders>
              <w:top w:val="single" w:sz="8" w:space="0" w:color="000000"/>
              <w:bottom w:val="single" w:sz="1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60" w:after="40"/>
        <w:ind w:left="0" w:right="0" w:hanging="360"/>
        <w:jc w:val="left"/>
        <w:rPr/>
      </w:pPr>
      <w:r>
        <w:rPr>
          <w:rFonts w:ascii="Arial;sans-serif" w:hAnsi="Arial;sans-serif"/>
          <w:b w:val="false"/>
          <w:i/>
          <w:color w:val="000000"/>
          <w:sz w:val="10"/>
        </w:rPr>
        <w:t>(1)</w:t>
      </w:r>
      <w:r>
        <w:rPr>
          <w:color w:val="000000"/>
        </w:rPr>
        <w:t>    </w:t>
      </w:r>
      <w:r>
        <w:rPr>
          <w:rFonts w:ascii="Arial;sans-serif" w:hAnsi="Arial;sans-serif"/>
          <w:b w:val="false"/>
          <w:i/>
          <w:color w:val="000000"/>
          <w:sz w:val="16"/>
        </w:rPr>
        <w:t>Substantially all earnings attributable to common shares are from equity earnings.</w:t>
      </w:r>
    </w:p>
    <w:p>
      <w:pPr>
        <w:pStyle w:val="TextBody"/>
        <w:bidi w:val="0"/>
        <w:spacing w:lineRule="auto" w:line="333" w:before="40" w:after="40"/>
        <w:ind w:left="0" w:right="0" w:hanging="360"/>
        <w:jc w:val="left"/>
        <w:rPr/>
      </w:pPr>
      <w:r>
        <w:rPr>
          <w:rFonts w:ascii="Arial;sans-serif" w:hAnsi="Arial;sans-serif"/>
          <w:b w:val="false"/>
          <w:i/>
          <w:color w:val="000000"/>
          <w:sz w:val="10"/>
        </w:rPr>
        <w:t>(2)</w:t>
      </w:r>
      <w:r>
        <w:rPr>
          <w:color w:val="000000"/>
        </w:rPr>
        <w:t>    </w:t>
      </w:r>
      <w:r>
        <w:rPr>
          <w:rFonts w:ascii="Arial;sans-serif" w:hAnsi="Arial;sans-serif"/>
          <w:b w:val="false"/>
          <w:i/>
          <w:color w:val="000000"/>
          <w:sz w:val="16"/>
        </w:rPr>
        <w:t>Sempra Infrastructure includes net unrealized gains (losses) from undesignated interest rate swaps related to the PA LNG Phase 1 project.</w:t>
      </w:r>
    </w:p>
    <w:p>
      <w:pPr>
        <w:pStyle w:val="TextBody"/>
        <w:bidi w:val="0"/>
        <w:spacing w:lineRule="auto" w:line="333" w:before="40" w:after="40"/>
        <w:ind w:left="0" w:right="0" w:hanging="360"/>
        <w:jc w:val="left"/>
        <w:rPr/>
      </w:pPr>
      <w:r>
        <w:rPr>
          <w:rFonts w:ascii="Arial;sans-serif" w:hAnsi="Arial;sans-serif"/>
          <w:b w:val="false"/>
          <w:i/>
          <w:color w:val="000000"/>
          <w:sz w:val="10"/>
        </w:rPr>
        <w:t>(3)</w:t>
      </w:r>
      <w:r>
        <w:rPr>
          <w:color w:val="000000"/>
        </w:rPr>
        <w:t>    </w:t>
      </w:r>
      <w:r>
        <w:rPr>
          <w:rFonts w:ascii="Arial;sans-serif" w:hAnsi="Arial;sans-serif"/>
          <w:b w:val="false"/>
          <w:i/>
          <w:color w:val="000000"/>
          <w:sz w:val="16"/>
        </w:rPr>
        <w:t>Includes cost of natural gas, cost of electric fuel and purchased power, franchise fees and other taxes, and other income (expense), net, and preferred dividends for Sempra California; O&amp;M and interest expense for Sempra Texas Utilities related to activities at the holding company; and cost of natural gas, energy-related businesses cost of sales, franchise fees and other taxes, and other income (expense), net, for Sempra Infrastructure.</w:t>
      </w:r>
    </w:p>
    <w:p>
      <w:pPr>
        <w:pStyle w:val="TextBody"/>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7085</Words>
  <Characters>39998</Characters>
  <CharactersWithSpaces>46220</CharactersWithSpaces>
  <Paragraphs>1535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