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19685</wp:posOffset>
            </wp:positionV>
            <wp:extent cx="3840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243205</wp:posOffset>
            </wp:positionV>
            <wp:extent cx="164592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Southern California Gas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19685</wp:posOffset>
            </wp:positionV>
            <wp:extent cx="3214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452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19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1-01402</w:t>
            </w:r>
          </w:p>
        </w:tc>
        <w:tc>
          <w:tcPr>
            <w:tcW w:w="4420" w:type="dxa"/>
            <w:vAlign w:val="bottom"/>
            <w:gridSpan w:val="3"/>
          </w:tcPr>
          <w:p>
            <w:pPr>
              <w:jc w:val="right"/>
              <w:ind w:right="1259"/>
              <w:spacing w:after="0"/>
              <w:rPr>
                <w:sz w:val="20"/>
                <w:szCs w:val="20"/>
                <w:color w:val="auto"/>
              </w:rPr>
            </w:pPr>
            <w:r>
              <w:rPr>
                <w:rFonts w:ascii="Times New Roman" w:cs="Times New Roman" w:eastAsia="Times New Roman" w:hAnsi="Times New Roman"/>
                <w:sz w:val="18"/>
                <w:szCs w:val="18"/>
                <w:b w:val="1"/>
                <w:bCs w:val="1"/>
                <w:color w:val="auto"/>
              </w:rPr>
              <w:t>95-1240705</w:t>
            </w:r>
          </w:p>
        </w:tc>
        <w:tc>
          <w:tcPr>
            <w:tcW w:w="180" w:type="dxa"/>
            <w:vAlign w:val="bottom"/>
          </w:tcPr>
          <w:p>
            <w:pPr>
              <w:spacing w:after="0"/>
              <w:rPr>
                <w:sz w:val="20"/>
                <w:szCs w:val="20"/>
                <w:color w:val="auto"/>
              </w:rPr>
            </w:pPr>
          </w:p>
        </w:tc>
      </w:tr>
      <w:tr>
        <w:trPr>
          <w:trHeight w:val="204"/>
        </w:trPr>
        <w:tc>
          <w:tcPr>
            <w:tcW w:w="20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3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(Commission File Number)</w:t>
            </w:r>
          </w:p>
        </w:tc>
        <w:tc>
          <w:tcPr>
            <w:tcW w:w="3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43"/>
        </w:trPr>
        <w:tc>
          <w:tcPr>
            <w:tcW w:w="200" w:type="dxa"/>
            <w:vAlign w:val="bottom"/>
          </w:tcPr>
          <w:p>
            <w:pPr>
              <w:spacing w:after="0"/>
              <w:rPr>
                <w:sz w:val="24"/>
                <w:szCs w:val="24"/>
                <w:color w:val="auto"/>
              </w:rPr>
            </w:pPr>
          </w:p>
        </w:tc>
        <w:tc>
          <w:tcPr>
            <w:tcW w:w="452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w w:val="99"/>
              </w:rPr>
              <w:t>555 West 5th Street, Los Angeles, California 90013</w:t>
            </w:r>
          </w:p>
        </w:tc>
        <w:tc>
          <w:tcPr>
            <w:tcW w:w="6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3"/>
          </w:tcPr>
          <w:p>
            <w:pPr>
              <w:jc w:val="right"/>
              <w:ind w:right="1959"/>
              <w:spacing w:after="0"/>
              <w:rPr>
                <w:sz w:val="20"/>
                <w:szCs w:val="20"/>
                <w:color w:val="auto"/>
              </w:rPr>
            </w:pPr>
            <w:r>
              <w:rPr>
                <w:rFonts w:ascii="Times New Roman" w:cs="Times New Roman" w:eastAsia="Times New Roman" w:hAnsi="Times New Roman"/>
                <w:sz w:val="18"/>
                <w:szCs w:val="18"/>
                <w:b w:val="1"/>
                <w:bCs w:val="1"/>
                <w:color w:val="auto"/>
              </w:rPr>
              <w:t>(213) 244-1200</w:t>
            </w:r>
          </w:p>
        </w:tc>
        <w:tc>
          <w:tcPr>
            <w:tcW w:w="180" w:type="dxa"/>
            <w:vAlign w:val="bottom"/>
          </w:tcPr>
          <w:p>
            <w:pPr>
              <w:spacing w:after="0"/>
              <w:rPr>
                <w:sz w:val="24"/>
                <w:szCs w:val="24"/>
                <w:color w:val="auto"/>
              </w:rPr>
            </w:pPr>
          </w:p>
        </w:tc>
      </w:tr>
      <w:tr>
        <w:trPr>
          <w:trHeight w:val="204"/>
        </w:trPr>
        <w:tc>
          <w:tcPr>
            <w:tcW w:w="200" w:type="dxa"/>
            <w:vAlign w:val="bottom"/>
          </w:tcPr>
          <w:p>
            <w:pPr>
              <w:spacing w:after="0"/>
              <w:rPr>
                <w:sz w:val="17"/>
                <w:szCs w:val="17"/>
                <w:color w:val="auto"/>
              </w:rPr>
            </w:pPr>
          </w:p>
        </w:tc>
        <w:tc>
          <w:tcPr>
            <w:tcW w:w="4520" w:type="dxa"/>
            <w:vAlign w:val="bottom"/>
            <w:gridSpan w:val="3"/>
          </w:tcPr>
          <w:p>
            <w:pPr>
              <w:jc w:val="center"/>
              <w:ind w:left="535"/>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20" w:type="dxa"/>
            <w:vAlign w:val="bottom"/>
            <w:gridSpan w:val="3"/>
          </w:tcPr>
          <w:p>
            <w:pPr>
              <w:jc w:val="center"/>
              <w:ind w:right="6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80" w:type="dxa"/>
            <w:vAlign w:val="bottom"/>
          </w:tcPr>
          <w:p>
            <w:pPr>
              <w:spacing w:after="0"/>
              <w:rPr>
                <w:sz w:val="17"/>
                <w:szCs w:val="17"/>
                <w:color w:val="auto"/>
              </w:rPr>
            </w:pPr>
          </w:p>
        </w:tc>
      </w:tr>
    </w:tbl>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19685</wp:posOffset>
            </wp:positionV>
            <wp:extent cx="3754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365" w:lineRule="exact"/>
        <w:rPr>
          <w:sz w:val="24"/>
          <w:szCs w:val="24"/>
          <w:color w:val="auto"/>
        </w:rPr>
      </w:pPr>
    </w:p>
    <w:p>
      <w:pPr>
        <w:ind w:left="220" w:right="4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 w:lineRule="exact"/>
        <w:rPr>
          <w:sz w:val="24"/>
          <w:szCs w:val="24"/>
          <w:color w:val="auto"/>
        </w:rPr>
      </w:pPr>
    </w:p>
    <w:p>
      <w:pPr>
        <w:ind w:left="1000" w:hanging="493"/>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1000" w:hanging="493"/>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1000" w:hanging="493"/>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1000" w:hanging="493"/>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20"/>
        <w:spacing w:after="0"/>
        <w:tabs>
          <w:tab w:leader="none" w:pos="6000" w:val="left"/>
          <w:tab w:leader="none" w:pos="7740" w:val="left"/>
        </w:tabs>
        <w:rPr>
          <w:sz w:val="20"/>
          <w:szCs w:val="20"/>
          <w:color w:val="auto"/>
        </w:rPr>
      </w:pPr>
      <w:r>
        <w:rPr>
          <w:rFonts w:ascii="Times New Roman" w:cs="Times New Roman" w:eastAsia="Times New Roman" w:hAnsi="Times New Roman"/>
          <w:sz w:val="16"/>
          <w:szCs w:val="16"/>
          <w:color w:val="auto"/>
        </w:rPr>
        <w:t>Title of Each Class</w:t>
      </w:r>
      <w:r>
        <w:rPr>
          <w:sz w:val="20"/>
          <w:szCs w:val="20"/>
          <w:color w:val="auto"/>
        </w:rPr>
        <w:tab/>
      </w:r>
      <w:r>
        <w:rPr>
          <w:rFonts w:ascii="Times New Roman" w:cs="Times New Roman" w:eastAsia="Times New Roman" w:hAnsi="Times New Roman"/>
          <w:sz w:val="16"/>
          <w:szCs w:val="16"/>
          <w:color w:val="auto"/>
        </w:rPr>
        <w:t>Trading Symbol</w:t>
      </w:r>
      <w:r>
        <w:rPr>
          <w:sz w:val="20"/>
          <w:szCs w:val="20"/>
          <w:color w:val="auto"/>
        </w:rPr>
        <w:tab/>
      </w:r>
      <w:r>
        <w:rPr>
          <w:rFonts w:ascii="Times New Roman" w:cs="Times New Roman" w:eastAsia="Times New Roman" w:hAnsi="Times New Roman"/>
          <w:sz w:val="16"/>
          <w:szCs w:val="16"/>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60" w:right="20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85" w:lineRule="exact"/>
        <w:rPr>
          <w:sz w:val="24"/>
          <w:szCs w:val="24"/>
          <w:color w:val="auto"/>
        </w:rPr>
      </w:pPr>
    </w:p>
    <w:p>
      <w:pPr>
        <w:ind w:left="60" w:right="12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2026 Annual Shareholders Meeting of Southern California Gas Company (the “Company”) was held on May 14, 2026. At the Annual Shareholders Meeting, the Company’s shareholders:</w:t>
      </w:r>
    </w:p>
    <w:p>
      <w:pPr>
        <w:spacing w:after="0" w:line="189"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until the next annual meeting of shareholders all four of the director nominees up for election and listed below; and</w:t>
      </w:r>
    </w:p>
    <w:p>
      <w:pPr>
        <w:spacing w:after="0" w:line="238"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Company’s executive compensation as reported in the Company’s information statement for the Annual Shareholders Meeting.</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Below are the final voting results for each matter voted on at the Annual Shareholders Meeting, as certified by the Company’s inspector of election at such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shd w:val="clear" w:color="auto" w:fill="D4F1F5"/>
          </w:tcPr>
          <w:p>
            <w:pPr>
              <w:ind w:left="20"/>
              <w:spacing w:after="0"/>
              <w:rPr>
                <w:sz w:val="20"/>
                <w:szCs w:val="20"/>
                <w:color w:val="auto"/>
              </w:rPr>
            </w:pPr>
            <w:r>
              <w:rPr>
                <w:rFonts w:ascii="Times New Roman" w:cs="Times New Roman" w:eastAsia="Times New Roman" w:hAnsi="Times New Roman"/>
                <w:sz w:val="16"/>
                <w:szCs w:val="16"/>
                <w:b w:val="1"/>
                <w:bCs w:val="1"/>
                <w:color w:val="auto"/>
              </w:rPr>
              <w:t>Director Nominees</w:t>
            </w:r>
          </w:p>
        </w:tc>
        <w:tc>
          <w:tcPr>
            <w:tcW w:w="2700" w:type="dxa"/>
            <w:vAlign w:val="bottom"/>
            <w:shd w:val="clear" w:color="auto" w:fill="D4F1F5"/>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No. of Votes For</w:t>
            </w:r>
          </w:p>
        </w:tc>
        <w:tc>
          <w:tcPr>
            <w:tcW w:w="1520" w:type="dxa"/>
            <w:vAlign w:val="bottom"/>
            <w:shd w:val="clear" w:color="auto" w:fill="D4F1F5"/>
          </w:tcPr>
          <w:p>
            <w:pPr>
              <w:ind w:left="100"/>
              <w:spacing w:after="0"/>
              <w:rPr>
                <w:sz w:val="20"/>
                <w:szCs w:val="20"/>
                <w:color w:val="auto"/>
              </w:rPr>
            </w:pPr>
            <w:r>
              <w:rPr>
                <w:rFonts w:ascii="Times New Roman" w:cs="Times New Roman" w:eastAsia="Times New Roman" w:hAnsi="Times New Roman"/>
                <w:sz w:val="16"/>
                <w:szCs w:val="16"/>
                <w:b w:val="1"/>
                <w:bCs w:val="1"/>
                <w:color w:val="auto"/>
              </w:rPr>
              <w:t>No. of Votes Against</w:t>
            </w:r>
          </w:p>
        </w:tc>
        <w:tc>
          <w:tcPr>
            <w:tcW w:w="280" w:type="dxa"/>
            <w:vAlign w:val="bottom"/>
            <w:shd w:val="clear" w:color="auto" w:fill="D4F1F5"/>
          </w:tcPr>
          <w:p>
            <w:pPr>
              <w:spacing w:after="0"/>
              <w:rPr>
                <w:sz w:val="19"/>
                <w:szCs w:val="19"/>
                <w:color w:val="auto"/>
              </w:rPr>
            </w:pPr>
          </w:p>
        </w:tc>
        <w:tc>
          <w:tcPr>
            <w:tcW w:w="1680" w:type="dxa"/>
            <w:vAlign w:val="bottom"/>
            <w:shd w:val="clear" w:color="auto" w:fill="D4F1F5"/>
          </w:tcPr>
          <w:p>
            <w:pPr>
              <w:ind w:left="100"/>
              <w:spacing w:after="0"/>
              <w:rPr>
                <w:sz w:val="20"/>
                <w:szCs w:val="20"/>
                <w:color w:val="auto"/>
              </w:rPr>
            </w:pPr>
            <w:r>
              <w:rPr>
                <w:rFonts w:ascii="Times New Roman" w:cs="Times New Roman" w:eastAsia="Times New Roman" w:hAnsi="Times New Roman"/>
                <w:sz w:val="16"/>
                <w:szCs w:val="16"/>
                <w:b w:val="1"/>
                <w:bCs w:val="1"/>
                <w:color w:val="auto"/>
              </w:rPr>
              <w:t>No. of Abstentions</w:t>
            </w:r>
          </w:p>
        </w:tc>
        <w:tc>
          <w:tcPr>
            <w:tcW w:w="2080" w:type="dxa"/>
            <w:vAlign w:val="bottom"/>
            <w:shd w:val="clear" w:color="auto" w:fill="D4F1F5"/>
          </w:tcPr>
          <w:p>
            <w:pPr>
              <w:ind w:left="140"/>
              <w:spacing w:after="0"/>
              <w:rPr>
                <w:sz w:val="20"/>
                <w:szCs w:val="20"/>
                <w:color w:val="auto"/>
              </w:rPr>
            </w:pPr>
            <w:r>
              <w:rPr>
                <w:rFonts w:ascii="Times New Roman" w:cs="Times New Roman" w:eastAsia="Times New Roman" w:hAnsi="Times New Roman"/>
                <w:sz w:val="16"/>
                <w:szCs w:val="16"/>
                <w:b w:val="1"/>
                <w:bCs w:val="1"/>
                <w:color w:val="auto"/>
              </w:rPr>
              <w:t>No. of Broker Non-Votes</w:t>
            </w:r>
          </w:p>
        </w:tc>
      </w:tr>
      <w:tr>
        <w:trPr>
          <w:trHeight w:val="22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Diana L. Day</w:t>
            </w:r>
          </w:p>
        </w:tc>
        <w:tc>
          <w:tcPr>
            <w:tcW w:w="2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91,350,970</w:t>
            </w:r>
          </w:p>
        </w:tc>
        <w:tc>
          <w:tcPr>
            <w:tcW w:w="15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Pr>
          <w:p>
            <w:pPr>
              <w:ind w:left="1900"/>
              <w:spacing w:after="0"/>
              <w:rPr>
                <w:sz w:val="20"/>
                <w:szCs w:val="20"/>
                <w:color w:val="auto"/>
              </w:rPr>
            </w:pPr>
            <w:r>
              <w:rPr>
                <w:rFonts w:ascii="Times New Roman" w:cs="Times New Roman" w:eastAsia="Times New Roman" w:hAnsi="Times New Roman"/>
                <w:sz w:val="16"/>
                <w:szCs w:val="16"/>
                <w:color w:val="auto"/>
                <w:w w:val="99"/>
              </w:rPr>
              <w:t>—</w:t>
            </w:r>
          </w:p>
        </w:tc>
      </w:tr>
      <w:tr>
        <w:trPr>
          <w:trHeight w:val="239"/>
        </w:trPr>
        <w:tc>
          <w:tcPr>
            <w:tcW w:w="2980" w:type="dxa"/>
            <w:vAlign w:val="bottom"/>
            <w:shd w:val="clear" w:color="auto" w:fill="D4F1F5"/>
          </w:tcPr>
          <w:p>
            <w:pPr>
              <w:ind w:left="20"/>
              <w:spacing w:after="0"/>
              <w:rPr>
                <w:sz w:val="20"/>
                <w:szCs w:val="20"/>
                <w:color w:val="auto"/>
              </w:rPr>
            </w:pPr>
            <w:r>
              <w:rPr>
                <w:rFonts w:ascii="Times New Roman" w:cs="Times New Roman" w:eastAsia="Times New Roman" w:hAnsi="Times New Roman"/>
                <w:sz w:val="16"/>
                <w:szCs w:val="16"/>
                <w:color w:val="auto"/>
              </w:rPr>
              <w:t>Lisa Larroque Alexander</w:t>
            </w:r>
          </w:p>
        </w:tc>
        <w:tc>
          <w:tcPr>
            <w:tcW w:w="2700" w:type="dxa"/>
            <w:vAlign w:val="bottom"/>
            <w:shd w:val="clear" w:color="auto" w:fill="D4F1F5"/>
          </w:tcPr>
          <w:p>
            <w:pPr>
              <w:jc w:val="right"/>
              <w:ind w:right="39"/>
              <w:spacing w:after="0"/>
              <w:rPr>
                <w:sz w:val="20"/>
                <w:szCs w:val="20"/>
                <w:color w:val="auto"/>
              </w:rPr>
            </w:pPr>
            <w:r>
              <w:rPr>
                <w:rFonts w:ascii="Times New Roman" w:cs="Times New Roman" w:eastAsia="Times New Roman" w:hAnsi="Times New Roman"/>
                <w:sz w:val="16"/>
                <w:szCs w:val="16"/>
                <w:color w:val="auto"/>
              </w:rPr>
              <w:t>91,350,970</w:t>
            </w:r>
          </w:p>
        </w:tc>
        <w:tc>
          <w:tcPr>
            <w:tcW w:w="1520" w:type="dxa"/>
            <w:vAlign w:val="bottom"/>
            <w:shd w:val="clear" w:color="auto" w:fill="D4F1F5"/>
          </w:tcPr>
          <w:p>
            <w:pPr>
              <w:spacing w:after="0"/>
              <w:rPr>
                <w:sz w:val="20"/>
                <w:szCs w:val="20"/>
                <w:color w:val="auto"/>
              </w:rPr>
            </w:pPr>
          </w:p>
        </w:tc>
        <w:tc>
          <w:tcPr>
            <w:tcW w:w="280" w:type="dxa"/>
            <w:vAlign w:val="bottom"/>
            <w:shd w:val="clear" w:color="auto" w:fill="D4F1F5"/>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D4F1F5"/>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shd w:val="clear" w:color="auto" w:fill="D4F1F5"/>
          </w:tcPr>
          <w:p>
            <w:pPr>
              <w:ind w:left="1900"/>
              <w:spacing w:after="0"/>
              <w:rPr>
                <w:sz w:val="20"/>
                <w:szCs w:val="20"/>
                <w:color w:val="auto"/>
              </w:rPr>
            </w:pPr>
            <w:r>
              <w:rPr>
                <w:rFonts w:ascii="Times New Roman" w:cs="Times New Roman" w:eastAsia="Times New Roman" w:hAnsi="Times New Roman"/>
                <w:sz w:val="16"/>
                <w:szCs w:val="16"/>
                <w:color w:val="auto"/>
                <w:w w:val="99"/>
              </w:rPr>
              <w:t>—</w:t>
            </w:r>
          </w:p>
        </w:tc>
      </w:tr>
      <w:tr>
        <w:trPr>
          <w:trHeight w:val="22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Karen L. Sedgwick</w:t>
            </w:r>
          </w:p>
        </w:tc>
        <w:tc>
          <w:tcPr>
            <w:tcW w:w="2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91,350,970</w:t>
            </w:r>
          </w:p>
        </w:tc>
        <w:tc>
          <w:tcPr>
            <w:tcW w:w="15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Pr>
          <w:p>
            <w:pPr>
              <w:ind w:left="1900"/>
              <w:spacing w:after="0"/>
              <w:rPr>
                <w:sz w:val="20"/>
                <w:szCs w:val="20"/>
                <w:color w:val="auto"/>
              </w:rPr>
            </w:pPr>
            <w:r>
              <w:rPr>
                <w:rFonts w:ascii="Times New Roman" w:cs="Times New Roman" w:eastAsia="Times New Roman" w:hAnsi="Times New Roman"/>
                <w:sz w:val="16"/>
                <w:szCs w:val="16"/>
                <w:color w:val="auto"/>
                <w:w w:val="99"/>
              </w:rPr>
              <w:t>—</w:t>
            </w:r>
          </w:p>
        </w:tc>
      </w:tr>
      <w:tr>
        <w:trPr>
          <w:trHeight w:val="239"/>
        </w:trPr>
        <w:tc>
          <w:tcPr>
            <w:tcW w:w="2980" w:type="dxa"/>
            <w:vAlign w:val="bottom"/>
            <w:shd w:val="clear" w:color="auto" w:fill="D4F1F5"/>
          </w:tcPr>
          <w:p>
            <w:pPr>
              <w:ind w:left="20"/>
              <w:spacing w:after="0"/>
              <w:rPr>
                <w:sz w:val="20"/>
                <w:szCs w:val="20"/>
                <w:color w:val="auto"/>
              </w:rPr>
            </w:pPr>
            <w:r>
              <w:rPr>
                <w:rFonts w:ascii="Times New Roman" w:cs="Times New Roman" w:eastAsia="Times New Roman" w:hAnsi="Times New Roman"/>
                <w:sz w:val="16"/>
                <w:szCs w:val="16"/>
                <w:color w:val="auto"/>
              </w:rPr>
              <w:t>Caroline A. Winn</w:t>
            </w:r>
          </w:p>
        </w:tc>
        <w:tc>
          <w:tcPr>
            <w:tcW w:w="2700" w:type="dxa"/>
            <w:vAlign w:val="bottom"/>
            <w:shd w:val="clear" w:color="auto" w:fill="D4F1F5"/>
          </w:tcPr>
          <w:p>
            <w:pPr>
              <w:jc w:val="right"/>
              <w:ind w:right="39"/>
              <w:spacing w:after="0"/>
              <w:rPr>
                <w:sz w:val="20"/>
                <w:szCs w:val="20"/>
                <w:color w:val="auto"/>
              </w:rPr>
            </w:pPr>
            <w:r>
              <w:rPr>
                <w:rFonts w:ascii="Times New Roman" w:cs="Times New Roman" w:eastAsia="Times New Roman" w:hAnsi="Times New Roman"/>
                <w:sz w:val="16"/>
                <w:szCs w:val="16"/>
                <w:color w:val="auto"/>
              </w:rPr>
              <w:t>91,350,970</w:t>
            </w:r>
          </w:p>
        </w:tc>
        <w:tc>
          <w:tcPr>
            <w:tcW w:w="1520" w:type="dxa"/>
            <w:vAlign w:val="bottom"/>
            <w:shd w:val="clear" w:color="auto" w:fill="D4F1F5"/>
          </w:tcPr>
          <w:p>
            <w:pPr>
              <w:spacing w:after="0"/>
              <w:rPr>
                <w:sz w:val="20"/>
                <w:szCs w:val="20"/>
                <w:color w:val="auto"/>
              </w:rPr>
            </w:pPr>
          </w:p>
        </w:tc>
        <w:tc>
          <w:tcPr>
            <w:tcW w:w="280" w:type="dxa"/>
            <w:vAlign w:val="bottom"/>
            <w:shd w:val="clear" w:color="auto" w:fill="D4F1F5"/>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D4F1F5"/>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shd w:val="clear" w:color="auto" w:fill="D4F1F5"/>
          </w:tcPr>
          <w:p>
            <w:pPr>
              <w:ind w:left="1900"/>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Advisory Approval of the Company’s Executive Compensation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shd w:val="clear" w:color="auto" w:fill="D4F1F5"/>
          </w:tcPr>
          <w:p>
            <w:pPr>
              <w:spacing w:after="0"/>
              <w:rPr>
                <w:sz w:val="19"/>
                <w:szCs w:val="19"/>
                <w:color w:val="auto"/>
              </w:rPr>
            </w:pPr>
          </w:p>
        </w:tc>
        <w:tc>
          <w:tcPr>
            <w:tcW w:w="2760" w:type="dxa"/>
            <w:vAlign w:val="bottom"/>
            <w:shd w:val="clear" w:color="auto" w:fill="D4F1F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No. of Votes</w:t>
            </w:r>
          </w:p>
        </w:tc>
        <w:tc>
          <w:tcPr>
            <w:tcW w:w="5660" w:type="dxa"/>
            <w:vAlign w:val="bottom"/>
          </w:tcPr>
          <w:p>
            <w:pPr>
              <w:spacing w:after="0"/>
              <w:rPr>
                <w:sz w:val="19"/>
                <w:szCs w:val="19"/>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Votes For</w:t>
            </w:r>
          </w:p>
        </w:tc>
        <w:tc>
          <w:tcPr>
            <w:tcW w:w="2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91,350,970</w:t>
            </w:r>
          </w:p>
        </w:tc>
        <w:tc>
          <w:tcPr>
            <w:tcW w:w="5660" w:type="dxa"/>
            <w:vAlign w:val="bottom"/>
          </w:tcPr>
          <w:p>
            <w:pPr>
              <w:spacing w:after="0"/>
              <w:rPr>
                <w:sz w:val="18"/>
                <w:szCs w:val="18"/>
                <w:color w:val="auto"/>
              </w:rPr>
            </w:pPr>
          </w:p>
        </w:tc>
      </w:tr>
      <w:tr>
        <w:trPr>
          <w:trHeight w:val="249"/>
        </w:trPr>
        <w:tc>
          <w:tcPr>
            <w:tcW w:w="2820" w:type="dxa"/>
            <w:vAlign w:val="bottom"/>
            <w:shd w:val="clear" w:color="auto" w:fill="D4F1F5"/>
          </w:tcPr>
          <w:p>
            <w:pPr>
              <w:ind w:left="20"/>
              <w:spacing w:after="0"/>
              <w:rPr>
                <w:sz w:val="20"/>
                <w:szCs w:val="20"/>
                <w:color w:val="auto"/>
              </w:rPr>
            </w:pPr>
            <w:r>
              <w:rPr>
                <w:rFonts w:ascii="Times New Roman" w:cs="Times New Roman" w:eastAsia="Times New Roman" w:hAnsi="Times New Roman"/>
                <w:sz w:val="16"/>
                <w:szCs w:val="16"/>
                <w:color w:val="auto"/>
              </w:rPr>
              <w:t>Votes Against</w:t>
            </w:r>
          </w:p>
        </w:tc>
        <w:tc>
          <w:tcPr>
            <w:tcW w:w="2760" w:type="dxa"/>
            <w:vAlign w:val="bottom"/>
            <w:shd w:val="clear" w:color="auto" w:fill="D4F1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spacing w:after="0"/>
              <w:rPr>
                <w:sz w:val="21"/>
                <w:szCs w:val="2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Abstentions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spacing w:after="0"/>
              <w:rPr>
                <w:sz w:val="18"/>
                <w:szCs w:val="18"/>
                <w:color w:val="auto"/>
              </w:rPr>
            </w:pPr>
          </w:p>
        </w:tc>
      </w:tr>
      <w:tr>
        <w:trPr>
          <w:trHeight w:val="249"/>
        </w:trPr>
        <w:tc>
          <w:tcPr>
            <w:tcW w:w="2820" w:type="dxa"/>
            <w:vAlign w:val="bottom"/>
            <w:shd w:val="clear" w:color="auto" w:fill="D4F1F5"/>
          </w:tcPr>
          <w:p>
            <w:pPr>
              <w:ind w:left="20"/>
              <w:spacing w:after="0"/>
              <w:rPr>
                <w:sz w:val="20"/>
                <w:szCs w:val="20"/>
                <w:color w:val="auto"/>
              </w:rPr>
            </w:pPr>
            <w:r>
              <w:rPr>
                <w:rFonts w:ascii="Times New Roman" w:cs="Times New Roman" w:eastAsia="Times New Roman" w:hAnsi="Times New Roman"/>
                <w:sz w:val="16"/>
                <w:szCs w:val="16"/>
                <w:color w:val="auto"/>
              </w:rPr>
              <w:t>Broker Non-Votes</w:t>
            </w:r>
          </w:p>
        </w:tc>
        <w:tc>
          <w:tcPr>
            <w:tcW w:w="2760" w:type="dxa"/>
            <w:vAlign w:val="bottom"/>
            <w:shd w:val="clear" w:color="auto" w:fill="D4F1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spacing w:after="0"/>
              <w:rPr>
                <w:sz w:val="21"/>
                <w:szCs w:val="21"/>
                <w:color w:val="auto"/>
              </w:rPr>
            </w:pPr>
          </w:p>
        </w:tc>
      </w:tr>
      <w:tr>
        <w:trPr>
          <w:trHeight w:val="1020"/>
        </w:trPr>
        <w:tc>
          <w:tcPr>
            <w:tcW w:w="28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SOUTHERN CALIFORNIA GAS COMPANY,</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2040"/>
        <w:spacing w:after="0"/>
        <w:tabs>
          <w:tab w:leader="none" w:pos="552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color w:val="auto"/>
        </w:rPr>
        <w:t>By: /s/ Sara P. Mijares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505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Sara P. Mijares</w:t>
      </w:r>
    </w:p>
    <w:p>
      <w:pPr>
        <w:ind w:left="554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sectPr>
      <w:pgSz w:w="11900" w:h="16838" w:orient="portrait"/>
      <w:cols w:equalWidth="0" w:num="1">
        <w:col w:w="11200"/>
      </w:cols>
      <w:pgMar w:left="320" w:top="103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2026-05-15T15:40:20Z</dcterms:created>
  <dcterms:modified xsi:type="dcterms:W3CDTF">2026-05-15T15:40:20Z</dcterms:modified>
</cp:coreProperties>
</file>