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998220</wp:posOffset>
            </wp:positionH>
            <wp:positionV relativeFrom="page">
              <wp:posOffset>740410</wp:posOffset>
            </wp:positionV>
            <wp:extent cx="55657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65775" cy="26035"/>
                    </a:xfrm>
                    <a:prstGeom prst="rect">
                      <a:avLst/>
                    </a:prstGeom>
                    <a:noFill/>
                  </pic:spPr>
                </pic:pic>
              </a:graphicData>
            </a:graphic>
          </wp:anchor>
        </w:drawing>
        <w:drawing>
          <wp:anchor simplePos="0" relativeHeight="251657728" behindDoc="1" locked="0" layoutInCell="0" allowOverlap="1">
            <wp:simplePos x="0" y="0"/>
            <wp:positionH relativeFrom="page">
              <wp:posOffset>998220</wp:posOffset>
            </wp:positionH>
            <wp:positionV relativeFrom="page">
              <wp:posOffset>920750</wp:posOffset>
            </wp:positionV>
            <wp:extent cx="5565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SECURITIES AND EXCHANGE COMMISSION</w:t>
      </w:r>
    </w:p>
    <w:p>
      <w:pPr>
        <w:jc w:val="center"/>
        <w:ind w:right="79"/>
        <w:spacing w:after="0"/>
        <w:rPr>
          <w:sz w:val="20"/>
          <w:szCs w:val="20"/>
          <w:color w:val="auto"/>
        </w:rPr>
      </w:pPr>
      <w:r>
        <w:rPr>
          <w:rFonts w:ascii="Arial" w:cs="Arial" w:eastAsia="Arial" w:hAnsi="Arial"/>
          <w:sz w:val="20"/>
          <w:szCs w:val="20"/>
          <w:color w:val="auto"/>
        </w:rPr>
        <w:t>Washington, D.C. 20549</w:t>
      </w:r>
    </w:p>
    <w:p>
      <w:pPr>
        <w:spacing w:after="0" w:line="11" w:lineRule="exact"/>
        <w:rPr>
          <w:sz w:val="24"/>
          <w:szCs w:val="24"/>
          <w:color w:val="auto"/>
        </w:rPr>
      </w:pPr>
    </w:p>
    <w:tbl>
      <w:tblPr>
        <w:tblLayout w:type="fixed"/>
        <w:tblInd w:w="140" w:type="dxa"/>
        <w:tblCellMar>
          <w:top w:w="0" w:type="dxa"/>
          <w:left w:w="0" w:type="dxa"/>
          <w:bottom w:w="0" w:type="dxa"/>
          <w:right w:w="0" w:type="dxa"/>
        </w:tblCellMar>
      </w:tblPr>
      <w:tr>
        <w:trPr>
          <w:trHeight w:val="250"/>
        </w:trPr>
        <w:tc>
          <w:tcPr>
            <w:tcW w:w="1160" w:type="dxa"/>
            <w:vAlign w:val="bottom"/>
          </w:tcPr>
          <w:p>
            <w:pPr>
              <w:spacing w:after="0"/>
              <w:rPr>
                <w:sz w:val="21"/>
                <w:szCs w:val="21"/>
                <w:color w:val="auto"/>
              </w:rPr>
            </w:pPr>
          </w:p>
        </w:tc>
        <w:tc>
          <w:tcPr>
            <w:tcW w:w="4660" w:type="dxa"/>
            <w:vAlign w:val="bottom"/>
          </w:tcPr>
          <w:p>
            <w:pPr>
              <w:jc w:val="center"/>
              <w:ind w:left="1581"/>
              <w:spacing w:after="0"/>
              <w:rPr>
                <w:sz w:val="20"/>
                <w:szCs w:val="20"/>
                <w:color w:val="auto"/>
              </w:rPr>
            </w:pPr>
            <w:r>
              <w:rPr>
                <w:rFonts w:ascii="Arial" w:cs="Arial" w:eastAsia="Arial" w:hAnsi="Arial"/>
                <w:sz w:val="20"/>
                <w:szCs w:val="20"/>
                <w:color w:val="auto"/>
                <w:w w:val="93"/>
              </w:rPr>
              <w:t>FORM 10-Q</w:t>
            </w:r>
          </w:p>
        </w:tc>
        <w:tc>
          <w:tcPr>
            <w:tcW w:w="12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6"/>
        </w:trPr>
        <w:tc>
          <w:tcPr>
            <w:tcW w:w="1160" w:type="dxa"/>
            <w:vAlign w:val="bottom"/>
          </w:tcPr>
          <w:p>
            <w:pPr>
              <w:spacing w:after="0"/>
              <w:rPr>
                <w:sz w:val="20"/>
                <w:szCs w:val="20"/>
                <w:color w:val="auto"/>
              </w:rPr>
            </w:pPr>
          </w:p>
        </w:tc>
        <w:tc>
          <w:tcPr>
            <w:tcW w:w="7600" w:type="dxa"/>
            <w:vAlign w:val="bottom"/>
            <w:gridSpan w:val="3"/>
          </w:tcPr>
          <w:p>
            <w:pPr>
              <w:jc w:val="center"/>
              <w:ind w:right="1141"/>
              <w:spacing w:after="0"/>
              <w:rPr>
                <w:sz w:val="20"/>
                <w:szCs w:val="20"/>
                <w:color w:val="auto"/>
              </w:rPr>
            </w:pPr>
            <w:r>
              <w:rPr>
                <w:rFonts w:ascii="Arial" w:cs="Arial" w:eastAsia="Arial" w:hAnsi="Arial"/>
                <w:sz w:val="20"/>
                <w:szCs w:val="20"/>
                <w:color w:val="auto"/>
                <w:w w:val="92"/>
              </w:rPr>
              <w:t>QUARTERLY REPORT PURSUANT TO SECTION 13 OR 15 (d) OF THE</w:t>
            </w:r>
          </w:p>
        </w:tc>
      </w:tr>
      <w:tr>
        <w:trPr>
          <w:trHeight w:val="250"/>
        </w:trPr>
        <w:tc>
          <w:tcPr>
            <w:tcW w:w="1160" w:type="dxa"/>
            <w:vAlign w:val="bottom"/>
          </w:tcPr>
          <w:p>
            <w:pPr>
              <w:spacing w:after="0"/>
              <w:rPr>
                <w:sz w:val="21"/>
                <w:szCs w:val="21"/>
                <w:color w:val="auto"/>
              </w:rPr>
            </w:pPr>
          </w:p>
        </w:tc>
        <w:tc>
          <w:tcPr>
            <w:tcW w:w="5920" w:type="dxa"/>
            <w:vAlign w:val="bottom"/>
            <w:gridSpan w:val="2"/>
          </w:tcPr>
          <w:p>
            <w:pPr>
              <w:jc w:val="center"/>
              <w:ind w:left="321"/>
              <w:spacing w:after="0"/>
              <w:rPr>
                <w:sz w:val="20"/>
                <w:szCs w:val="20"/>
                <w:color w:val="auto"/>
              </w:rPr>
            </w:pPr>
            <w:r>
              <w:rPr>
                <w:rFonts w:ascii="Arial" w:cs="Arial" w:eastAsia="Arial" w:hAnsi="Arial"/>
                <w:sz w:val="20"/>
                <w:szCs w:val="20"/>
                <w:color w:val="auto"/>
                <w:w w:val="94"/>
              </w:rPr>
              <w:t>SECURITIES EXCHANGE ACT OF 1934</w:t>
            </w:r>
          </w:p>
        </w:tc>
        <w:tc>
          <w:tcPr>
            <w:tcW w:w="1680" w:type="dxa"/>
            <w:vAlign w:val="bottom"/>
          </w:tcPr>
          <w:p>
            <w:pPr>
              <w:spacing w:after="0"/>
              <w:rPr>
                <w:sz w:val="21"/>
                <w:szCs w:val="21"/>
                <w:color w:val="auto"/>
              </w:rPr>
            </w:pPr>
          </w:p>
        </w:tc>
      </w:tr>
      <w:tr>
        <w:trPr>
          <w:trHeight w:val="261"/>
        </w:trPr>
        <w:tc>
          <w:tcPr>
            <w:tcW w:w="1160" w:type="dxa"/>
            <w:vAlign w:val="bottom"/>
          </w:tcPr>
          <w:p>
            <w:pPr>
              <w:spacing w:after="0"/>
              <w:rPr>
                <w:sz w:val="22"/>
                <w:szCs w:val="22"/>
                <w:color w:val="auto"/>
              </w:rPr>
            </w:pPr>
          </w:p>
        </w:tc>
        <w:tc>
          <w:tcPr>
            <w:tcW w:w="4660" w:type="dxa"/>
            <w:vAlign w:val="bottom"/>
          </w:tcPr>
          <w:p>
            <w:pPr>
              <w:ind w:left="2160"/>
              <w:spacing w:after="0"/>
              <w:rPr>
                <w:sz w:val="20"/>
                <w:szCs w:val="20"/>
                <w:color w:val="auto"/>
              </w:rPr>
            </w:pPr>
            <w:r>
              <w:rPr>
                <w:rFonts w:ascii="Arial" w:cs="Arial" w:eastAsia="Arial" w:hAnsi="Arial"/>
                <w:sz w:val="20"/>
                <w:szCs w:val="20"/>
                <w:color w:val="auto"/>
                <w:w w:val="92"/>
              </w:rPr>
              <w:t>For the quarterly period ended</w:t>
            </w:r>
          </w:p>
        </w:tc>
        <w:tc>
          <w:tcPr>
            <w:tcW w:w="2940" w:type="dxa"/>
            <w:vAlign w:val="bottom"/>
            <w:tcBorders>
              <w:bottom w:val="single" w:sz="8" w:color="auto"/>
            </w:tcBorders>
            <w:gridSpan w:val="2"/>
          </w:tcPr>
          <w:p>
            <w:pPr>
              <w:jc w:val="right"/>
              <w:ind w:right="1241"/>
              <w:spacing w:after="0"/>
              <w:rPr>
                <w:sz w:val="20"/>
                <w:szCs w:val="20"/>
                <w:color w:val="auto"/>
              </w:rPr>
            </w:pPr>
            <w:r>
              <w:rPr>
                <w:rFonts w:ascii="Arial" w:cs="Arial" w:eastAsia="Arial" w:hAnsi="Arial"/>
                <w:sz w:val="20"/>
                <w:szCs w:val="20"/>
                <w:color w:val="auto"/>
                <w:w w:val="87"/>
              </w:rPr>
              <w:t>September 30, 2008</w:t>
            </w:r>
          </w:p>
        </w:tc>
      </w:tr>
      <w:tr>
        <w:trPr>
          <w:trHeight w:val="468"/>
        </w:trPr>
        <w:tc>
          <w:tcPr>
            <w:tcW w:w="1160" w:type="dxa"/>
            <w:vAlign w:val="bottom"/>
          </w:tcPr>
          <w:p>
            <w:pPr>
              <w:spacing w:after="0"/>
              <w:rPr>
                <w:sz w:val="20"/>
                <w:szCs w:val="20"/>
                <w:color w:val="auto"/>
              </w:rPr>
            </w:pPr>
            <w:r>
              <w:rPr>
                <w:rFonts w:ascii="Arial" w:cs="Arial" w:eastAsia="Arial" w:hAnsi="Arial"/>
                <w:sz w:val="20"/>
                <w:szCs w:val="20"/>
                <w:color w:val="auto"/>
              </w:rPr>
              <w:t>Commission</w:t>
            </w:r>
          </w:p>
        </w:tc>
        <w:tc>
          <w:tcPr>
            <w:tcW w:w="4660" w:type="dxa"/>
            <w:vAlign w:val="bottom"/>
          </w:tcPr>
          <w:p>
            <w:pPr>
              <w:ind w:left="220"/>
              <w:spacing w:after="0"/>
              <w:rPr>
                <w:sz w:val="20"/>
                <w:szCs w:val="20"/>
                <w:color w:val="auto"/>
              </w:rPr>
            </w:pPr>
            <w:r>
              <w:rPr>
                <w:rFonts w:ascii="Arial" w:cs="Arial" w:eastAsia="Arial" w:hAnsi="Arial"/>
                <w:sz w:val="20"/>
                <w:szCs w:val="20"/>
                <w:color w:val="auto"/>
              </w:rPr>
              <w:t>Name of Registrant as Specified in its Charter,</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State of</w:t>
            </w:r>
          </w:p>
        </w:tc>
        <w:tc>
          <w:tcPr>
            <w:tcW w:w="1680" w:type="dxa"/>
            <w:vAlign w:val="bottom"/>
          </w:tcPr>
          <w:p>
            <w:pPr>
              <w:ind w:left="80"/>
              <w:spacing w:after="0"/>
              <w:rPr>
                <w:sz w:val="20"/>
                <w:szCs w:val="20"/>
                <w:color w:val="auto"/>
              </w:rPr>
            </w:pPr>
            <w:r>
              <w:rPr>
                <w:rFonts w:ascii="Arial" w:cs="Arial" w:eastAsia="Arial" w:hAnsi="Arial"/>
                <w:sz w:val="20"/>
                <w:szCs w:val="20"/>
                <w:color w:val="auto"/>
              </w:rPr>
              <w:t>I.R.S. Employer</w:t>
            </w:r>
          </w:p>
        </w:tc>
      </w:tr>
      <w:tr>
        <w:trPr>
          <w:trHeight w:val="255"/>
        </w:trPr>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File Number</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Address and Telephone Number</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Incorporation</w:t>
            </w:r>
          </w:p>
        </w:tc>
        <w:tc>
          <w:tcPr>
            <w:tcW w:w="16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Identification No.</w:t>
            </w:r>
          </w:p>
        </w:tc>
      </w:tr>
      <w:tr>
        <w:trPr>
          <w:trHeight w:val="225"/>
        </w:trPr>
        <w:tc>
          <w:tcPr>
            <w:tcW w:w="1160" w:type="dxa"/>
            <w:vAlign w:val="bottom"/>
          </w:tcPr>
          <w:p>
            <w:pPr>
              <w:spacing w:after="0" w:line="225" w:lineRule="exact"/>
              <w:rPr>
                <w:sz w:val="20"/>
                <w:szCs w:val="20"/>
                <w:color w:val="auto"/>
              </w:rPr>
            </w:pPr>
            <w:r>
              <w:rPr>
                <w:rFonts w:ascii="Arial" w:cs="Arial" w:eastAsia="Arial" w:hAnsi="Arial"/>
                <w:sz w:val="20"/>
                <w:szCs w:val="20"/>
                <w:color w:val="auto"/>
              </w:rPr>
              <w:t>1-40</w:t>
            </w:r>
          </w:p>
        </w:tc>
        <w:tc>
          <w:tcPr>
            <w:tcW w:w="4660" w:type="dxa"/>
            <w:vAlign w:val="bottom"/>
          </w:tcPr>
          <w:p>
            <w:pPr>
              <w:ind w:left="220"/>
              <w:spacing w:after="0" w:line="225" w:lineRule="exact"/>
              <w:rPr>
                <w:sz w:val="20"/>
                <w:szCs w:val="20"/>
                <w:color w:val="auto"/>
              </w:rPr>
            </w:pPr>
            <w:r>
              <w:rPr>
                <w:rFonts w:ascii="Arial" w:cs="Arial" w:eastAsia="Arial" w:hAnsi="Arial"/>
                <w:sz w:val="20"/>
                <w:szCs w:val="20"/>
                <w:color w:val="auto"/>
              </w:rPr>
              <w:t>PACIFIC ENTERPRISES</w:t>
            </w:r>
          </w:p>
        </w:tc>
        <w:tc>
          <w:tcPr>
            <w:tcW w:w="1260" w:type="dxa"/>
            <w:vAlign w:val="bottom"/>
          </w:tcPr>
          <w:p>
            <w:pPr>
              <w:jc w:val="center"/>
              <w:spacing w:after="0" w:line="225" w:lineRule="exact"/>
              <w:rPr>
                <w:sz w:val="20"/>
                <w:szCs w:val="20"/>
                <w:color w:val="auto"/>
              </w:rPr>
            </w:pPr>
            <w:r>
              <w:rPr>
                <w:rFonts w:ascii="Arial" w:cs="Arial" w:eastAsia="Arial" w:hAnsi="Arial"/>
                <w:sz w:val="20"/>
                <w:szCs w:val="20"/>
                <w:color w:val="auto"/>
                <w:w w:val="94"/>
              </w:rPr>
              <w:t>California</w:t>
            </w:r>
          </w:p>
        </w:tc>
        <w:tc>
          <w:tcPr>
            <w:tcW w:w="1680" w:type="dxa"/>
            <w:vAlign w:val="bottom"/>
          </w:tcPr>
          <w:p>
            <w:pPr>
              <w:jc w:val="right"/>
              <w:ind w:right="261"/>
              <w:spacing w:after="0" w:line="225" w:lineRule="exact"/>
              <w:rPr>
                <w:sz w:val="20"/>
                <w:szCs w:val="20"/>
                <w:color w:val="auto"/>
              </w:rPr>
            </w:pPr>
            <w:r>
              <w:rPr>
                <w:rFonts w:ascii="Arial" w:cs="Arial" w:eastAsia="Arial" w:hAnsi="Arial"/>
                <w:sz w:val="20"/>
                <w:szCs w:val="20"/>
                <w:color w:val="auto"/>
              </w:rPr>
              <w:t>94-0743670</w:t>
            </w:r>
          </w:p>
        </w:tc>
      </w:tr>
      <w:tr>
        <w:trPr>
          <w:trHeight w:val="230"/>
        </w:trPr>
        <w:tc>
          <w:tcPr>
            <w:tcW w:w="11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20"/>
                <w:szCs w:val="20"/>
                <w:color w:val="auto"/>
              </w:rPr>
              <w:t>101 Ash Street</w:t>
            </w:r>
          </w:p>
        </w:tc>
        <w:tc>
          <w:tcPr>
            <w:tcW w:w="12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20"/>
                <w:szCs w:val="20"/>
                <w:color w:val="auto"/>
              </w:rPr>
              <w:t>San Diego, California 92101</w:t>
            </w:r>
          </w:p>
        </w:tc>
        <w:tc>
          <w:tcPr>
            <w:tcW w:w="12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50"/>
        </w:trPr>
        <w:tc>
          <w:tcPr>
            <w:tcW w:w="1160" w:type="dxa"/>
            <w:vAlign w:val="bottom"/>
          </w:tcPr>
          <w:p>
            <w:pPr>
              <w:spacing w:after="0"/>
              <w:rPr>
                <w:sz w:val="21"/>
                <w:szCs w:val="21"/>
                <w:color w:val="auto"/>
              </w:rPr>
            </w:pPr>
          </w:p>
        </w:tc>
        <w:tc>
          <w:tcPr>
            <w:tcW w:w="4660" w:type="dxa"/>
            <w:vAlign w:val="bottom"/>
          </w:tcPr>
          <w:p>
            <w:pPr>
              <w:ind w:left="220"/>
              <w:spacing w:after="0"/>
              <w:rPr>
                <w:sz w:val="20"/>
                <w:szCs w:val="20"/>
                <w:color w:val="auto"/>
              </w:rPr>
            </w:pPr>
            <w:r>
              <w:rPr>
                <w:rFonts w:ascii="Arial" w:cs="Arial" w:eastAsia="Arial" w:hAnsi="Arial"/>
                <w:sz w:val="20"/>
                <w:szCs w:val="20"/>
                <w:color w:val="auto"/>
              </w:rPr>
              <w:t>(619) 696-2020</w:t>
            </w:r>
          </w:p>
        </w:tc>
        <w:tc>
          <w:tcPr>
            <w:tcW w:w="12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492"/>
        </w:trPr>
        <w:tc>
          <w:tcPr>
            <w:tcW w:w="1160" w:type="dxa"/>
            <w:vAlign w:val="bottom"/>
          </w:tcPr>
          <w:p>
            <w:pPr>
              <w:spacing w:after="0"/>
              <w:rPr>
                <w:sz w:val="20"/>
                <w:szCs w:val="20"/>
                <w:color w:val="auto"/>
              </w:rPr>
            </w:pPr>
            <w:r>
              <w:rPr>
                <w:rFonts w:ascii="Arial" w:cs="Arial" w:eastAsia="Arial" w:hAnsi="Arial"/>
                <w:sz w:val="20"/>
                <w:szCs w:val="20"/>
                <w:color w:val="auto"/>
              </w:rPr>
              <w:t>1-1402</w:t>
            </w:r>
          </w:p>
        </w:tc>
        <w:tc>
          <w:tcPr>
            <w:tcW w:w="4660" w:type="dxa"/>
            <w:vAlign w:val="bottom"/>
          </w:tcPr>
          <w:p>
            <w:pPr>
              <w:ind w:left="220"/>
              <w:spacing w:after="0"/>
              <w:rPr>
                <w:sz w:val="20"/>
                <w:szCs w:val="20"/>
                <w:color w:val="auto"/>
              </w:rPr>
            </w:pPr>
            <w:r>
              <w:rPr>
                <w:rFonts w:ascii="Arial" w:cs="Arial" w:eastAsia="Arial" w:hAnsi="Arial"/>
                <w:sz w:val="20"/>
                <w:szCs w:val="20"/>
                <w:color w:val="auto"/>
              </w:rPr>
              <w:t>SOUTHERN CALIFORNIA GAS COMPANY</w:t>
            </w:r>
          </w:p>
        </w:tc>
        <w:tc>
          <w:tcPr>
            <w:tcW w:w="1260" w:type="dxa"/>
            <w:vAlign w:val="bottom"/>
          </w:tcPr>
          <w:p>
            <w:pPr>
              <w:jc w:val="center"/>
              <w:spacing w:after="0"/>
              <w:rPr>
                <w:sz w:val="20"/>
                <w:szCs w:val="20"/>
                <w:color w:val="auto"/>
              </w:rPr>
            </w:pPr>
            <w:r>
              <w:rPr>
                <w:rFonts w:ascii="Arial" w:cs="Arial" w:eastAsia="Arial" w:hAnsi="Arial"/>
                <w:sz w:val="20"/>
                <w:szCs w:val="20"/>
                <w:color w:val="auto"/>
                <w:w w:val="94"/>
              </w:rPr>
              <w:t>California</w:t>
            </w:r>
          </w:p>
        </w:tc>
        <w:tc>
          <w:tcPr>
            <w:tcW w:w="1680" w:type="dxa"/>
            <w:vAlign w:val="bottom"/>
          </w:tcPr>
          <w:p>
            <w:pPr>
              <w:jc w:val="right"/>
              <w:ind w:right="261"/>
              <w:spacing w:after="0"/>
              <w:rPr>
                <w:sz w:val="20"/>
                <w:szCs w:val="20"/>
                <w:color w:val="auto"/>
              </w:rPr>
            </w:pPr>
            <w:r>
              <w:rPr>
                <w:rFonts w:ascii="Arial" w:cs="Arial" w:eastAsia="Arial" w:hAnsi="Arial"/>
                <w:sz w:val="20"/>
                <w:szCs w:val="20"/>
                <w:color w:val="auto"/>
              </w:rPr>
              <w:t>95-1240705</w:t>
            </w:r>
          </w:p>
        </w:tc>
      </w:tr>
      <w:tr>
        <w:trPr>
          <w:trHeight w:val="230"/>
        </w:trPr>
        <w:tc>
          <w:tcPr>
            <w:tcW w:w="11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20"/>
                <w:szCs w:val="20"/>
                <w:color w:val="auto"/>
              </w:rPr>
              <w:t>555 West Fifth Street</w:t>
            </w:r>
          </w:p>
        </w:tc>
        <w:tc>
          <w:tcPr>
            <w:tcW w:w="12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20"/>
                <w:szCs w:val="20"/>
                <w:color w:val="auto"/>
              </w:rPr>
              <w:t>Los Angeles, California 90013</w:t>
            </w:r>
          </w:p>
        </w:tc>
        <w:tc>
          <w:tcPr>
            <w:tcW w:w="12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50"/>
        </w:trPr>
        <w:tc>
          <w:tcPr>
            <w:tcW w:w="1160" w:type="dxa"/>
            <w:vAlign w:val="bottom"/>
          </w:tcPr>
          <w:p>
            <w:pPr>
              <w:spacing w:after="0"/>
              <w:rPr>
                <w:sz w:val="21"/>
                <w:szCs w:val="21"/>
                <w:color w:val="auto"/>
              </w:rPr>
            </w:pPr>
          </w:p>
        </w:tc>
        <w:tc>
          <w:tcPr>
            <w:tcW w:w="4660" w:type="dxa"/>
            <w:vAlign w:val="bottom"/>
          </w:tcPr>
          <w:p>
            <w:pPr>
              <w:ind w:left="220"/>
              <w:spacing w:after="0"/>
              <w:rPr>
                <w:sz w:val="20"/>
                <w:szCs w:val="20"/>
                <w:color w:val="auto"/>
              </w:rPr>
            </w:pPr>
            <w:r>
              <w:rPr>
                <w:rFonts w:ascii="Arial" w:cs="Arial" w:eastAsia="Arial" w:hAnsi="Arial"/>
                <w:sz w:val="20"/>
                <w:szCs w:val="20"/>
                <w:color w:val="auto"/>
              </w:rPr>
              <w:t>(213) 244-1200</w:t>
            </w:r>
          </w:p>
        </w:tc>
        <w:tc>
          <w:tcPr>
            <w:tcW w:w="126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line="200" w:lineRule="exact"/>
        <w:rPr>
          <w:sz w:val="24"/>
          <w:szCs w:val="24"/>
          <w:color w:val="auto"/>
        </w:rPr>
      </w:pPr>
    </w:p>
    <w:p>
      <w:pPr>
        <w:spacing w:after="0" w:line="292"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No 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19050</wp:posOffset>
            </wp:positionV>
            <wp:extent cx="5480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(Former name, former address and former fiscal year, if changed since last report)</w:t>
      </w:r>
    </w:p>
    <w:p>
      <w:pPr>
        <w:spacing w:after="0" w:line="283" w:lineRule="exact"/>
        <w:rPr>
          <w:sz w:val="24"/>
          <w:szCs w:val="24"/>
          <w:color w:val="auto"/>
        </w:rPr>
      </w:pPr>
    </w:p>
    <w:p>
      <w:pPr>
        <w:ind w:left="220" w:right="299"/>
        <w:spacing w:after="0" w:line="246"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46" w:lineRule="exact"/>
        <w:rPr>
          <w:sz w:val="24"/>
          <w:szCs w:val="24"/>
          <w:color w:val="auto"/>
        </w:rPr>
      </w:pPr>
    </w:p>
    <w:p>
      <w:pPr>
        <w:ind w:left="5100"/>
        <w:spacing w:after="0"/>
        <w:tabs>
          <w:tab w:leader="none" w:pos="6040" w:val="left"/>
          <w:tab w:leader="none" w:pos="712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3651250</wp:posOffset>
            </wp:positionH>
            <wp:positionV relativeFrom="paragraph">
              <wp:posOffset>19050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19050</wp:posOffset>
            </wp:positionV>
            <wp:extent cx="797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50" w:lineRule="exact"/>
        <w:rPr>
          <w:sz w:val="24"/>
          <w:szCs w:val="24"/>
          <w:color w:val="auto"/>
        </w:rPr>
      </w:pPr>
    </w:p>
    <w:p>
      <w:pPr>
        <w:ind w:left="100" w:right="199"/>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40" w:lineRule="exact"/>
        <w:rPr>
          <w:sz w:val="24"/>
          <w:szCs w:val="24"/>
          <w:color w:val="auto"/>
        </w:rPr>
      </w:pPr>
    </w:p>
    <w:p>
      <w:pPr>
        <w:ind w:left="100"/>
        <w:spacing w:after="0"/>
        <w:tabs>
          <w:tab w:leader="none" w:pos="2520" w:val="left"/>
          <w:tab w:leader="none" w:pos="3280" w:val="left"/>
          <w:tab w:leader="none" w:pos="5260" w:val="left"/>
          <w:tab w:leader="none" w:pos="6020" w:val="left"/>
          <w:tab w:leader="none" w:pos="8260" w:val="left"/>
        </w:tabs>
        <w:rPr>
          <w:sz w:val="20"/>
          <w:szCs w:val="20"/>
          <w:color w:val="auto"/>
        </w:rPr>
      </w:pPr>
      <w:r>
        <w:rPr>
          <w:rFonts w:ascii="Arial" w:cs="Arial" w:eastAsia="Arial" w:hAnsi="Arial"/>
          <w:sz w:val="20"/>
          <w:szCs w:val="20"/>
          <w:color w:val="auto"/>
        </w:rPr>
        <w:t>Large accelerated filer</w:t>
      </w:r>
      <w:r>
        <w:rPr>
          <w:sz w:val="20"/>
          <w:szCs w:val="20"/>
          <w:color w:val="auto"/>
        </w:rPr>
        <w:tab/>
      </w: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Accelerated filer</w:t>
      </w:r>
      <w:r>
        <w:rPr>
          <w:sz w:val="20"/>
          <w:szCs w:val="20"/>
          <w:color w:val="auto"/>
        </w:rPr>
        <w:tab/>
      </w: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Non-accelerated filer</w:t>
      </w:r>
      <w:r>
        <w:rPr>
          <w:sz w:val="20"/>
          <w:szCs w:val="20"/>
          <w:color w:val="auto"/>
        </w:rPr>
        <w:tab/>
      </w:r>
      <w:r>
        <w:rPr>
          <w:rFonts w:ascii="Arial" w:cs="Arial" w:eastAsia="Arial" w:hAnsi="Arial"/>
          <w:sz w:val="20"/>
          <w:szCs w:val="20"/>
          <w:color w:val="auto"/>
        </w:rPr>
        <w:t>[ X ]</w:t>
      </w:r>
    </w:p>
    <w:p>
      <w:pPr>
        <w:spacing w:after="0" w:line="200" w:lineRule="exact"/>
        <w:rPr>
          <w:sz w:val="24"/>
          <w:szCs w:val="24"/>
          <w:color w:val="auto"/>
        </w:rPr>
      </w:pPr>
    </w:p>
    <w:p>
      <w:pPr>
        <w:spacing w:after="0" w:line="299" w:lineRule="exact"/>
        <w:rPr>
          <w:sz w:val="24"/>
          <w:szCs w:val="24"/>
          <w:color w:val="auto"/>
        </w:rPr>
      </w:pPr>
    </w:p>
    <w:p>
      <w:pPr>
        <w:ind w:left="100" w:right="379"/>
        <w:spacing w:after="0" w:line="253" w:lineRule="auto"/>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1" w:lineRule="exact"/>
        <w:rPr>
          <w:sz w:val="24"/>
          <w:szCs w:val="24"/>
          <w:color w:val="auto"/>
        </w:rPr>
      </w:pPr>
    </w:p>
    <w:p>
      <w:pPr>
        <w:ind w:left="4760"/>
        <w:spacing w:after="0"/>
        <w:tabs>
          <w:tab w:leader="none" w:pos="7160" w:val="left"/>
          <w:tab w:leader="none" w:pos="820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3428365</wp:posOffset>
            </wp:positionH>
            <wp:positionV relativeFrom="paragraph">
              <wp:posOffset>19050</wp:posOffset>
            </wp:positionV>
            <wp:extent cx="746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19050</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0" w:lineRule="exact"/>
        <w:rPr>
          <w:sz w:val="24"/>
          <w:szCs w:val="24"/>
          <w:color w:val="auto"/>
        </w:rPr>
      </w:pPr>
    </w:p>
    <w:p>
      <w:pPr>
        <w:ind w:left="100" w:right="599"/>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the latest practicable date.</w:t>
      </w:r>
    </w:p>
    <w:p>
      <w:pPr>
        <w:spacing w:after="0" w:line="231" w:lineRule="exact"/>
        <w:rPr>
          <w:sz w:val="24"/>
          <w:szCs w:val="24"/>
          <w:color w:val="auto"/>
        </w:rPr>
      </w:pPr>
    </w:p>
    <w:tbl>
      <w:tblPr>
        <w:tblLayout w:type="fixed"/>
        <w:tblInd w:w="100" w:type="dxa"/>
        <w:tblCellMar>
          <w:top w:w="0" w:type="dxa"/>
          <w:left w:w="0" w:type="dxa"/>
          <w:bottom w:w="0" w:type="dxa"/>
          <w:right w:w="0" w:type="dxa"/>
        </w:tblCellMar>
      </w:tblPr>
      <w:tr>
        <w:trPr>
          <w:trHeight w:val="250"/>
        </w:trPr>
        <w:tc>
          <w:tcPr>
            <w:tcW w:w="3600" w:type="dxa"/>
            <w:vAlign w:val="bottom"/>
          </w:tcPr>
          <w:p>
            <w:pPr>
              <w:spacing w:after="0"/>
              <w:rPr>
                <w:sz w:val="20"/>
                <w:szCs w:val="20"/>
                <w:color w:val="auto"/>
              </w:rPr>
            </w:pPr>
            <w:r>
              <w:rPr>
                <w:rFonts w:ascii="Arial" w:cs="Arial" w:eastAsia="Arial" w:hAnsi="Arial"/>
                <w:sz w:val="20"/>
                <w:szCs w:val="20"/>
                <w:color w:val="auto"/>
              </w:rPr>
              <w:t>Common stock outstanding:</w:t>
            </w:r>
          </w:p>
        </w:tc>
        <w:tc>
          <w:tcPr>
            <w:tcW w:w="5260" w:type="dxa"/>
            <w:vAlign w:val="bottom"/>
          </w:tcPr>
          <w:p>
            <w:pPr>
              <w:spacing w:after="0"/>
              <w:rPr>
                <w:sz w:val="21"/>
                <w:szCs w:val="21"/>
                <w:color w:val="auto"/>
              </w:rPr>
            </w:pPr>
          </w:p>
        </w:tc>
      </w:tr>
      <w:tr>
        <w:trPr>
          <w:trHeight w:val="257"/>
        </w:trPr>
        <w:tc>
          <w:tcPr>
            <w:tcW w:w="3600" w:type="dxa"/>
            <w:vAlign w:val="bottom"/>
          </w:tcPr>
          <w:p>
            <w:pPr>
              <w:spacing w:after="0"/>
              <w:rPr>
                <w:sz w:val="20"/>
                <w:szCs w:val="20"/>
                <w:color w:val="auto"/>
              </w:rPr>
            </w:pPr>
            <w:r>
              <w:rPr>
                <w:rFonts w:ascii="Arial" w:cs="Arial" w:eastAsia="Arial" w:hAnsi="Arial"/>
                <w:sz w:val="20"/>
                <w:szCs w:val="20"/>
                <w:color w:val="auto"/>
              </w:rPr>
              <w:t>Pacific Enterprises</w:t>
            </w:r>
          </w:p>
        </w:tc>
        <w:tc>
          <w:tcPr>
            <w:tcW w:w="5260" w:type="dxa"/>
            <w:vAlign w:val="bottom"/>
          </w:tcPr>
          <w:p>
            <w:pPr>
              <w:ind w:left="860"/>
              <w:spacing w:after="0"/>
              <w:rPr>
                <w:sz w:val="20"/>
                <w:szCs w:val="20"/>
                <w:color w:val="auto"/>
              </w:rPr>
            </w:pPr>
            <w:r>
              <w:rPr>
                <w:rFonts w:ascii="Arial" w:cs="Arial" w:eastAsia="Arial" w:hAnsi="Arial"/>
                <w:sz w:val="20"/>
                <w:szCs w:val="20"/>
                <w:color w:val="auto"/>
              </w:rPr>
              <w:t>Wholly owned by Sempra Energy</w:t>
            </w:r>
          </w:p>
        </w:tc>
      </w:tr>
      <w:tr>
        <w:trPr>
          <w:trHeight w:val="257"/>
        </w:trPr>
        <w:tc>
          <w:tcPr>
            <w:tcW w:w="3600" w:type="dxa"/>
            <w:vAlign w:val="bottom"/>
          </w:tcPr>
          <w:p>
            <w:pPr>
              <w:spacing w:after="0"/>
              <w:rPr>
                <w:sz w:val="20"/>
                <w:szCs w:val="20"/>
                <w:color w:val="auto"/>
              </w:rPr>
            </w:pPr>
            <w:r>
              <w:rPr>
                <w:rFonts w:ascii="Arial" w:cs="Arial" w:eastAsia="Arial" w:hAnsi="Arial"/>
                <w:sz w:val="20"/>
                <w:szCs w:val="20"/>
                <w:color w:val="auto"/>
              </w:rPr>
              <w:t>Southern California Gas Company</w:t>
            </w:r>
          </w:p>
        </w:tc>
        <w:tc>
          <w:tcPr>
            <w:tcW w:w="5260" w:type="dxa"/>
            <w:vAlign w:val="bottom"/>
          </w:tcPr>
          <w:p>
            <w:pPr>
              <w:ind w:left="860"/>
              <w:spacing w:after="0"/>
              <w:rPr>
                <w:sz w:val="20"/>
                <w:szCs w:val="20"/>
                <w:color w:val="auto"/>
              </w:rPr>
            </w:pPr>
            <w:r>
              <w:rPr>
                <w:rFonts w:ascii="Arial" w:cs="Arial" w:eastAsia="Arial" w:hAnsi="Arial"/>
                <w:sz w:val="20"/>
                <w:szCs w:val="20"/>
                <w:color w:val="auto"/>
              </w:rPr>
              <w:t>Wholly owned by Pacific Enterprises</w:t>
            </w:r>
          </w:p>
        </w:tc>
      </w:tr>
      <w:tr>
        <w:trPr>
          <w:trHeight w:val="273"/>
        </w:trPr>
        <w:tc>
          <w:tcPr>
            <w:tcW w:w="3600" w:type="dxa"/>
            <w:vAlign w:val="bottom"/>
            <w:tcBorders>
              <w:bottom w:val="single" w:sz="8" w:color="auto"/>
            </w:tcBorders>
          </w:tcPr>
          <w:p>
            <w:pPr>
              <w:spacing w:after="0"/>
              <w:rPr>
                <w:sz w:val="23"/>
                <w:szCs w:val="23"/>
                <w:color w:val="auto"/>
              </w:rPr>
            </w:pPr>
          </w:p>
        </w:tc>
        <w:tc>
          <w:tcPr>
            <w:tcW w:w="5260" w:type="dxa"/>
            <w:vAlign w:val="bottom"/>
            <w:tcBorders>
              <w:bottom w:val="single" w:sz="8" w:color="auto"/>
            </w:tcBorders>
          </w:tcPr>
          <w:p>
            <w:pPr>
              <w:spacing w:after="0"/>
              <w:rPr>
                <w:sz w:val="23"/>
                <w:szCs w:val="23"/>
                <w:color w:val="auto"/>
              </w:rPr>
            </w:pPr>
          </w:p>
        </w:tc>
      </w:tr>
      <w:tr>
        <w:trPr>
          <w:trHeight w:val="243"/>
        </w:trPr>
        <w:tc>
          <w:tcPr>
            <w:tcW w:w="360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19"/>
          </w:cols>
          <w:pgMar w:left="1440" w:top="1440"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0"/>
          <w:szCs w:val="20"/>
          <w:color w:val="auto"/>
        </w:rPr>
        <w:t>INFORMATION REGARDING FORWARD-LOOKING STATEMENTS</w:t>
      </w:r>
    </w:p>
    <w:p>
      <w:pPr>
        <w:spacing w:after="0" w:line="216"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This Quarterly Report contains statements that are not historical fact and constitute forward-looking statements within the meaning of the Private Securities Litigation Reform Act of 1995. The words "believes," "expects," "anticipates," "plans," "estimates," "projects," "contemplates," "intends," "depends," "should," "could," "would," "may," "potential," "target," "goals," or similar expressions, or discussions of strategy or of plans are intended to identify forward-looking statements. Forward-looking statements are necessarily based upon assumptions with respect to the future, involve risks and uncertainties and are not guarantees of performance. Factors, among others, that could cause the company's actual results and future actions to differ materially from those described in forward-looking statements include:</w:t>
      </w:r>
    </w:p>
    <w:p>
      <w:pPr>
        <w:spacing w:after="0" w:line="16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local, regional and national economic, competitive, political, legislative and regulatory conditions and developments;</w:t>
      </w:r>
    </w:p>
    <w:p>
      <w:pPr>
        <w:spacing w:after="0" w:line="15" w:lineRule="exact"/>
        <w:rPr>
          <w:rFonts w:ascii="Arial" w:cs="Arial" w:eastAsia="Arial" w:hAnsi="Arial"/>
          <w:sz w:val="20"/>
          <w:szCs w:val="20"/>
          <w:color w:val="auto"/>
        </w:rPr>
      </w:pPr>
    </w:p>
    <w:p>
      <w:pPr>
        <w:ind w:left="660" w:right="260" w:hanging="328"/>
        <w:spacing w:after="0" w:line="239"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actions by the California Public Utilities Commission, the California State Legislature, the Federal Energy Regulatory Commission and other regulatory bodies in the United States;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capital markets conditions, inflation rates, interest rates and exchange rates;</w:t>
      </w: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energy and trading markets, including the timing and extent of changes in commodity prices;</w:t>
      </w: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availability of natural gas and liquefied natural gas;</w:t>
      </w: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weather conditions and conservation efforts;</w:t>
      </w: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war and terrorist attacks;</w:t>
      </w: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business, regulatory, environmental and legal decisions and requirements;</w:t>
      </w: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status of deregulation of retail natural gas and electricity delivery;</w:t>
      </w: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timing and success of business development efforts;</w:t>
      </w: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resolution of litigation; and</w:t>
      </w: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other uncertainties, all of which are difficult to predict and many of which are beyond the control of the companies.</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Readers are cautioned not to rely unduly on any forward-looking statements and are urged to review and consider carefully the risks, uncertainties and other factors which affect the companies' business described in this report and other reports filed by the companies from time to time with the Securities and Exchange Commission. These forward-looking statements represent the company's estimates and assumptions only as of the date of this report.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20"/>
          </w:cols>
          <w:pgMar w:left="240" w:top="987" w:right="339" w:bottom="1440" w:gutter="0" w:footer="0" w:header="0"/>
        </w:sectPr>
      </w:pPr>
    </w:p>
    <w:bookmarkStart w:id="2" w:name="page3"/>
    <w:bookmarkEnd w:id="2"/>
    <w:p>
      <w:pPr>
        <w:ind w:left="1060"/>
        <w:spacing w:after="0"/>
        <w:rPr>
          <w:sz w:val="20"/>
          <w:szCs w:val="20"/>
          <w:color w:val="auto"/>
        </w:rPr>
      </w:pPr>
      <w:r>
        <w:rPr>
          <w:rFonts w:ascii="Arial" w:cs="Arial" w:eastAsia="Arial" w:hAnsi="Arial"/>
          <w:sz w:val="18"/>
          <w:szCs w:val="18"/>
          <w:color w:val="auto"/>
        </w:rPr>
        <w:t>PART I. FINANCIAL INFORMATION</w:t>
      </w:r>
    </w:p>
    <w:p>
      <w:pPr>
        <w:spacing w:after="0" w:line="3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ITEM 1. CONDENSED CONSOLIDATED FINANCIAL STATEMENTS</w:t>
      </w:r>
    </w:p>
    <w:p>
      <w:pPr>
        <w:spacing w:after="0" w:line="27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PACIFIC ENTERPRISES AND SUBSIDIARIES</w:t>
      </w:r>
    </w:p>
    <w:p>
      <w:pPr>
        <w:spacing w:after="0" w:line="3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STATEMENTS OF CONSOLIDATED INCOME</w:t>
      </w:r>
    </w:p>
    <w:p>
      <w:pPr>
        <w:spacing w:after="0" w:line="27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8"/>
                <w:szCs w:val="18"/>
                <w:color w:val="auto"/>
                <w:w w:val="96"/>
              </w:rPr>
              <w:t>Three months ended</w:t>
            </w:r>
          </w:p>
        </w:tc>
        <w:tc>
          <w:tcPr>
            <w:tcW w:w="440" w:type="dxa"/>
            <w:vAlign w:val="bottom"/>
          </w:tcPr>
          <w:p>
            <w:pPr>
              <w:spacing w:after="0"/>
              <w:rPr>
                <w:sz w:val="18"/>
                <w:szCs w:val="18"/>
                <w:color w:val="auto"/>
              </w:rPr>
            </w:pPr>
          </w:p>
        </w:tc>
        <w:tc>
          <w:tcPr>
            <w:tcW w:w="1880" w:type="dxa"/>
            <w:vAlign w:val="bottom"/>
            <w:gridSpan w:val="3"/>
          </w:tcPr>
          <w:p>
            <w:pPr>
              <w:jc w:val="right"/>
              <w:ind w:right="370"/>
              <w:spacing w:after="0"/>
              <w:rPr>
                <w:sz w:val="20"/>
                <w:szCs w:val="20"/>
                <w:color w:val="auto"/>
              </w:rPr>
            </w:pPr>
            <w:r>
              <w:rPr>
                <w:rFonts w:ascii="Arial" w:cs="Arial" w:eastAsia="Arial" w:hAnsi="Arial"/>
                <w:sz w:val="18"/>
                <w:szCs w:val="18"/>
                <w:color w:val="auto"/>
                <w:w w:val="89"/>
              </w:rPr>
              <w:t>Nine months ended</w:t>
            </w:r>
          </w:p>
        </w:tc>
      </w:tr>
      <w:tr>
        <w:trPr>
          <w:trHeight w:val="237"/>
        </w:trPr>
        <w:tc>
          <w:tcPr>
            <w:tcW w:w="4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4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3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2008</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r>
      <w:tr>
        <w:trPr>
          <w:trHeight w:val="230"/>
        </w:trPr>
        <w:tc>
          <w:tcPr>
            <w:tcW w:w="4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(unaudited)</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6"/>
        </w:trPr>
        <w:tc>
          <w:tcPr>
            <w:tcW w:w="4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7"/>
        </w:trPr>
        <w:tc>
          <w:tcPr>
            <w:tcW w:w="4720" w:type="dxa"/>
            <w:vAlign w:val="bottom"/>
            <w:shd w:val="clear" w:color="auto" w:fill="CEF9CE"/>
          </w:tcPr>
          <w:p>
            <w:pPr>
              <w:ind w:left="2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1,077</w:t>
            </w:r>
          </w:p>
        </w:tc>
        <w:tc>
          <w:tcPr>
            <w:tcW w:w="34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819</w:t>
            </w:r>
          </w:p>
        </w:tc>
        <w:tc>
          <w:tcPr>
            <w:tcW w:w="44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3,776</w:t>
            </w:r>
          </w:p>
        </w:tc>
        <w:tc>
          <w:tcPr>
            <w:tcW w:w="30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3,168</w:t>
            </w:r>
          </w:p>
        </w:tc>
      </w:tr>
      <w:tr>
        <w:trPr>
          <w:trHeight w:val="243"/>
        </w:trPr>
        <w:tc>
          <w:tcPr>
            <w:tcW w:w="4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720" w:type="dxa"/>
            <w:vAlign w:val="bottom"/>
            <w:shd w:val="clear" w:color="auto" w:fill="CEF9CE"/>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EF9CE"/>
          </w:tcPr>
          <w:p>
            <w:pPr>
              <w:spacing w:after="0"/>
              <w:rPr>
                <w:sz w:val="21"/>
                <w:szCs w:val="21"/>
                <w:color w:val="auto"/>
              </w:rPr>
            </w:pPr>
          </w:p>
        </w:tc>
        <w:tc>
          <w:tcPr>
            <w:tcW w:w="800" w:type="dxa"/>
            <w:vAlign w:val="bottom"/>
            <w:shd w:val="clear" w:color="auto" w:fill="CEF9CE"/>
          </w:tcPr>
          <w:p>
            <w:pPr>
              <w:spacing w:after="0"/>
              <w:rPr>
                <w:sz w:val="21"/>
                <w:szCs w:val="21"/>
                <w:color w:val="auto"/>
              </w:rPr>
            </w:pPr>
          </w:p>
        </w:tc>
        <w:tc>
          <w:tcPr>
            <w:tcW w:w="340" w:type="dxa"/>
            <w:vAlign w:val="bottom"/>
            <w:shd w:val="clear" w:color="auto" w:fill="CEF9CE"/>
          </w:tcPr>
          <w:p>
            <w:pPr>
              <w:spacing w:after="0"/>
              <w:rPr>
                <w:sz w:val="21"/>
                <w:szCs w:val="21"/>
                <w:color w:val="auto"/>
              </w:rPr>
            </w:pPr>
          </w:p>
        </w:tc>
        <w:tc>
          <w:tcPr>
            <w:tcW w:w="880" w:type="dxa"/>
            <w:vAlign w:val="bottom"/>
            <w:shd w:val="clear" w:color="auto" w:fill="CEF9CE"/>
          </w:tcPr>
          <w:p>
            <w:pPr>
              <w:spacing w:after="0"/>
              <w:rPr>
                <w:sz w:val="21"/>
                <w:szCs w:val="21"/>
                <w:color w:val="auto"/>
              </w:rPr>
            </w:pPr>
          </w:p>
        </w:tc>
        <w:tc>
          <w:tcPr>
            <w:tcW w:w="440" w:type="dxa"/>
            <w:vAlign w:val="bottom"/>
            <w:shd w:val="clear" w:color="auto" w:fill="CEF9CE"/>
          </w:tcPr>
          <w:p>
            <w:pPr>
              <w:spacing w:after="0"/>
              <w:rPr>
                <w:sz w:val="21"/>
                <w:szCs w:val="21"/>
                <w:color w:val="auto"/>
              </w:rPr>
            </w:pPr>
          </w:p>
        </w:tc>
        <w:tc>
          <w:tcPr>
            <w:tcW w:w="780" w:type="dxa"/>
            <w:vAlign w:val="bottom"/>
            <w:shd w:val="clear" w:color="auto" w:fill="CEF9CE"/>
          </w:tcPr>
          <w:p>
            <w:pPr>
              <w:spacing w:after="0"/>
              <w:rPr>
                <w:sz w:val="21"/>
                <w:szCs w:val="21"/>
                <w:color w:val="auto"/>
              </w:rPr>
            </w:pPr>
          </w:p>
        </w:tc>
        <w:tc>
          <w:tcPr>
            <w:tcW w:w="300" w:type="dxa"/>
            <w:vAlign w:val="bottom"/>
            <w:shd w:val="clear" w:color="auto" w:fill="CEF9CE"/>
          </w:tcPr>
          <w:p>
            <w:pPr>
              <w:spacing w:after="0"/>
              <w:rPr>
                <w:sz w:val="21"/>
                <w:szCs w:val="21"/>
                <w:color w:val="auto"/>
              </w:rPr>
            </w:pPr>
          </w:p>
        </w:tc>
        <w:tc>
          <w:tcPr>
            <w:tcW w:w="800" w:type="dxa"/>
            <w:vAlign w:val="bottom"/>
            <w:shd w:val="clear" w:color="auto" w:fill="CEF9CE"/>
          </w:tcPr>
          <w:p>
            <w:pPr>
              <w:spacing w:after="0"/>
              <w:rPr>
                <w:sz w:val="21"/>
                <w:szCs w:val="2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Cost of natural gas</w:t>
            </w: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609</w:t>
            </w:r>
          </w:p>
        </w:tc>
        <w:tc>
          <w:tcPr>
            <w:tcW w:w="3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2,369</w:t>
            </w:r>
          </w:p>
        </w:tc>
        <w:tc>
          <w:tcPr>
            <w:tcW w:w="3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1,791</w:t>
            </w:r>
          </w:p>
        </w:tc>
      </w:tr>
      <w:tr>
        <w:trPr>
          <w:trHeight w:val="249"/>
        </w:trPr>
        <w:tc>
          <w:tcPr>
            <w:tcW w:w="4720" w:type="dxa"/>
            <w:vAlign w:val="bottom"/>
            <w:shd w:val="clear" w:color="auto" w:fill="CEF9CE"/>
          </w:tcPr>
          <w:p>
            <w:pPr>
              <w:ind w:left="200"/>
              <w:spacing w:after="0"/>
              <w:rPr>
                <w:sz w:val="20"/>
                <w:szCs w:val="20"/>
                <w:color w:val="auto"/>
              </w:rPr>
            </w:pPr>
            <w:r>
              <w:rPr>
                <w:rFonts w:ascii="Arial" w:cs="Arial" w:eastAsia="Arial" w:hAnsi="Arial"/>
                <w:sz w:val="18"/>
                <w:szCs w:val="18"/>
                <w:color w:val="auto"/>
              </w:rPr>
              <w:t>Other operating expenses</w:t>
            </w:r>
          </w:p>
        </w:tc>
        <w:tc>
          <w:tcPr>
            <w:tcW w:w="28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EF9CE"/>
          </w:tcPr>
          <w:p>
            <w:pPr>
              <w:spacing w:after="0"/>
              <w:rPr>
                <w:sz w:val="21"/>
                <w:szCs w:val="21"/>
                <w:color w:val="auto"/>
              </w:rPr>
            </w:pPr>
          </w:p>
        </w:tc>
        <w:tc>
          <w:tcPr>
            <w:tcW w:w="88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254</w:t>
            </w:r>
          </w:p>
        </w:tc>
        <w:tc>
          <w:tcPr>
            <w:tcW w:w="440" w:type="dxa"/>
            <w:vAlign w:val="bottom"/>
            <w:shd w:val="clear" w:color="auto" w:fill="CEF9CE"/>
          </w:tcPr>
          <w:p>
            <w:pPr>
              <w:spacing w:after="0"/>
              <w:rPr>
                <w:sz w:val="21"/>
                <w:szCs w:val="21"/>
                <w:color w:val="auto"/>
              </w:rPr>
            </w:pPr>
          </w:p>
        </w:tc>
        <w:tc>
          <w:tcPr>
            <w:tcW w:w="78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756</w:t>
            </w:r>
          </w:p>
        </w:tc>
        <w:tc>
          <w:tcPr>
            <w:tcW w:w="30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746</w:t>
            </w: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210</w:t>
            </w:r>
          </w:p>
        </w:tc>
      </w:tr>
      <w:tr>
        <w:trPr>
          <w:trHeight w:val="249"/>
        </w:trPr>
        <w:tc>
          <w:tcPr>
            <w:tcW w:w="4720" w:type="dxa"/>
            <w:vAlign w:val="bottom"/>
            <w:tcBorders>
              <w:bottom w:val="single" w:sz="8" w:color="CEF9CE"/>
            </w:tcBorders>
            <w:shd w:val="clear" w:color="auto" w:fill="CEF9CE"/>
          </w:tcPr>
          <w:p>
            <w:pPr>
              <w:ind w:left="200"/>
              <w:spacing w:after="0"/>
              <w:rPr>
                <w:sz w:val="20"/>
                <w:szCs w:val="20"/>
                <w:color w:val="auto"/>
              </w:rPr>
            </w:pPr>
            <w:r>
              <w:rPr>
                <w:rFonts w:ascii="Arial" w:cs="Arial" w:eastAsia="Arial" w:hAnsi="Arial"/>
                <w:sz w:val="18"/>
                <w:szCs w:val="18"/>
                <w:color w:val="auto"/>
              </w:rPr>
              <w:t>Franchise fees and other taxes</w:t>
            </w:r>
          </w:p>
        </w:tc>
        <w:tc>
          <w:tcPr>
            <w:tcW w:w="280" w:type="dxa"/>
            <w:vAlign w:val="bottom"/>
            <w:tcBorders>
              <w:bottom w:val="single" w:sz="8" w:color="auto"/>
            </w:tcBorders>
            <w:shd w:val="clear" w:color="auto" w:fill="CEF9CE"/>
          </w:tcPr>
          <w:p>
            <w:pPr>
              <w:spacing w:after="0"/>
              <w:rPr>
                <w:sz w:val="21"/>
                <w:szCs w:val="21"/>
                <w:color w:val="auto"/>
              </w:rPr>
            </w:pP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auto"/>
            </w:tcBorders>
            <w:shd w:val="clear" w:color="auto" w:fill="CEF9CE"/>
          </w:tcPr>
          <w:p>
            <w:pPr>
              <w:spacing w:after="0"/>
              <w:rPr>
                <w:sz w:val="21"/>
                <w:szCs w:val="21"/>
                <w:color w:val="auto"/>
              </w:rPr>
            </w:pPr>
          </w:p>
        </w:tc>
        <w:tc>
          <w:tcPr>
            <w:tcW w:w="88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26</w:t>
            </w:r>
          </w:p>
        </w:tc>
        <w:tc>
          <w:tcPr>
            <w:tcW w:w="440" w:type="dxa"/>
            <w:vAlign w:val="bottom"/>
            <w:tcBorders>
              <w:bottom w:val="single" w:sz="8" w:color="auto"/>
            </w:tcBorders>
            <w:shd w:val="clear" w:color="auto" w:fill="CEF9CE"/>
          </w:tcPr>
          <w:p>
            <w:pPr>
              <w:spacing w:after="0"/>
              <w:rPr>
                <w:sz w:val="21"/>
                <w:szCs w:val="21"/>
                <w:color w:val="auto"/>
              </w:rPr>
            </w:pPr>
          </w:p>
        </w:tc>
        <w:tc>
          <w:tcPr>
            <w:tcW w:w="78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shd w:val="clear" w:color="auto" w:fill="CEF9CE"/>
          </w:tcPr>
          <w:p>
            <w:pPr>
              <w:spacing w:after="0"/>
              <w:rPr>
                <w:sz w:val="21"/>
                <w:szCs w:val="21"/>
                <w:color w:val="auto"/>
              </w:rPr>
            </w:pP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91</w:t>
            </w:r>
          </w:p>
        </w:tc>
      </w:tr>
      <w:tr>
        <w:trPr>
          <w:trHeight w:val="237"/>
        </w:trPr>
        <w:tc>
          <w:tcPr>
            <w:tcW w:w="472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946</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701</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3,434</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2,838</w:t>
            </w:r>
          </w:p>
        </w:tc>
      </w:tr>
      <w:tr>
        <w:trPr>
          <w:trHeight w:val="237"/>
        </w:trPr>
        <w:tc>
          <w:tcPr>
            <w:tcW w:w="4720" w:type="dxa"/>
            <w:vAlign w:val="bottom"/>
            <w:shd w:val="clear" w:color="auto" w:fill="CEF9CE"/>
          </w:tcPr>
          <w:p>
            <w:pPr>
              <w:spacing w:after="0"/>
              <w:rPr>
                <w:sz w:val="20"/>
                <w:szCs w:val="20"/>
                <w:color w:val="auto"/>
              </w:rPr>
            </w:pPr>
          </w:p>
        </w:tc>
        <w:tc>
          <w:tcPr>
            <w:tcW w:w="280" w:type="dxa"/>
            <w:vAlign w:val="bottom"/>
            <w:shd w:val="clear" w:color="auto" w:fill="CEF9CE"/>
          </w:tcPr>
          <w:p>
            <w:pPr>
              <w:spacing w:after="0"/>
              <w:rPr>
                <w:sz w:val="20"/>
                <w:szCs w:val="20"/>
                <w:color w:val="auto"/>
              </w:rPr>
            </w:pPr>
          </w:p>
        </w:tc>
        <w:tc>
          <w:tcPr>
            <w:tcW w:w="800" w:type="dxa"/>
            <w:vAlign w:val="bottom"/>
            <w:shd w:val="clear" w:color="auto" w:fill="CEF9CE"/>
          </w:tcPr>
          <w:p>
            <w:pPr>
              <w:spacing w:after="0"/>
              <w:rPr>
                <w:sz w:val="20"/>
                <w:szCs w:val="20"/>
                <w:color w:val="auto"/>
              </w:rPr>
            </w:pPr>
          </w:p>
        </w:tc>
        <w:tc>
          <w:tcPr>
            <w:tcW w:w="340" w:type="dxa"/>
            <w:vAlign w:val="bottom"/>
            <w:shd w:val="clear" w:color="auto" w:fill="CEF9CE"/>
          </w:tcPr>
          <w:p>
            <w:pPr>
              <w:spacing w:after="0"/>
              <w:rPr>
                <w:sz w:val="20"/>
                <w:szCs w:val="20"/>
                <w:color w:val="auto"/>
              </w:rPr>
            </w:pPr>
          </w:p>
        </w:tc>
        <w:tc>
          <w:tcPr>
            <w:tcW w:w="880" w:type="dxa"/>
            <w:vAlign w:val="bottom"/>
            <w:shd w:val="clear" w:color="auto" w:fill="CEF9CE"/>
          </w:tcPr>
          <w:p>
            <w:pPr>
              <w:spacing w:after="0"/>
              <w:rPr>
                <w:sz w:val="20"/>
                <w:szCs w:val="20"/>
                <w:color w:val="auto"/>
              </w:rPr>
            </w:pPr>
          </w:p>
        </w:tc>
        <w:tc>
          <w:tcPr>
            <w:tcW w:w="440" w:type="dxa"/>
            <w:vAlign w:val="bottom"/>
            <w:shd w:val="clear" w:color="auto" w:fill="CEF9CE"/>
          </w:tcPr>
          <w:p>
            <w:pPr>
              <w:spacing w:after="0"/>
              <w:rPr>
                <w:sz w:val="20"/>
                <w:szCs w:val="20"/>
                <w:color w:val="auto"/>
              </w:rPr>
            </w:pPr>
          </w:p>
        </w:tc>
        <w:tc>
          <w:tcPr>
            <w:tcW w:w="780" w:type="dxa"/>
            <w:vAlign w:val="bottom"/>
            <w:shd w:val="clear" w:color="auto" w:fill="CEF9CE"/>
          </w:tcPr>
          <w:p>
            <w:pPr>
              <w:spacing w:after="0"/>
              <w:rPr>
                <w:sz w:val="20"/>
                <w:szCs w:val="20"/>
                <w:color w:val="auto"/>
              </w:rPr>
            </w:pPr>
          </w:p>
        </w:tc>
        <w:tc>
          <w:tcPr>
            <w:tcW w:w="300" w:type="dxa"/>
            <w:vAlign w:val="bottom"/>
            <w:shd w:val="clear" w:color="auto" w:fill="CEF9CE"/>
          </w:tcPr>
          <w:p>
            <w:pPr>
              <w:spacing w:after="0"/>
              <w:rPr>
                <w:sz w:val="20"/>
                <w:szCs w:val="20"/>
                <w:color w:val="auto"/>
              </w:rPr>
            </w:pPr>
          </w:p>
        </w:tc>
        <w:tc>
          <w:tcPr>
            <w:tcW w:w="800" w:type="dxa"/>
            <w:vAlign w:val="bottom"/>
            <w:shd w:val="clear" w:color="auto" w:fill="CEF9CE"/>
          </w:tcPr>
          <w:p>
            <w:pPr>
              <w:spacing w:after="0"/>
              <w:rPr>
                <w:sz w:val="20"/>
                <w:szCs w:val="20"/>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330</w:t>
            </w:r>
          </w:p>
        </w:tc>
      </w:tr>
      <w:tr>
        <w:trPr>
          <w:trHeight w:val="249"/>
        </w:trPr>
        <w:tc>
          <w:tcPr>
            <w:tcW w:w="4720" w:type="dxa"/>
            <w:vAlign w:val="bottom"/>
            <w:shd w:val="clear" w:color="auto" w:fill="CEF9CE"/>
          </w:tcPr>
          <w:p>
            <w:pPr>
              <w:spacing w:after="0"/>
              <w:rPr>
                <w:sz w:val="21"/>
                <w:szCs w:val="21"/>
                <w:color w:val="auto"/>
              </w:rPr>
            </w:pPr>
          </w:p>
        </w:tc>
        <w:tc>
          <w:tcPr>
            <w:tcW w:w="280" w:type="dxa"/>
            <w:vAlign w:val="bottom"/>
            <w:shd w:val="clear" w:color="auto" w:fill="CEF9CE"/>
          </w:tcPr>
          <w:p>
            <w:pPr>
              <w:spacing w:after="0"/>
              <w:rPr>
                <w:sz w:val="21"/>
                <w:szCs w:val="21"/>
                <w:color w:val="auto"/>
              </w:rPr>
            </w:pPr>
          </w:p>
        </w:tc>
        <w:tc>
          <w:tcPr>
            <w:tcW w:w="800" w:type="dxa"/>
            <w:vAlign w:val="bottom"/>
            <w:shd w:val="clear" w:color="auto" w:fill="CEF9CE"/>
          </w:tcPr>
          <w:p>
            <w:pPr>
              <w:spacing w:after="0"/>
              <w:rPr>
                <w:sz w:val="21"/>
                <w:szCs w:val="21"/>
                <w:color w:val="auto"/>
              </w:rPr>
            </w:pPr>
          </w:p>
        </w:tc>
        <w:tc>
          <w:tcPr>
            <w:tcW w:w="340" w:type="dxa"/>
            <w:vAlign w:val="bottom"/>
            <w:shd w:val="clear" w:color="auto" w:fill="CEF9CE"/>
          </w:tcPr>
          <w:p>
            <w:pPr>
              <w:spacing w:after="0"/>
              <w:rPr>
                <w:sz w:val="21"/>
                <w:szCs w:val="21"/>
                <w:color w:val="auto"/>
              </w:rPr>
            </w:pPr>
          </w:p>
        </w:tc>
        <w:tc>
          <w:tcPr>
            <w:tcW w:w="880" w:type="dxa"/>
            <w:vAlign w:val="bottom"/>
            <w:shd w:val="clear" w:color="auto" w:fill="CEF9CE"/>
          </w:tcPr>
          <w:p>
            <w:pPr>
              <w:spacing w:after="0"/>
              <w:rPr>
                <w:sz w:val="21"/>
                <w:szCs w:val="21"/>
                <w:color w:val="auto"/>
              </w:rPr>
            </w:pPr>
          </w:p>
        </w:tc>
        <w:tc>
          <w:tcPr>
            <w:tcW w:w="440" w:type="dxa"/>
            <w:vAlign w:val="bottom"/>
            <w:shd w:val="clear" w:color="auto" w:fill="CEF9CE"/>
          </w:tcPr>
          <w:p>
            <w:pPr>
              <w:spacing w:after="0"/>
              <w:rPr>
                <w:sz w:val="21"/>
                <w:szCs w:val="21"/>
                <w:color w:val="auto"/>
              </w:rPr>
            </w:pPr>
          </w:p>
        </w:tc>
        <w:tc>
          <w:tcPr>
            <w:tcW w:w="780" w:type="dxa"/>
            <w:vAlign w:val="bottom"/>
            <w:shd w:val="clear" w:color="auto" w:fill="CEF9CE"/>
          </w:tcPr>
          <w:p>
            <w:pPr>
              <w:spacing w:after="0"/>
              <w:rPr>
                <w:sz w:val="21"/>
                <w:szCs w:val="21"/>
                <w:color w:val="auto"/>
              </w:rPr>
            </w:pPr>
          </w:p>
        </w:tc>
        <w:tc>
          <w:tcPr>
            <w:tcW w:w="300" w:type="dxa"/>
            <w:vAlign w:val="bottom"/>
            <w:shd w:val="clear" w:color="auto" w:fill="CEF9CE"/>
          </w:tcPr>
          <w:p>
            <w:pPr>
              <w:spacing w:after="0"/>
              <w:rPr>
                <w:sz w:val="21"/>
                <w:szCs w:val="21"/>
                <w:color w:val="auto"/>
              </w:rPr>
            </w:pPr>
          </w:p>
        </w:tc>
        <w:tc>
          <w:tcPr>
            <w:tcW w:w="800" w:type="dxa"/>
            <w:vAlign w:val="bottom"/>
            <w:shd w:val="clear" w:color="auto" w:fill="CEF9CE"/>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(1 )</w:t>
            </w:r>
          </w:p>
        </w:tc>
        <w:tc>
          <w:tcPr>
            <w:tcW w:w="4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(4 )</w:t>
            </w:r>
          </w:p>
        </w:tc>
      </w:tr>
      <w:tr>
        <w:trPr>
          <w:trHeight w:val="249"/>
        </w:trPr>
        <w:tc>
          <w:tcPr>
            <w:tcW w:w="4720" w:type="dxa"/>
            <w:vAlign w:val="bottom"/>
            <w:shd w:val="clear" w:color="auto" w:fill="CEF9CE"/>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EF9CE"/>
          </w:tcPr>
          <w:p>
            <w:pPr>
              <w:spacing w:after="0"/>
              <w:rPr>
                <w:sz w:val="21"/>
                <w:szCs w:val="21"/>
                <w:color w:val="auto"/>
              </w:rPr>
            </w:pPr>
          </w:p>
        </w:tc>
        <w:tc>
          <w:tcPr>
            <w:tcW w:w="88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EF9CE"/>
          </w:tcPr>
          <w:p>
            <w:pPr>
              <w:spacing w:after="0"/>
              <w:rPr>
                <w:sz w:val="21"/>
                <w:szCs w:val="21"/>
                <w:color w:val="auto"/>
              </w:rPr>
            </w:pPr>
          </w:p>
        </w:tc>
        <w:tc>
          <w:tcPr>
            <w:tcW w:w="78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40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(15 )</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(20 )</w:t>
            </w: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(47 )</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(58 )</w:t>
            </w:r>
          </w:p>
        </w:tc>
      </w:tr>
      <w:tr>
        <w:trPr>
          <w:trHeight w:val="237"/>
        </w:trPr>
        <w:tc>
          <w:tcPr>
            <w:tcW w:w="4720" w:type="dxa"/>
            <w:vAlign w:val="bottom"/>
            <w:shd w:val="clear" w:color="auto" w:fill="CEF9CE"/>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EF9CE"/>
          </w:tcPr>
          <w:p>
            <w:pPr>
              <w:spacing w:after="0"/>
              <w:rPr>
                <w:sz w:val="20"/>
                <w:szCs w:val="20"/>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EF9CE"/>
          </w:tcPr>
          <w:p>
            <w:pPr>
              <w:spacing w:after="0"/>
              <w:rPr>
                <w:sz w:val="20"/>
                <w:szCs w:val="20"/>
                <w:color w:val="auto"/>
              </w:rPr>
            </w:pPr>
          </w:p>
        </w:tc>
        <w:tc>
          <w:tcPr>
            <w:tcW w:w="88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112</w:t>
            </w:r>
          </w:p>
        </w:tc>
        <w:tc>
          <w:tcPr>
            <w:tcW w:w="440" w:type="dxa"/>
            <w:vAlign w:val="bottom"/>
            <w:shd w:val="clear" w:color="auto" w:fill="CEF9CE"/>
          </w:tcPr>
          <w:p>
            <w:pPr>
              <w:spacing w:after="0"/>
              <w:rPr>
                <w:sz w:val="20"/>
                <w:szCs w:val="20"/>
                <w:color w:val="auto"/>
              </w:rPr>
            </w:pPr>
          </w:p>
        </w:tc>
        <w:tc>
          <w:tcPr>
            <w:tcW w:w="78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EF9CE"/>
          </w:tcPr>
          <w:p>
            <w:pPr>
              <w:spacing w:after="0"/>
              <w:rPr>
                <w:sz w:val="20"/>
                <w:szCs w:val="20"/>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308</w:t>
            </w:r>
          </w:p>
        </w:tc>
      </w:tr>
      <w:tr>
        <w:trPr>
          <w:trHeight w:val="243"/>
        </w:trPr>
        <w:tc>
          <w:tcPr>
            <w:tcW w:w="4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720" w:type="dxa"/>
            <w:vAlign w:val="bottom"/>
            <w:tcBorders>
              <w:bottom w:val="single" w:sz="8" w:color="CEF9CE"/>
            </w:tcBorders>
            <w:shd w:val="clear" w:color="auto" w:fill="CEF9CE"/>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EF9CE"/>
          </w:tcPr>
          <w:p>
            <w:pPr>
              <w:spacing w:after="0"/>
              <w:rPr>
                <w:sz w:val="21"/>
                <w:szCs w:val="21"/>
                <w:color w:val="auto"/>
              </w:rPr>
            </w:pP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auto"/>
            </w:tcBorders>
            <w:shd w:val="clear" w:color="auto" w:fill="CEF9CE"/>
          </w:tcPr>
          <w:p>
            <w:pPr>
              <w:spacing w:after="0"/>
              <w:rPr>
                <w:sz w:val="21"/>
                <w:szCs w:val="21"/>
                <w:color w:val="auto"/>
              </w:rPr>
            </w:pPr>
          </w:p>
        </w:tc>
        <w:tc>
          <w:tcPr>
            <w:tcW w:w="88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46</w:t>
            </w:r>
          </w:p>
        </w:tc>
        <w:tc>
          <w:tcPr>
            <w:tcW w:w="440" w:type="dxa"/>
            <w:vAlign w:val="bottom"/>
            <w:tcBorders>
              <w:bottom w:val="single" w:sz="8" w:color="auto"/>
            </w:tcBorders>
            <w:shd w:val="clear" w:color="auto" w:fill="CEF9CE"/>
          </w:tcPr>
          <w:p>
            <w:pPr>
              <w:spacing w:after="0"/>
              <w:rPr>
                <w:sz w:val="21"/>
                <w:szCs w:val="21"/>
                <w:color w:val="auto"/>
              </w:rPr>
            </w:pPr>
          </w:p>
        </w:tc>
        <w:tc>
          <w:tcPr>
            <w:tcW w:w="78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auto"/>
            </w:tcBorders>
            <w:shd w:val="clear" w:color="auto" w:fill="CEF9CE"/>
          </w:tcPr>
          <w:p>
            <w:pPr>
              <w:spacing w:after="0"/>
              <w:rPr>
                <w:sz w:val="21"/>
                <w:szCs w:val="21"/>
                <w:color w:val="auto"/>
              </w:rPr>
            </w:pP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128</w:t>
            </w:r>
          </w:p>
        </w:tc>
      </w:tr>
      <w:tr>
        <w:trPr>
          <w:trHeight w:val="237"/>
        </w:trPr>
        <w:tc>
          <w:tcPr>
            <w:tcW w:w="4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4720" w:type="dxa"/>
            <w:vAlign w:val="bottom"/>
            <w:shd w:val="clear" w:color="auto" w:fill="CEF9CE"/>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EF9CE"/>
          </w:tcPr>
          <w:p>
            <w:pPr>
              <w:spacing w:after="0"/>
              <w:rPr>
                <w:sz w:val="21"/>
                <w:szCs w:val="21"/>
                <w:color w:val="auto"/>
              </w:rPr>
            </w:pPr>
          </w:p>
        </w:tc>
        <w:tc>
          <w:tcPr>
            <w:tcW w:w="88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EF9CE"/>
          </w:tcPr>
          <w:p>
            <w:pPr>
              <w:spacing w:after="0"/>
              <w:rPr>
                <w:sz w:val="21"/>
                <w:szCs w:val="21"/>
                <w:color w:val="auto"/>
              </w:rPr>
            </w:pPr>
          </w:p>
        </w:tc>
        <w:tc>
          <w:tcPr>
            <w:tcW w:w="78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180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Preferred dividend requirements</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r>
      <w:tr>
        <w:trPr>
          <w:trHeight w:val="257"/>
        </w:trPr>
        <w:tc>
          <w:tcPr>
            <w:tcW w:w="4720" w:type="dxa"/>
            <w:vAlign w:val="bottom"/>
            <w:tcBorders>
              <w:bottom w:val="single" w:sz="8" w:color="CEF9CE"/>
            </w:tcBorders>
            <w:shd w:val="clear" w:color="auto" w:fill="CEF9CE"/>
          </w:tcPr>
          <w:p>
            <w:pPr>
              <w:ind w:left="20"/>
              <w:spacing w:after="0"/>
              <w:rPr>
                <w:sz w:val="20"/>
                <w:szCs w:val="20"/>
                <w:color w:val="auto"/>
              </w:rPr>
            </w:pPr>
            <w:r>
              <w:rPr>
                <w:rFonts w:ascii="Arial" w:cs="Arial" w:eastAsia="Arial" w:hAnsi="Arial"/>
                <w:sz w:val="18"/>
                <w:szCs w:val="18"/>
                <w:color w:val="auto"/>
              </w:rPr>
              <w:t>Earnings applicable to common shares</w:t>
            </w:r>
          </w:p>
        </w:tc>
        <w:tc>
          <w:tcPr>
            <w:tcW w:w="28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65</w:t>
            </w:r>
          </w:p>
        </w:tc>
        <w:tc>
          <w:tcPr>
            <w:tcW w:w="44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192</w:t>
            </w:r>
          </w:p>
        </w:tc>
        <w:tc>
          <w:tcPr>
            <w:tcW w:w="30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177</w:t>
            </w:r>
          </w:p>
        </w:tc>
      </w:tr>
    </w:tbl>
    <w:p>
      <w:pPr>
        <w:spacing w:after="0" w:line="24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-130175</wp:posOffset>
            </wp:positionV>
            <wp:extent cx="59258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380"/>
          </w:cols>
          <w:pgMar w:left="240" w:top="1030" w:right="1279" w:bottom="1440" w:gutter="0" w:footer="0" w:header="0"/>
        </w:sectPr>
      </w:pPr>
    </w:p>
    <w:bookmarkStart w:id="3" w:name="page4"/>
    <w:bookmarkEnd w:id="3"/>
    <w:p>
      <w:pPr>
        <w:ind w:left="1520"/>
        <w:spacing w:after="0"/>
        <w:rPr>
          <w:sz w:val="20"/>
          <w:szCs w:val="20"/>
          <w:color w:val="auto"/>
        </w:rPr>
      </w:pPr>
      <w:r>
        <w:rPr>
          <w:rFonts w:ascii="Arial" w:cs="Arial" w:eastAsia="Arial" w:hAnsi="Arial"/>
          <w:sz w:val="18"/>
          <w:szCs w:val="18"/>
          <w:color w:val="auto"/>
        </w:rPr>
        <w:t>PACIFIC ENTERPRISES AND SUBSIDIARIES</w:t>
      </w:r>
    </w:p>
    <w:p>
      <w:pPr>
        <w:spacing w:after="0" w:line="3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CONSOLIDATED BALANCE SHEETS</w:t>
      </w:r>
    </w:p>
    <w:p>
      <w:pPr>
        <w:spacing w:after="0" w:line="289"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w w:val="89"/>
              </w:rPr>
              <w:t>September 30,</w:t>
            </w:r>
          </w:p>
        </w:tc>
        <w:tc>
          <w:tcPr>
            <w:tcW w:w="2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7"/>
                <w:szCs w:val="17"/>
                <w:color w:val="auto"/>
                <w:w w:val="89"/>
              </w:rPr>
              <w:t>December 31,</w:t>
            </w:r>
          </w:p>
        </w:tc>
      </w:tr>
      <w:tr>
        <w:trPr>
          <w:trHeight w:val="254"/>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7"/>
                <w:szCs w:val="17"/>
                <w:color w:val="auto"/>
                <w:w w:val="95"/>
              </w:rPr>
              <w:t>2008</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7"/>
                <w:szCs w:val="17"/>
                <w:color w:val="auto"/>
              </w:rPr>
              <w:t>2007</w:t>
            </w:r>
          </w:p>
        </w:tc>
      </w:tr>
      <w:tr>
        <w:trPr>
          <w:trHeight w:val="230"/>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2"/>
        </w:trPr>
        <w:tc>
          <w:tcPr>
            <w:tcW w:w="560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5600" w:type="dxa"/>
            <w:vAlign w:val="bottom"/>
            <w:shd w:val="clear" w:color="auto" w:fill="CEF9CE"/>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59</w:t>
            </w:r>
          </w:p>
        </w:tc>
      </w:tr>
      <w:tr>
        <w:trPr>
          <w:trHeight w:val="237"/>
        </w:trPr>
        <w:tc>
          <w:tcPr>
            <w:tcW w:w="5600" w:type="dxa"/>
            <w:vAlign w:val="bottom"/>
          </w:tcPr>
          <w:p>
            <w:pPr>
              <w:ind w:left="260"/>
              <w:spacing w:after="0"/>
              <w:rPr>
                <w:sz w:val="20"/>
                <w:szCs w:val="20"/>
                <w:color w:val="auto"/>
              </w:rPr>
            </w:pPr>
            <w:r>
              <w:rPr>
                <w:rFonts w:ascii="Arial" w:cs="Arial" w:eastAsia="Arial" w:hAnsi="Arial"/>
                <w:sz w:val="18"/>
                <w:szCs w:val="18"/>
                <w:color w:val="auto"/>
              </w:rPr>
              <w:t>Accounts receivable - trade</w:t>
            </w:r>
          </w:p>
        </w:tc>
        <w:tc>
          <w:tcPr>
            <w:tcW w:w="2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671</w:t>
            </w:r>
          </w:p>
        </w:tc>
      </w:tr>
      <w:tr>
        <w:trPr>
          <w:trHeight w:val="249"/>
        </w:trPr>
        <w:tc>
          <w:tcPr>
            <w:tcW w:w="5600" w:type="dxa"/>
            <w:vAlign w:val="bottom"/>
            <w:shd w:val="clear" w:color="auto" w:fill="CEF9CE"/>
          </w:tcPr>
          <w:p>
            <w:pPr>
              <w:ind w:left="260"/>
              <w:spacing w:after="0"/>
              <w:rPr>
                <w:sz w:val="20"/>
                <w:szCs w:val="20"/>
                <w:color w:val="auto"/>
              </w:rPr>
            </w:pPr>
            <w:r>
              <w:rPr>
                <w:rFonts w:ascii="Arial" w:cs="Arial" w:eastAsia="Arial" w:hAnsi="Arial"/>
                <w:sz w:val="18"/>
                <w:szCs w:val="18"/>
                <w:color w:val="auto"/>
              </w:rPr>
              <w:t>Accounts receivable - other</w:t>
            </w:r>
          </w:p>
        </w:tc>
        <w:tc>
          <w:tcPr>
            <w:tcW w:w="200" w:type="dxa"/>
            <w:vAlign w:val="bottom"/>
            <w:shd w:val="clear" w:color="auto" w:fill="CEF9CE"/>
          </w:tcPr>
          <w:p>
            <w:pPr>
              <w:spacing w:after="0"/>
              <w:rPr>
                <w:sz w:val="21"/>
                <w:szCs w:val="21"/>
                <w:color w:val="auto"/>
              </w:rPr>
            </w:pPr>
          </w:p>
        </w:tc>
        <w:tc>
          <w:tcPr>
            <w:tcW w:w="112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EF9CE"/>
          </w:tcPr>
          <w:p>
            <w:pPr>
              <w:spacing w:after="0"/>
              <w:rPr>
                <w:sz w:val="21"/>
                <w:szCs w:val="21"/>
                <w:color w:val="auto"/>
              </w:rPr>
            </w:pPr>
          </w:p>
        </w:tc>
        <w:tc>
          <w:tcPr>
            <w:tcW w:w="120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22</w:t>
            </w:r>
          </w:p>
        </w:tc>
      </w:tr>
      <w:tr>
        <w:trPr>
          <w:trHeight w:val="237"/>
        </w:trPr>
        <w:tc>
          <w:tcPr>
            <w:tcW w:w="5600" w:type="dxa"/>
            <w:vAlign w:val="bottom"/>
          </w:tcPr>
          <w:p>
            <w:pPr>
              <w:ind w:left="260"/>
              <w:spacing w:after="0"/>
              <w:rPr>
                <w:sz w:val="20"/>
                <w:szCs w:val="20"/>
                <w:color w:val="auto"/>
              </w:rPr>
            </w:pPr>
            <w:r>
              <w:rPr>
                <w:rFonts w:ascii="Arial" w:cs="Arial" w:eastAsia="Arial" w:hAnsi="Arial"/>
                <w:sz w:val="18"/>
                <w:szCs w:val="18"/>
                <w:color w:val="auto"/>
              </w:rPr>
              <w:t>Due from unconsolidated affiliates</w:t>
            </w:r>
          </w:p>
        </w:tc>
        <w:tc>
          <w:tcPr>
            <w:tcW w:w="2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5</w:t>
            </w:r>
          </w:p>
        </w:tc>
      </w:tr>
      <w:tr>
        <w:trPr>
          <w:trHeight w:val="249"/>
        </w:trPr>
        <w:tc>
          <w:tcPr>
            <w:tcW w:w="5600" w:type="dxa"/>
            <w:vAlign w:val="bottom"/>
            <w:shd w:val="clear" w:color="auto" w:fill="CEF9CE"/>
          </w:tcPr>
          <w:p>
            <w:pPr>
              <w:ind w:left="26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EF9CE"/>
          </w:tcPr>
          <w:p>
            <w:pPr>
              <w:spacing w:after="0"/>
              <w:rPr>
                <w:sz w:val="21"/>
                <w:szCs w:val="21"/>
                <w:color w:val="auto"/>
              </w:rPr>
            </w:pPr>
          </w:p>
        </w:tc>
        <w:tc>
          <w:tcPr>
            <w:tcW w:w="112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EF9CE"/>
          </w:tcPr>
          <w:p>
            <w:pPr>
              <w:spacing w:after="0"/>
              <w:rPr>
                <w:sz w:val="21"/>
                <w:szCs w:val="21"/>
                <w:color w:val="auto"/>
              </w:rPr>
            </w:pPr>
          </w:p>
        </w:tc>
        <w:tc>
          <w:tcPr>
            <w:tcW w:w="120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37</w:t>
            </w:r>
          </w:p>
        </w:tc>
      </w:tr>
      <w:tr>
        <w:trPr>
          <w:trHeight w:val="237"/>
        </w:trPr>
        <w:tc>
          <w:tcPr>
            <w:tcW w:w="56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33</w:t>
            </w:r>
          </w:p>
        </w:tc>
      </w:tr>
      <w:tr>
        <w:trPr>
          <w:trHeight w:val="249"/>
        </w:trPr>
        <w:tc>
          <w:tcPr>
            <w:tcW w:w="5600" w:type="dxa"/>
            <w:vAlign w:val="bottom"/>
            <w:shd w:val="clear" w:color="auto" w:fill="CEF9CE"/>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EF9CE"/>
          </w:tcPr>
          <w:p>
            <w:pPr>
              <w:spacing w:after="0"/>
              <w:rPr>
                <w:sz w:val="21"/>
                <w:szCs w:val="21"/>
                <w:color w:val="auto"/>
              </w:rPr>
            </w:pPr>
          </w:p>
        </w:tc>
        <w:tc>
          <w:tcPr>
            <w:tcW w:w="112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EF9CE"/>
          </w:tcPr>
          <w:p>
            <w:pPr>
              <w:spacing w:after="0"/>
              <w:rPr>
                <w:sz w:val="21"/>
                <w:szCs w:val="21"/>
                <w:color w:val="auto"/>
              </w:rPr>
            </w:pPr>
          </w:p>
        </w:tc>
        <w:tc>
          <w:tcPr>
            <w:tcW w:w="120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98</w:t>
            </w:r>
          </w:p>
        </w:tc>
      </w:tr>
      <w:tr>
        <w:trPr>
          <w:trHeight w:val="237"/>
        </w:trPr>
        <w:tc>
          <w:tcPr>
            <w:tcW w:w="5600" w:type="dxa"/>
            <w:vAlign w:val="bottom"/>
          </w:tcPr>
          <w:p>
            <w:pPr>
              <w:ind w:left="260"/>
              <w:spacing w:after="0"/>
              <w:rPr>
                <w:sz w:val="20"/>
                <w:szCs w:val="20"/>
                <w:color w:val="auto"/>
              </w:rPr>
            </w:pPr>
            <w:r>
              <w:rPr>
                <w:rFonts w:ascii="Arial" w:cs="Arial" w:eastAsia="Arial" w:hAnsi="Arial"/>
                <w:sz w:val="18"/>
                <w:szCs w:val="18"/>
                <w:color w:val="auto"/>
              </w:rPr>
              <w:t>Regulatory assets</w:t>
            </w:r>
          </w:p>
        </w:tc>
        <w:tc>
          <w:tcPr>
            <w:tcW w:w="2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40</w:t>
            </w:r>
          </w:p>
        </w:tc>
      </w:tr>
      <w:tr>
        <w:trPr>
          <w:trHeight w:val="249"/>
        </w:trPr>
        <w:tc>
          <w:tcPr>
            <w:tcW w:w="5600" w:type="dxa"/>
            <w:vAlign w:val="bottom"/>
            <w:tcBorders>
              <w:bottom w:val="single" w:sz="8" w:color="CEF9CE"/>
            </w:tcBorders>
            <w:shd w:val="clear" w:color="auto" w:fill="CEF9CE"/>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EF9CE"/>
          </w:tcPr>
          <w:p>
            <w:pPr>
              <w:spacing w:after="0"/>
              <w:rPr>
                <w:sz w:val="21"/>
                <w:szCs w:val="21"/>
                <w:color w:val="auto"/>
              </w:rPr>
            </w:pPr>
          </w:p>
        </w:tc>
        <w:tc>
          <w:tcPr>
            <w:tcW w:w="112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auto"/>
            </w:tcBorders>
            <w:shd w:val="clear" w:color="auto" w:fill="CEF9CE"/>
          </w:tcPr>
          <w:p>
            <w:pPr>
              <w:spacing w:after="0"/>
              <w:rPr>
                <w:sz w:val="21"/>
                <w:szCs w:val="21"/>
                <w:color w:val="auto"/>
              </w:rPr>
            </w:pPr>
          </w:p>
        </w:tc>
        <w:tc>
          <w:tcPr>
            <w:tcW w:w="1200" w:type="dxa"/>
            <w:vAlign w:val="bottom"/>
            <w:tcBorders>
              <w:bottom w:val="single" w:sz="8" w:color="auto"/>
            </w:tcBorders>
            <w:shd w:val="clear" w:color="auto" w:fill="CEF9CE"/>
          </w:tcPr>
          <w:p>
            <w:pPr>
              <w:jc w:val="right"/>
              <w:ind w:right="370"/>
              <w:spacing w:after="0"/>
              <w:rPr>
                <w:sz w:val="20"/>
                <w:szCs w:val="20"/>
                <w:color w:val="auto"/>
              </w:rPr>
            </w:pPr>
            <w:r>
              <w:rPr>
                <w:rFonts w:ascii="Arial" w:cs="Arial" w:eastAsia="Arial" w:hAnsi="Arial"/>
                <w:sz w:val="18"/>
                <w:szCs w:val="18"/>
                <w:color w:val="auto"/>
              </w:rPr>
              <w:t>23</w:t>
            </w:r>
          </w:p>
        </w:tc>
      </w:tr>
      <w:tr>
        <w:trPr>
          <w:trHeight w:val="237"/>
        </w:trPr>
        <w:tc>
          <w:tcPr>
            <w:tcW w:w="56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1,007</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988</w:t>
            </w:r>
          </w:p>
        </w:tc>
      </w:tr>
      <w:tr>
        <w:trPr>
          <w:trHeight w:val="237"/>
        </w:trPr>
        <w:tc>
          <w:tcPr>
            <w:tcW w:w="5600" w:type="dxa"/>
            <w:vAlign w:val="bottom"/>
            <w:shd w:val="clear" w:color="auto" w:fill="CEF9CE"/>
          </w:tcPr>
          <w:p>
            <w:pPr>
              <w:spacing w:after="0"/>
              <w:rPr>
                <w:sz w:val="20"/>
                <w:szCs w:val="20"/>
                <w:color w:val="auto"/>
              </w:rPr>
            </w:pPr>
          </w:p>
        </w:tc>
        <w:tc>
          <w:tcPr>
            <w:tcW w:w="200" w:type="dxa"/>
            <w:vAlign w:val="bottom"/>
            <w:shd w:val="clear" w:color="auto" w:fill="CEF9CE"/>
          </w:tcPr>
          <w:p>
            <w:pPr>
              <w:spacing w:after="0"/>
              <w:rPr>
                <w:sz w:val="20"/>
                <w:szCs w:val="20"/>
                <w:color w:val="auto"/>
              </w:rPr>
            </w:pPr>
          </w:p>
        </w:tc>
        <w:tc>
          <w:tcPr>
            <w:tcW w:w="1120" w:type="dxa"/>
            <w:vAlign w:val="bottom"/>
            <w:shd w:val="clear" w:color="auto" w:fill="CEF9CE"/>
          </w:tcPr>
          <w:p>
            <w:pPr>
              <w:spacing w:after="0"/>
              <w:rPr>
                <w:sz w:val="20"/>
                <w:szCs w:val="20"/>
                <w:color w:val="auto"/>
              </w:rPr>
            </w:pPr>
          </w:p>
        </w:tc>
        <w:tc>
          <w:tcPr>
            <w:tcW w:w="280" w:type="dxa"/>
            <w:vAlign w:val="bottom"/>
            <w:shd w:val="clear" w:color="auto" w:fill="CEF9CE"/>
          </w:tcPr>
          <w:p>
            <w:pPr>
              <w:spacing w:after="0"/>
              <w:rPr>
                <w:sz w:val="20"/>
                <w:szCs w:val="20"/>
                <w:color w:val="auto"/>
              </w:rPr>
            </w:pPr>
          </w:p>
        </w:tc>
        <w:tc>
          <w:tcPr>
            <w:tcW w:w="1200" w:type="dxa"/>
            <w:vAlign w:val="bottom"/>
            <w:shd w:val="clear" w:color="auto" w:fill="CEF9CE"/>
          </w:tcPr>
          <w:p>
            <w:pPr>
              <w:spacing w:after="0"/>
              <w:rPr>
                <w:sz w:val="20"/>
                <w:szCs w:val="20"/>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9"/>
        </w:trPr>
        <w:tc>
          <w:tcPr>
            <w:tcW w:w="5600" w:type="dxa"/>
            <w:vAlign w:val="bottom"/>
            <w:shd w:val="clear" w:color="auto" w:fill="CEF9CE"/>
          </w:tcPr>
          <w:p>
            <w:pPr>
              <w:ind w:left="260"/>
              <w:spacing w:after="0"/>
              <w:rPr>
                <w:sz w:val="20"/>
                <w:szCs w:val="20"/>
                <w:color w:val="auto"/>
              </w:rPr>
            </w:pPr>
            <w:r>
              <w:rPr>
                <w:rFonts w:ascii="Arial" w:cs="Arial" w:eastAsia="Arial" w:hAnsi="Arial"/>
                <w:sz w:val="18"/>
                <w:szCs w:val="18"/>
                <w:color w:val="auto"/>
              </w:rPr>
              <w:t>Due from unconsolidated affiliates</w:t>
            </w:r>
          </w:p>
        </w:tc>
        <w:tc>
          <w:tcPr>
            <w:tcW w:w="200" w:type="dxa"/>
            <w:vAlign w:val="bottom"/>
            <w:shd w:val="clear" w:color="auto" w:fill="CEF9CE"/>
          </w:tcPr>
          <w:p>
            <w:pPr>
              <w:spacing w:after="0"/>
              <w:rPr>
                <w:sz w:val="21"/>
                <w:szCs w:val="21"/>
                <w:color w:val="auto"/>
              </w:rPr>
            </w:pPr>
          </w:p>
        </w:tc>
        <w:tc>
          <w:tcPr>
            <w:tcW w:w="112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459</w:t>
            </w:r>
          </w:p>
        </w:tc>
        <w:tc>
          <w:tcPr>
            <w:tcW w:w="280" w:type="dxa"/>
            <w:vAlign w:val="bottom"/>
            <w:shd w:val="clear" w:color="auto" w:fill="CEF9CE"/>
          </w:tcPr>
          <w:p>
            <w:pPr>
              <w:spacing w:after="0"/>
              <w:rPr>
                <w:sz w:val="21"/>
                <w:szCs w:val="21"/>
                <w:color w:val="auto"/>
              </w:rPr>
            </w:pPr>
          </w:p>
        </w:tc>
        <w:tc>
          <w:tcPr>
            <w:tcW w:w="120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457</w:t>
            </w:r>
          </w:p>
        </w:tc>
      </w:tr>
      <w:tr>
        <w:trPr>
          <w:trHeight w:val="237"/>
        </w:trPr>
        <w:tc>
          <w:tcPr>
            <w:tcW w:w="5600" w:type="dxa"/>
            <w:vAlign w:val="bottom"/>
          </w:tcPr>
          <w:p>
            <w:pPr>
              <w:ind w:left="260"/>
              <w:spacing w:after="0"/>
              <w:rPr>
                <w:sz w:val="20"/>
                <w:szCs w:val="20"/>
                <w:color w:val="auto"/>
              </w:rPr>
            </w:pPr>
            <w:r>
              <w:rPr>
                <w:rFonts w:ascii="Arial" w:cs="Arial" w:eastAsia="Arial" w:hAnsi="Arial"/>
                <w:sz w:val="18"/>
                <w:szCs w:val="18"/>
                <w:color w:val="auto"/>
              </w:rPr>
              <w:t>Regulatory assets</w:t>
            </w:r>
          </w:p>
        </w:tc>
        <w:tc>
          <w:tcPr>
            <w:tcW w:w="2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100</w:t>
            </w:r>
          </w:p>
        </w:tc>
      </w:tr>
      <w:tr>
        <w:trPr>
          <w:trHeight w:val="249"/>
        </w:trPr>
        <w:tc>
          <w:tcPr>
            <w:tcW w:w="5600" w:type="dxa"/>
            <w:vAlign w:val="bottom"/>
            <w:shd w:val="clear" w:color="auto" w:fill="CEF9CE"/>
          </w:tcPr>
          <w:p>
            <w:pPr>
              <w:ind w:left="260"/>
              <w:spacing w:after="0"/>
              <w:rPr>
                <w:sz w:val="20"/>
                <w:szCs w:val="20"/>
                <w:color w:val="auto"/>
              </w:rPr>
            </w:pPr>
            <w:r>
              <w:rPr>
                <w:rFonts w:ascii="Arial" w:cs="Arial" w:eastAsia="Arial" w:hAnsi="Arial"/>
                <w:sz w:val="18"/>
                <w:szCs w:val="18"/>
                <w:color w:val="auto"/>
              </w:rPr>
              <w:t>Pension plan assets in excess of benefit obligations</w:t>
            </w:r>
          </w:p>
        </w:tc>
        <w:tc>
          <w:tcPr>
            <w:tcW w:w="200" w:type="dxa"/>
            <w:vAlign w:val="bottom"/>
            <w:shd w:val="clear" w:color="auto" w:fill="CEF9CE"/>
          </w:tcPr>
          <w:p>
            <w:pPr>
              <w:spacing w:after="0"/>
              <w:rPr>
                <w:sz w:val="21"/>
                <w:szCs w:val="21"/>
                <w:color w:val="auto"/>
              </w:rPr>
            </w:pPr>
          </w:p>
        </w:tc>
        <w:tc>
          <w:tcPr>
            <w:tcW w:w="112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EF9CE"/>
          </w:tcPr>
          <w:p>
            <w:pPr>
              <w:spacing w:after="0"/>
              <w:rPr>
                <w:sz w:val="21"/>
                <w:szCs w:val="21"/>
                <w:color w:val="auto"/>
              </w:rPr>
            </w:pPr>
          </w:p>
        </w:tc>
        <w:tc>
          <w:tcPr>
            <w:tcW w:w="120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62</w:t>
            </w:r>
          </w:p>
        </w:tc>
      </w:tr>
      <w:tr>
        <w:trPr>
          <w:trHeight w:val="243"/>
        </w:trPr>
        <w:tc>
          <w:tcPr>
            <w:tcW w:w="5600" w:type="dxa"/>
            <w:vAlign w:val="bottom"/>
          </w:tcPr>
          <w:p>
            <w:pPr>
              <w:ind w:left="260"/>
              <w:spacing w:after="0"/>
              <w:rPr>
                <w:sz w:val="20"/>
                <w:szCs w:val="20"/>
                <w:color w:val="auto"/>
              </w:rPr>
            </w:pPr>
            <w:r>
              <w:rPr>
                <w:rFonts w:ascii="Arial" w:cs="Arial" w:eastAsia="Arial" w:hAnsi="Arial"/>
                <w:sz w:val="18"/>
                <w:szCs w:val="18"/>
                <w:color w:val="auto"/>
              </w:rPr>
              <w:t>Sundry</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39</w:t>
            </w:r>
          </w:p>
        </w:tc>
      </w:tr>
      <w:tr>
        <w:trPr>
          <w:trHeight w:val="237"/>
        </w:trPr>
        <w:tc>
          <w:tcPr>
            <w:tcW w:w="5600" w:type="dxa"/>
            <w:vAlign w:val="bottom"/>
            <w:tcBorders>
              <w:bottom w:val="single" w:sz="8" w:color="CEF9CE"/>
            </w:tcBorders>
            <w:shd w:val="clear" w:color="auto" w:fill="CEF9CE"/>
          </w:tcPr>
          <w:p>
            <w:pPr>
              <w:ind w:left="50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shd w:val="clear" w:color="auto" w:fill="CEF9CE"/>
          </w:tcPr>
          <w:p>
            <w:pPr>
              <w:spacing w:after="0"/>
              <w:rPr>
                <w:sz w:val="20"/>
                <w:szCs w:val="20"/>
                <w:color w:val="auto"/>
              </w:rPr>
            </w:pPr>
          </w:p>
        </w:tc>
        <w:tc>
          <w:tcPr>
            <w:tcW w:w="112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636</w:t>
            </w:r>
          </w:p>
        </w:tc>
        <w:tc>
          <w:tcPr>
            <w:tcW w:w="280" w:type="dxa"/>
            <w:vAlign w:val="bottom"/>
            <w:tcBorders>
              <w:bottom w:val="single" w:sz="8" w:color="auto"/>
            </w:tcBorders>
            <w:shd w:val="clear" w:color="auto" w:fill="CEF9CE"/>
          </w:tcPr>
          <w:p>
            <w:pPr>
              <w:spacing w:after="0"/>
              <w:rPr>
                <w:sz w:val="20"/>
                <w:szCs w:val="20"/>
                <w:color w:val="auto"/>
              </w:rPr>
            </w:pPr>
          </w:p>
        </w:tc>
        <w:tc>
          <w:tcPr>
            <w:tcW w:w="1200" w:type="dxa"/>
            <w:vAlign w:val="bottom"/>
            <w:tcBorders>
              <w:bottom w:val="single" w:sz="8" w:color="auto"/>
            </w:tcBorders>
            <w:shd w:val="clear" w:color="auto" w:fill="CEF9CE"/>
          </w:tcPr>
          <w:p>
            <w:pPr>
              <w:jc w:val="right"/>
              <w:ind w:right="370"/>
              <w:spacing w:after="0"/>
              <w:rPr>
                <w:sz w:val="20"/>
                <w:szCs w:val="20"/>
                <w:color w:val="auto"/>
              </w:rPr>
            </w:pPr>
            <w:r>
              <w:rPr>
                <w:rFonts w:ascii="Arial" w:cs="Arial" w:eastAsia="Arial" w:hAnsi="Arial"/>
                <w:sz w:val="18"/>
                <w:szCs w:val="18"/>
                <w:color w:val="auto"/>
              </w:rPr>
              <w:t>658</w:t>
            </w:r>
          </w:p>
        </w:tc>
      </w:tr>
      <w:tr>
        <w:trPr>
          <w:trHeight w:val="237"/>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3"/>
        </w:trPr>
        <w:tc>
          <w:tcPr>
            <w:tcW w:w="5600" w:type="dxa"/>
            <w:vAlign w:val="bottom"/>
            <w:shd w:val="clear" w:color="auto" w:fill="CEF9CE"/>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EF9CE"/>
          </w:tcPr>
          <w:p>
            <w:pPr>
              <w:spacing w:after="0"/>
              <w:rPr>
                <w:sz w:val="21"/>
                <w:szCs w:val="21"/>
                <w:color w:val="auto"/>
              </w:rPr>
            </w:pPr>
          </w:p>
        </w:tc>
        <w:tc>
          <w:tcPr>
            <w:tcW w:w="1120" w:type="dxa"/>
            <w:vAlign w:val="bottom"/>
            <w:shd w:val="clear" w:color="auto" w:fill="CEF9CE"/>
          </w:tcPr>
          <w:p>
            <w:pPr>
              <w:spacing w:after="0"/>
              <w:rPr>
                <w:sz w:val="21"/>
                <w:szCs w:val="21"/>
                <w:color w:val="auto"/>
              </w:rPr>
            </w:pPr>
          </w:p>
        </w:tc>
        <w:tc>
          <w:tcPr>
            <w:tcW w:w="280" w:type="dxa"/>
            <w:vAlign w:val="bottom"/>
            <w:shd w:val="clear" w:color="auto" w:fill="CEF9CE"/>
          </w:tcPr>
          <w:p>
            <w:pPr>
              <w:spacing w:after="0"/>
              <w:rPr>
                <w:sz w:val="21"/>
                <w:szCs w:val="21"/>
                <w:color w:val="auto"/>
              </w:rPr>
            </w:pPr>
          </w:p>
        </w:tc>
        <w:tc>
          <w:tcPr>
            <w:tcW w:w="1200" w:type="dxa"/>
            <w:vAlign w:val="bottom"/>
            <w:shd w:val="clear" w:color="auto" w:fill="CEF9CE"/>
          </w:tcPr>
          <w:p>
            <w:pPr>
              <w:spacing w:after="0"/>
              <w:rPr>
                <w:sz w:val="21"/>
                <w:szCs w:val="21"/>
                <w:color w:val="auto"/>
              </w:rPr>
            </w:pPr>
          </w:p>
        </w:tc>
      </w:tr>
      <w:tr>
        <w:trPr>
          <w:trHeight w:val="237"/>
        </w:trPr>
        <w:tc>
          <w:tcPr>
            <w:tcW w:w="560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8,716</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8,448</w:t>
            </w:r>
          </w:p>
        </w:tc>
      </w:tr>
      <w:tr>
        <w:trPr>
          <w:trHeight w:val="249"/>
        </w:trPr>
        <w:tc>
          <w:tcPr>
            <w:tcW w:w="5600" w:type="dxa"/>
            <w:vAlign w:val="bottom"/>
            <w:tcBorders>
              <w:bottom w:val="single" w:sz="8" w:color="CEF9CE"/>
            </w:tcBorders>
            <w:shd w:val="clear" w:color="auto" w:fill="CEF9CE"/>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EF9CE"/>
          </w:tcPr>
          <w:p>
            <w:pPr>
              <w:spacing w:after="0"/>
              <w:rPr>
                <w:sz w:val="21"/>
                <w:szCs w:val="21"/>
                <w:color w:val="auto"/>
              </w:rPr>
            </w:pPr>
          </w:p>
        </w:tc>
        <w:tc>
          <w:tcPr>
            <w:tcW w:w="1120" w:type="dxa"/>
            <w:vAlign w:val="bottom"/>
            <w:tcBorders>
              <w:bottom w:val="single" w:sz="8" w:color="auto"/>
            </w:tcBorders>
            <w:shd w:val="clear" w:color="auto" w:fill="CEF9CE"/>
          </w:tcPr>
          <w:p>
            <w:pPr>
              <w:jc w:val="right"/>
              <w:ind w:right="170"/>
              <w:spacing w:after="0"/>
              <w:rPr>
                <w:sz w:val="20"/>
                <w:szCs w:val="20"/>
                <w:color w:val="auto"/>
              </w:rPr>
            </w:pPr>
            <w:r>
              <w:rPr>
                <w:rFonts w:ascii="Arial" w:cs="Arial" w:eastAsia="Arial" w:hAnsi="Arial"/>
                <w:sz w:val="18"/>
                <w:szCs w:val="18"/>
                <w:color w:val="auto"/>
              </w:rPr>
              <w:t>(3,435 )</w:t>
            </w:r>
          </w:p>
        </w:tc>
        <w:tc>
          <w:tcPr>
            <w:tcW w:w="280" w:type="dxa"/>
            <w:vAlign w:val="bottom"/>
            <w:tcBorders>
              <w:bottom w:val="single" w:sz="8" w:color="auto"/>
            </w:tcBorders>
            <w:shd w:val="clear" w:color="auto" w:fill="CEF9CE"/>
          </w:tcPr>
          <w:p>
            <w:pPr>
              <w:spacing w:after="0"/>
              <w:rPr>
                <w:sz w:val="21"/>
                <w:szCs w:val="21"/>
                <w:color w:val="auto"/>
              </w:rPr>
            </w:pPr>
          </w:p>
        </w:tc>
        <w:tc>
          <w:tcPr>
            <w:tcW w:w="1200" w:type="dxa"/>
            <w:vAlign w:val="bottom"/>
            <w:tcBorders>
              <w:bottom w:val="single" w:sz="8" w:color="auto"/>
            </w:tcBorders>
            <w:shd w:val="clear" w:color="auto" w:fill="CEF9CE"/>
          </w:tcPr>
          <w:p>
            <w:pPr>
              <w:jc w:val="right"/>
              <w:ind w:right="270"/>
              <w:spacing w:after="0"/>
              <w:rPr>
                <w:sz w:val="20"/>
                <w:szCs w:val="20"/>
                <w:color w:val="auto"/>
              </w:rPr>
            </w:pPr>
            <w:r>
              <w:rPr>
                <w:rFonts w:ascii="Arial" w:cs="Arial" w:eastAsia="Arial" w:hAnsi="Arial"/>
                <w:sz w:val="18"/>
                <w:szCs w:val="18"/>
                <w:color w:val="auto"/>
              </w:rPr>
              <w:t>(3,292 )</w:t>
            </w:r>
          </w:p>
        </w:tc>
      </w:tr>
      <w:tr>
        <w:trPr>
          <w:trHeight w:val="237"/>
        </w:trPr>
        <w:tc>
          <w:tcPr>
            <w:tcW w:w="560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5,281</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5,156</w:t>
            </w:r>
          </w:p>
        </w:tc>
      </w:tr>
      <w:tr>
        <w:trPr>
          <w:trHeight w:val="257"/>
        </w:trPr>
        <w:tc>
          <w:tcPr>
            <w:tcW w:w="5600" w:type="dxa"/>
            <w:vAlign w:val="bottom"/>
            <w:tcBorders>
              <w:bottom w:val="single" w:sz="8" w:color="CEF9CE"/>
            </w:tcBorders>
            <w:shd w:val="clear" w:color="auto" w:fill="CEF9CE"/>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6,924</w:t>
            </w:r>
          </w:p>
        </w:tc>
        <w:tc>
          <w:tcPr>
            <w:tcW w:w="28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9CE"/>
          </w:tcPr>
          <w:p>
            <w:pPr>
              <w:jc w:val="right"/>
              <w:ind w:right="370"/>
              <w:spacing w:after="0"/>
              <w:rPr>
                <w:sz w:val="20"/>
                <w:szCs w:val="20"/>
                <w:color w:val="auto"/>
              </w:rPr>
            </w:pPr>
            <w:r>
              <w:rPr>
                <w:rFonts w:ascii="Arial" w:cs="Arial" w:eastAsia="Arial" w:hAnsi="Arial"/>
                <w:sz w:val="18"/>
                <w:szCs w:val="18"/>
                <w:color w:val="auto"/>
              </w:rPr>
              <w:t>6,802</w:t>
            </w:r>
          </w:p>
        </w:tc>
      </w:tr>
    </w:tbl>
    <w:p>
      <w:pPr>
        <w:spacing w:after="0" w:line="24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-130175</wp:posOffset>
            </wp:positionV>
            <wp:extent cx="533400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340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19"/>
          </w:cols>
          <w:pgMar w:left="240" w:top="814" w:right="1440" w:bottom="1440" w:gutter="0" w:footer="0" w:header="0"/>
        </w:sectPr>
      </w:pPr>
    </w:p>
    <w:bookmarkStart w:id="4" w:name="page5"/>
    <w:bookmarkEnd w:id="4"/>
    <w:p>
      <w:pPr>
        <w:ind w:left="1440"/>
        <w:spacing w:after="0"/>
        <w:rPr>
          <w:sz w:val="20"/>
          <w:szCs w:val="20"/>
          <w:color w:val="auto"/>
        </w:rPr>
      </w:pPr>
      <w:r>
        <w:rPr>
          <w:rFonts w:ascii="Arial" w:cs="Arial" w:eastAsia="Arial" w:hAnsi="Arial"/>
          <w:sz w:val="18"/>
          <w:szCs w:val="18"/>
          <w:color w:val="auto"/>
        </w:rPr>
        <w:t>PACIFIC ENTERPRISES AND SUBSIDIARIES</w:t>
      </w:r>
    </w:p>
    <w:p>
      <w:pPr>
        <w:spacing w:after="0" w:line="3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CONSOLIDATED BALANCE SHEETS</w:t>
      </w:r>
    </w:p>
    <w:p>
      <w:pPr>
        <w:spacing w:after="0" w:line="289"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7"/>
                <w:szCs w:val="17"/>
                <w:color w:val="auto"/>
                <w:w w:val="89"/>
              </w:rPr>
              <w:t>September 30,</w:t>
            </w:r>
          </w:p>
        </w:tc>
        <w:tc>
          <w:tcPr>
            <w:tcW w:w="3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7"/>
                <w:szCs w:val="17"/>
                <w:color w:val="auto"/>
                <w:w w:val="91"/>
              </w:rPr>
              <w:t>December 31,</w:t>
            </w:r>
          </w:p>
        </w:tc>
      </w:tr>
      <w:tr>
        <w:trPr>
          <w:trHeight w:val="254"/>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7"/>
                <w:szCs w:val="17"/>
                <w:color w:val="auto"/>
                <w:w w:val="95"/>
              </w:rPr>
              <w:t>2008</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7"/>
                <w:szCs w:val="17"/>
                <w:color w:val="auto"/>
              </w:rPr>
              <w:t>2007</w:t>
            </w:r>
          </w:p>
        </w:tc>
      </w:tr>
      <w:tr>
        <w:trPr>
          <w:trHeight w:val="230"/>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92"/>
              </w:rPr>
              <w:t>(unaudited)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2"/>
        </w:trPr>
        <w:tc>
          <w:tcPr>
            <w:tcW w:w="5640" w:type="dxa"/>
            <w:vAlign w:val="bottom"/>
          </w:tcPr>
          <w:p>
            <w:pPr>
              <w:ind w:left="2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Accounts payable - trade</w:t>
            </w:r>
          </w:p>
        </w:tc>
        <w:tc>
          <w:tcPr>
            <w:tcW w:w="2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300</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Accounts payable - other</w:t>
            </w: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130</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Due to unconsolidated affiliates</w:t>
            </w:r>
          </w:p>
        </w:tc>
        <w:tc>
          <w:tcPr>
            <w:tcW w:w="2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125</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Regulatory balancing accounts, net</w:t>
            </w: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183</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90</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87</w:t>
            </w: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243</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223</w:t>
            </w:r>
          </w:p>
        </w:tc>
      </w:tr>
      <w:tr>
        <w:trPr>
          <w:trHeight w:val="237"/>
        </w:trPr>
        <w:tc>
          <w:tcPr>
            <w:tcW w:w="5640" w:type="dxa"/>
            <w:vAlign w:val="bottom"/>
            <w:tcBorders>
              <w:bottom w:val="single" w:sz="8" w:color="CEF9CE"/>
            </w:tcBorders>
            <w:shd w:val="clear" w:color="auto" w:fill="CEF9CE"/>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EF9CE"/>
          </w:tcPr>
          <w:p>
            <w:pPr>
              <w:spacing w:after="0"/>
              <w:rPr>
                <w:sz w:val="20"/>
                <w:szCs w:val="20"/>
                <w:color w:val="auto"/>
              </w:rPr>
            </w:pPr>
          </w:p>
        </w:tc>
        <w:tc>
          <w:tcPr>
            <w:tcW w:w="1180" w:type="dxa"/>
            <w:vAlign w:val="bottom"/>
            <w:tcBorders>
              <w:bottom w:val="single" w:sz="8" w:color="auto"/>
            </w:tcBorders>
            <w:shd w:val="clear" w:color="auto" w:fill="CEF9CE"/>
          </w:tcPr>
          <w:p>
            <w:pPr>
              <w:jc w:val="right"/>
              <w:ind w:right="370"/>
              <w:spacing w:after="0"/>
              <w:rPr>
                <w:sz w:val="20"/>
                <w:szCs w:val="20"/>
                <w:color w:val="auto"/>
              </w:rPr>
            </w:pPr>
            <w:r>
              <w:rPr>
                <w:rFonts w:ascii="Arial" w:cs="Arial" w:eastAsia="Arial" w:hAnsi="Arial"/>
                <w:sz w:val="18"/>
                <w:szCs w:val="18"/>
                <w:color w:val="auto"/>
              </w:rPr>
              <w:t>1,105</w:t>
            </w:r>
          </w:p>
        </w:tc>
        <w:tc>
          <w:tcPr>
            <w:tcW w:w="340" w:type="dxa"/>
            <w:vAlign w:val="bottom"/>
            <w:tcBorders>
              <w:bottom w:val="single" w:sz="8" w:color="auto"/>
            </w:tcBorders>
            <w:shd w:val="clear" w:color="auto" w:fill="CEF9CE"/>
          </w:tcPr>
          <w:p>
            <w:pPr>
              <w:spacing w:after="0"/>
              <w:rPr>
                <w:sz w:val="20"/>
                <w:szCs w:val="20"/>
                <w:color w:val="auto"/>
              </w:rPr>
            </w:pPr>
          </w:p>
        </w:tc>
        <w:tc>
          <w:tcPr>
            <w:tcW w:w="1220" w:type="dxa"/>
            <w:vAlign w:val="bottom"/>
            <w:tcBorders>
              <w:bottom w:val="single" w:sz="8" w:color="auto"/>
            </w:tcBorders>
            <w:shd w:val="clear" w:color="auto" w:fill="CEF9CE"/>
          </w:tcPr>
          <w:p>
            <w:pPr>
              <w:jc w:val="right"/>
              <w:ind w:right="410"/>
              <w:spacing w:after="0"/>
              <w:rPr>
                <w:sz w:val="20"/>
                <w:szCs w:val="20"/>
                <w:color w:val="auto"/>
              </w:rPr>
            </w:pPr>
            <w:r>
              <w:rPr>
                <w:rFonts w:ascii="Arial" w:cs="Arial" w:eastAsia="Arial" w:hAnsi="Arial"/>
                <w:sz w:val="18"/>
                <w:szCs w:val="18"/>
                <w:color w:val="auto"/>
              </w:rPr>
              <w:t>1,138</w:t>
            </w:r>
          </w:p>
        </w:tc>
      </w:tr>
      <w:tr>
        <w:trPr>
          <w:trHeight w:val="237"/>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5640" w:type="dxa"/>
            <w:vAlign w:val="bottom"/>
            <w:tcBorders>
              <w:bottom w:val="single" w:sz="8" w:color="CEF9CE"/>
            </w:tcBorders>
            <w:shd w:val="clear" w:color="auto" w:fill="CEF9CE"/>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shd w:val="clear" w:color="auto" w:fill="CEF9CE"/>
          </w:tcPr>
          <w:p>
            <w:pPr>
              <w:spacing w:after="0"/>
              <w:rPr>
                <w:sz w:val="21"/>
                <w:szCs w:val="21"/>
                <w:color w:val="auto"/>
              </w:rPr>
            </w:pPr>
          </w:p>
        </w:tc>
        <w:tc>
          <w:tcPr>
            <w:tcW w:w="1180" w:type="dxa"/>
            <w:vAlign w:val="bottom"/>
            <w:tcBorders>
              <w:bottom w:val="single" w:sz="8" w:color="auto"/>
            </w:tcBorders>
            <w:shd w:val="clear" w:color="auto" w:fill="CEF9CE"/>
          </w:tcPr>
          <w:p>
            <w:pPr>
              <w:jc w:val="right"/>
              <w:ind w:right="370"/>
              <w:spacing w:after="0"/>
              <w:rPr>
                <w:sz w:val="20"/>
                <w:szCs w:val="20"/>
                <w:color w:val="auto"/>
              </w:rPr>
            </w:pPr>
            <w:r>
              <w:rPr>
                <w:rFonts w:ascii="Arial" w:cs="Arial" w:eastAsia="Arial" w:hAnsi="Arial"/>
                <w:sz w:val="18"/>
                <w:szCs w:val="18"/>
                <w:color w:val="auto"/>
              </w:rPr>
              <w:t>1,113</w:t>
            </w:r>
          </w:p>
        </w:tc>
        <w:tc>
          <w:tcPr>
            <w:tcW w:w="340" w:type="dxa"/>
            <w:vAlign w:val="bottom"/>
            <w:tcBorders>
              <w:bottom w:val="single" w:sz="8" w:color="auto"/>
            </w:tcBorders>
            <w:shd w:val="clear" w:color="auto" w:fill="CEF9CE"/>
          </w:tcPr>
          <w:p>
            <w:pPr>
              <w:spacing w:after="0"/>
              <w:rPr>
                <w:sz w:val="21"/>
                <w:szCs w:val="21"/>
                <w:color w:val="auto"/>
              </w:rPr>
            </w:pPr>
          </w:p>
        </w:tc>
        <w:tc>
          <w:tcPr>
            <w:tcW w:w="1220" w:type="dxa"/>
            <w:vAlign w:val="bottom"/>
            <w:tcBorders>
              <w:bottom w:val="single" w:sz="8" w:color="auto"/>
            </w:tcBorders>
            <w:shd w:val="clear" w:color="auto" w:fill="CEF9CE"/>
          </w:tcPr>
          <w:p>
            <w:pPr>
              <w:jc w:val="right"/>
              <w:ind w:right="410"/>
              <w:spacing w:after="0"/>
              <w:rPr>
                <w:sz w:val="20"/>
                <w:szCs w:val="20"/>
                <w:color w:val="auto"/>
              </w:rPr>
            </w:pPr>
            <w:r>
              <w:rPr>
                <w:rFonts w:ascii="Arial" w:cs="Arial" w:eastAsia="Arial" w:hAnsi="Arial"/>
                <w:sz w:val="18"/>
                <w:szCs w:val="18"/>
                <w:color w:val="auto"/>
              </w:rPr>
              <w:t>1,113</w:t>
            </w:r>
          </w:p>
        </w:tc>
      </w:tr>
      <w:tr>
        <w:trPr>
          <w:trHeight w:val="237"/>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5640" w:type="dxa"/>
            <w:vAlign w:val="bottom"/>
            <w:shd w:val="clear" w:color="auto" w:fill="CEF9CE"/>
          </w:tcPr>
          <w:p>
            <w:pPr>
              <w:ind w:left="20"/>
              <w:spacing w:after="0"/>
              <w:rPr>
                <w:sz w:val="20"/>
                <w:szCs w:val="20"/>
                <w:color w:val="auto"/>
              </w:rPr>
            </w:pPr>
            <w:r>
              <w:rPr>
                <w:rFonts w:ascii="Arial" w:cs="Arial" w:eastAsia="Arial" w:hAnsi="Arial"/>
                <w:sz w:val="18"/>
                <w:szCs w:val="18"/>
                <w:color w:val="auto"/>
              </w:rPr>
              <w:t>Deferred credits and other liabilities:</w:t>
            </w: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spacing w:after="0"/>
              <w:rPr>
                <w:sz w:val="21"/>
                <w:szCs w:val="21"/>
                <w:color w:val="auto"/>
              </w:rPr>
            </w:pP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spacing w:after="0"/>
              <w:rPr>
                <w:sz w:val="21"/>
                <w:szCs w:val="21"/>
                <w:color w:val="auto"/>
              </w:rPr>
            </w:pP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Customer advances for construction</w:t>
            </w:r>
          </w:p>
        </w:tc>
        <w:tc>
          <w:tcPr>
            <w:tcW w:w="2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123</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w w:val="94"/>
              </w:rPr>
              <w:t>Pension and other postretirement benefit obligations, net of plan assets</w:t>
            </w: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58</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102</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Deferred investment tax credits</w:t>
            </w: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33</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Regulatory liabilities arising from removal obligations</w:t>
            </w:r>
          </w:p>
        </w:tc>
        <w:tc>
          <w:tcPr>
            <w:tcW w:w="2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1,178</w:t>
            </w:r>
          </w:p>
        </w:tc>
        <w:tc>
          <w:tcPr>
            <w:tcW w:w="3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1,187</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Asset retirement obligations</w:t>
            </w: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587</w:t>
            </w: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562</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Deferred taxes refundable in rates</w:t>
            </w:r>
          </w:p>
        </w:tc>
        <w:tc>
          <w:tcPr>
            <w:tcW w:w="2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231</w:t>
            </w:r>
          </w:p>
        </w:tc>
      </w:tr>
      <w:tr>
        <w:trPr>
          <w:trHeight w:val="222"/>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Regulatory liabilities arising from pension and other postretirement</w:t>
            </w:r>
          </w:p>
        </w:tc>
        <w:tc>
          <w:tcPr>
            <w:tcW w:w="200" w:type="dxa"/>
            <w:vAlign w:val="bottom"/>
            <w:shd w:val="clear" w:color="auto" w:fill="CEF9CE"/>
          </w:tcPr>
          <w:p>
            <w:pPr>
              <w:spacing w:after="0"/>
              <w:rPr>
                <w:sz w:val="19"/>
                <w:szCs w:val="19"/>
                <w:color w:val="auto"/>
              </w:rPr>
            </w:pPr>
          </w:p>
        </w:tc>
        <w:tc>
          <w:tcPr>
            <w:tcW w:w="1180" w:type="dxa"/>
            <w:vAlign w:val="bottom"/>
            <w:shd w:val="clear" w:color="auto" w:fill="CEF9CE"/>
          </w:tcPr>
          <w:p>
            <w:pPr>
              <w:spacing w:after="0"/>
              <w:rPr>
                <w:sz w:val="19"/>
                <w:szCs w:val="19"/>
                <w:color w:val="auto"/>
              </w:rPr>
            </w:pPr>
          </w:p>
        </w:tc>
        <w:tc>
          <w:tcPr>
            <w:tcW w:w="340" w:type="dxa"/>
            <w:vAlign w:val="bottom"/>
            <w:shd w:val="clear" w:color="auto" w:fill="CEF9CE"/>
          </w:tcPr>
          <w:p>
            <w:pPr>
              <w:spacing w:after="0"/>
              <w:rPr>
                <w:sz w:val="19"/>
                <w:szCs w:val="19"/>
                <w:color w:val="auto"/>
              </w:rPr>
            </w:pPr>
          </w:p>
        </w:tc>
        <w:tc>
          <w:tcPr>
            <w:tcW w:w="1220" w:type="dxa"/>
            <w:vAlign w:val="bottom"/>
            <w:shd w:val="clear" w:color="auto" w:fill="CEF9CE"/>
          </w:tcPr>
          <w:p>
            <w:pPr>
              <w:spacing w:after="0"/>
              <w:rPr>
                <w:sz w:val="19"/>
                <w:szCs w:val="19"/>
                <w:color w:val="auto"/>
              </w:rPr>
            </w:pPr>
          </w:p>
        </w:tc>
      </w:tr>
      <w:tr>
        <w:trPr>
          <w:trHeight w:val="244"/>
        </w:trPr>
        <w:tc>
          <w:tcPr>
            <w:tcW w:w="5640" w:type="dxa"/>
            <w:vAlign w:val="bottom"/>
            <w:shd w:val="clear" w:color="auto" w:fill="CEF9CE"/>
          </w:tcPr>
          <w:p>
            <w:pPr>
              <w:ind w:left="460"/>
              <w:spacing w:after="0"/>
              <w:rPr>
                <w:sz w:val="20"/>
                <w:szCs w:val="20"/>
                <w:color w:val="auto"/>
              </w:rPr>
            </w:pPr>
            <w:r>
              <w:rPr>
                <w:rFonts w:ascii="Arial" w:cs="Arial" w:eastAsia="Arial" w:hAnsi="Arial"/>
                <w:sz w:val="18"/>
                <w:szCs w:val="18"/>
                <w:color w:val="auto"/>
              </w:rPr>
              <w:t>benefit obligations</w:t>
            </w: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34</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Preferred stock of subsidiary</w:t>
            </w:r>
          </w:p>
        </w:tc>
        <w:tc>
          <w:tcPr>
            <w:tcW w:w="2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w:t>
            </w:r>
          </w:p>
        </w:tc>
      </w:tr>
      <w:tr>
        <w:trPr>
          <w:trHeight w:val="249"/>
        </w:trPr>
        <w:tc>
          <w:tcPr>
            <w:tcW w:w="5640" w:type="dxa"/>
            <w:vAlign w:val="bottom"/>
            <w:tcBorders>
              <w:bottom w:val="single" w:sz="8" w:color="CEF9CE"/>
            </w:tcBorders>
            <w:shd w:val="clear" w:color="auto" w:fill="CEF9CE"/>
          </w:tcPr>
          <w:p>
            <w:pPr>
              <w:ind w:left="260"/>
              <w:spacing w:after="0"/>
              <w:rPr>
                <w:sz w:val="20"/>
                <w:szCs w:val="20"/>
                <w:color w:val="auto"/>
              </w:rPr>
            </w:pPr>
            <w:r>
              <w:rPr>
                <w:rFonts w:ascii="Arial" w:cs="Arial" w:eastAsia="Arial" w:hAnsi="Arial"/>
                <w:sz w:val="18"/>
                <w:szCs w:val="18"/>
                <w:color w:val="auto"/>
              </w:rPr>
              <w:t>Deferred credits and other</w:t>
            </w:r>
          </w:p>
        </w:tc>
        <w:tc>
          <w:tcPr>
            <w:tcW w:w="200" w:type="dxa"/>
            <w:vAlign w:val="bottom"/>
            <w:tcBorders>
              <w:bottom w:val="single" w:sz="8" w:color="auto"/>
            </w:tcBorders>
            <w:shd w:val="clear" w:color="auto" w:fill="CEF9CE"/>
          </w:tcPr>
          <w:p>
            <w:pPr>
              <w:spacing w:after="0"/>
              <w:rPr>
                <w:sz w:val="21"/>
                <w:szCs w:val="21"/>
                <w:color w:val="auto"/>
              </w:rPr>
            </w:pPr>
          </w:p>
        </w:tc>
        <w:tc>
          <w:tcPr>
            <w:tcW w:w="1180" w:type="dxa"/>
            <w:vAlign w:val="bottom"/>
            <w:tcBorders>
              <w:bottom w:val="single" w:sz="8" w:color="auto"/>
            </w:tcBorders>
            <w:shd w:val="clear" w:color="auto" w:fill="CEF9CE"/>
          </w:tcPr>
          <w:p>
            <w:pPr>
              <w:jc w:val="right"/>
              <w:ind w:right="370"/>
              <w:spacing w:after="0"/>
              <w:rPr>
                <w:sz w:val="20"/>
                <w:szCs w:val="20"/>
                <w:color w:val="auto"/>
              </w:rPr>
            </w:pPr>
            <w:r>
              <w:rPr>
                <w:rFonts w:ascii="Arial" w:cs="Arial" w:eastAsia="Arial" w:hAnsi="Arial"/>
                <w:sz w:val="18"/>
                <w:szCs w:val="18"/>
                <w:color w:val="auto"/>
              </w:rPr>
              <w:t>245</w:t>
            </w:r>
          </w:p>
        </w:tc>
        <w:tc>
          <w:tcPr>
            <w:tcW w:w="340" w:type="dxa"/>
            <w:vAlign w:val="bottom"/>
            <w:tcBorders>
              <w:bottom w:val="single" w:sz="8" w:color="auto"/>
            </w:tcBorders>
            <w:shd w:val="clear" w:color="auto" w:fill="CEF9CE"/>
          </w:tcPr>
          <w:p>
            <w:pPr>
              <w:spacing w:after="0"/>
              <w:rPr>
                <w:sz w:val="21"/>
                <w:szCs w:val="21"/>
                <w:color w:val="auto"/>
              </w:rPr>
            </w:pPr>
          </w:p>
        </w:tc>
        <w:tc>
          <w:tcPr>
            <w:tcW w:w="1220" w:type="dxa"/>
            <w:vAlign w:val="bottom"/>
            <w:tcBorders>
              <w:bottom w:val="single" w:sz="8" w:color="auto"/>
            </w:tcBorders>
            <w:shd w:val="clear" w:color="auto" w:fill="CEF9CE"/>
          </w:tcPr>
          <w:p>
            <w:pPr>
              <w:jc w:val="right"/>
              <w:ind w:right="410"/>
              <w:spacing w:after="0"/>
              <w:rPr>
                <w:sz w:val="20"/>
                <w:szCs w:val="20"/>
                <w:color w:val="auto"/>
              </w:rPr>
            </w:pPr>
            <w:r>
              <w:rPr>
                <w:rFonts w:ascii="Arial" w:cs="Arial" w:eastAsia="Arial" w:hAnsi="Arial"/>
                <w:sz w:val="18"/>
                <w:szCs w:val="18"/>
                <w:color w:val="auto"/>
              </w:rPr>
              <w:t>285</w:t>
            </w:r>
          </w:p>
        </w:tc>
      </w:tr>
      <w:tr>
        <w:trPr>
          <w:trHeight w:val="237"/>
        </w:trPr>
        <w:tc>
          <w:tcPr>
            <w:tcW w:w="5640" w:type="dxa"/>
            <w:vAlign w:val="bottom"/>
          </w:tcPr>
          <w:p>
            <w:pPr>
              <w:ind w:left="500"/>
              <w:spacing w:after="0"/>
              <w:rPr>
                <w:sz w:val="20"/>
                <w:szCs w:val="20"/>
                <w:color w:val="auto"/>
              </w:rPr>
            </w:pPr>
            <w:r>
              <w:rPr>
                <w:rFonts w:ascii="Arial" w:cs="Arial" w:eastAsia="Arial" w:hAnsi="Arial"/>
                <w:sz w:val="18"/>
                <w:szCs w:val="18"/>
                <w:color w:val="auto"/>
              </w:rPr>
              <w:t>Total deferred credits and other liabilities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2,654</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2,635</w:t>
            </w:r>
          </w:p>
        </w:tc>
      </w:tr>
      <w:tr>
        <w:trPr>
          <w:trHeight w:val="237"/>
        </w:trPr>
        <w:tc>
          <w:tcPr>
            <w:tcW w:w="5640" w:type="dxa"/>
            <w:vAlign w:val="bottom"/>
            <w:shd w:val="clear" w:color="auto" w:fill="CEF9CE"/>
          </w:tcPr>
          <w:p>
            <w:pPr>
              <w:spacing w:after="0"/>
              <w:rPr>
                <w:sz w:val="20"/>
                <w:szCs w:val="20"/>
                <w:color w:val="auto"/>
              </w:rPr>
            </w:pPr>
          </w:p>
        </w:tc>
        <w:tc>
          <w:tcPr>
            <w:tcW w:w="200" w:type="dxa"/>
            <w:vAlign w:val="bottom"/>
            <w:shd w:val="clear" w:color="auto" w:fill="CEF9CE"/>
          </w:tcPr>
          <w:p>
            <w:pPr>
              <w:spacing w:after="0"/>
              <w:rPr>
                <w:sz w:val="20"/>
                <w:szCs w:val="20"/>
                <w:color w:val="auto"/>
              </w:rPr>
            </w:pPr>
          </w:p>
        </w:tc>
        <w:tc>
          <w:tcPr>
            <w:tcW w:w="1180" w:type="dxa"/>
            <w:vAlign w:val="bottom"/>
            <w:shd w:val="clear" w:color="auto" w:fill="CEF9CE"/>
          </w:tcPr>
          <w:p>
            <w:pPr>
              <w:spacing w:after="0"/>
              <w:rPr>
                <w:sz w:val="20"/>
                <w:szCs w:val="20"/>
                <w:color w:val="auto"/>
              </w:rPr>
            </w:pPr>
          </w:p>
        </w:tc>
        <w:tc>
          <w:tcPr>
            <w:tcW w:w="340" w:type="dxa"/>
            <w:vAlign w:val="bottom"/>
            <w:shd w:val="clear" w:color="auto" w:fill="CEF9CE"/>
          </w:tcPr>
          <w:p>
            <w:pPr>
              <w:spacing w:after="0"/>
              <w:rPr>
                <w:sz w:val="20"/>
                <w:szCs w:val="20"/>
                <w:color w:val="auto"/>
              </w:rPr>
            </w:pPr>
          </w:p>
        </w:tc>
        <w:tc>
          <w:tcPr>
            <w:tcW w:w="1220" w:type="dxa"/>
            <w:vAlign w:val="bottom"/>
            <w:shd w:val="clear" w:color="auto" w:fill="CEF9CE"/>
          </w:tcPr>
          <w:p>
            <w:pPr>
              <w:spacing w:after="0"/>
              <w:rPr>
                <w:sz w:val="20"/>
                <w:szCs w:val="20"/>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5640" w:type="dxa"/>
            <w:vAlign w:val="bottom"/>
            <w:shd w:val="clear" w:color="auto" w:fill="CEF9CE"/>
          </w:tcPr>
          <w:p>
            <w:pPr>
              <w:spacing w:after="0"/>
              <w:rPr>
                <w:sz w:val="21"/>
                <w:szCs w:val="21"/>
                <w:color w:val="auto"/>
              </w:rPr>
            </w:pP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spacing w:after="0"/>
              <w:rPr>
                <w:sz w:val="21"/>
                <w:szCs w:val="21"/>
                <w:color w:val="auto"/>
              </w:rPr>
            </w:pP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spacing w:after="0"/>
              <w:rPr>
                <w:sz w:val="21"/>
                <w:szCs w:val="2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80</w:t>
            </w:r>
          </w:p>
        </w:tc>
      </w:tr>
      <w:tr>
        <w:trPr>
          <w:trHeight w:val="215"/>
        </w:trPr>
        <w:tc>
          <w:tcPr>
            <w:tcW w:w="5640" w:type="dxa"/>
            <w:vAlign w:val="bottom"/>
          </w:tcPr>
          <w:p>
            <w:pPr>
              <w:ind w:left="260"/>
              <w:spacing w:after="0"/>
              <w:rPr>
                <w:sz w:val="20"/>
                <w:szCs w:val="20"/>
                <w:color w:val="auto"/>
              </w:rPr>
            </w:pPr>
            <w:r>
              <w:rPr>
                <w:rFonts w:ascii="Arial" w:cs="Arial" w:eastAsia="Arial" w:hAnsi="Arial"/>
                <w:sz w:val="18"/>
                <w:szCs w:val="18"/>
                <w:color w:val="auto"/>
              </w:rPr>
              <w:t>Common stock (600 million shares authorized; 84 million shares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5640" w:type="dxa"/>
            <w:vAlign w:val="bottom"/>
          </w:tcPr>
          <w:p>
            <w:pPr>
              <w:ind w:left="460"/>
              <w:spacing w:after="0"/>
              <w:rPr>
                <w:sz w:val="20"/>
                <w:szCs w:val="20"/>
                <w:color w:val="auto"/>
              </w:rPr>
            </w:pPr>
            <w:r>
              <w:rPr>
                <w:rFonts w:ascii="Arial" w:cs="Arial" w:eastAsia="Arial" w:hAnsi="Arial"/>
                <w:sz w:val="18"/>
                <w:szCs w:val="18"/>
                <w:color w:val="auto"/>
              </w:rPr>
              <w:t>outstanding; no par value)</w:t>
            </w:r>
          </w:p>
        </w:tc>
        <w:tc>
          <w:tcPr>
            <w:tcW w:w="2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1,462</w:t>
            </w:r>
          </w:p>
        </w:tc>
        <w:tc>
          <w:tcPr>
            <w:tcW w:w="3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1,462</w:t>
            </w:r>
          </w:p>
        </w:tc>
      </w:tr>
      <w:tr>
        <w:trPr>
          <w:trHeight w:val="250"/>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520</w:t>
            </w: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378</w:t>
            </w: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(10 )</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(4 )</w:t>
            </w:r>
          </w:p>
        </w:tc>
      </w:tr>
      <w:tr>
        <w:trPr>
          <w:trHeight w:val="237"/>
        </w:trPr>
        <w:tc>
          <w:tcPr>
            <w:tcW w:w="5640" w:type="dxa"/>
            <w:vAlign w:val="bottom"/>
            <w:tcBorders>
              <w:bottom w:val="single" w:sz="8" w:color="CEF9CE"/>
            </w:tcBorders>
            <w:shd w:val="clear" w:color="auto" w:fill="CEF9CE"/>
          </w:tcPr>
          <w:p>
            <w:pPr>
              <w:ind w:left="50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EF9CE"/>
          </w:tcPr>
          <w:p>
            <w:pPr>
              <w:spacing w:after="0"/>
              <w:rPr>
                <w:sz w:val="20"/>
                <w:szCs w:val="20"/>
                <w:color w:val="auto"/>
              </w:rPr>
            </w:pPr>
          </w:p>
        </w:tc>
        <w:tc>
          <w:tcPr>
            <w:tcW w:w="1180" w:type="dxa"/>
            <w:vAlign w:val="bottom"/>
            <w:tcBorders>
              <w:bottom w:val="single" w:sz="8" w:color="auto"/>
            </w:tcBorders>
            <w:shd w:val="clear" w:color="auto" w:fill="CEF9CE"/>
          </w:tcPr>
          <w:p>
            <w:pPr>
              <w:jc w:val="right"/>
              <w:ind w:right="370"/>
              <w:spacing w:after="0"/>
              <w:rPr>
                <w:sz w:val="20"/>
                <w:szCs w:val="20"/>
                <w:color w:val="auto"/>
              </w:rPr>
            </w:pPr>
            <w:r>
              <w:rPr>
                <w:rFonts w:ascii="Arial" w:cs="Arial" w:eastAsia="Arial" w:hAnsi="Arial"/>
                <w:sz w:val="18"/>
                <w:szCs w:val="18"/>
                <w:color w:val="auto"/>
              </w:rPr>
              <w:t>2,052</w:t>
            </w:r>
          </w:p>
        </w:tc>
        <w:tc>
          <w:tcPr>
            <w:tcW w:w="340" w:type="dxa"/>
            <w:vAlign w:val="bottom"/>
            <w:tcBorders>
              <w:bottom w:val="single" w:sz="8" w:color="auto"/>
            </w:tcBorders>
            <w:shd w:val="clear" w:color="auto" w:fill="CEF9CE"/>
          </w:tcPr>
          <w:p>
            <w:pPr>
              <w:spacing w:after="0"/>
              <w:rPr>
                <w:sz w:val="20"/>
                <w:szCs w:val="20"/>
                <w:color w:val="auto"/>
              </w:rPr>
            </w:pPr>
          </w:p>
        </w:tc>
        <w:tc>
          <w:tcPr>
            <w:tcW w:w="1220" w:type="dxa"/>
            <w:vAlign w:val="bottom"/>
            <w:tcBorders>
              <w:bottom w:val="single" w:sz="8" w:color="auto"/>
            </w:tcBorders>
            <w:shd w:val="clear" w:color="auto" w:fill="CEF9CE"/>
          </w:tcPr>
          <w:p>
            <w:pPr>
              <w:jc w:val="right"/>
              <w:ind w:right="410"/>
              <w:spacing w:after="0"/>
              <w:rPr>
                <w:sz w:val="20"/>
                <w:szCs w:val="20"/>
                <w:color w:val="auto"/>
              </w:rPr>
            </w:pPr>
            <w:r>
              <w:rPr>
                <w:rFonts w:ascii="Arial" w:cs="Arial" w:eastAsia="Arial" w:hAnsi="Arial"/>
                <w:sz w:val="18"/>
                <w:szCs w:val="18"/>
                <w:color w:val="auto"/>
              </w:rPr>
              <w:t>1,916</w:t>
            </w:r>
          </w:p>
        </w:tc>
      </w:tr>
      <w:tr>
        <w:trPr>
          <w:trHeight w:val="257"/>
        </w:trPr>
        <w:tc>
          <w:tcPr>
            <w:tcW w:w="56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6,924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6,802</w:t>
            </w:r>
          </w:p>
        </w:tc>
      </w:tr>
      <w:tr>
        <w:trPr>
          <w:trHeight w:val="243"/>
        </w:trPr>
        <w:tc>
          <w:tcPr>
            <w:tcW w:w="5640" w:type="dxa"/>
            <w:vAlign w:val="bottom"/>
            <w:shd w:val="clear" w:color="auto" w:fill="CEF9CE"/>
          </w:tcPr>
          <w:p>
            <w:pPr>
              <w:spacing w:after="0"/>
              <w:rPr>
                <w:sz w:val="21"/>
                <w:szCs w:val="21"/>
                <w:color w:val="auto"/>
              </w:rPr>
            </w:pPr>
          </w:p>
        </w:tc>
        <w:tc>
          <w:tcPr>
            <w:tcW w:w="200" w:type="dxa"/>
            <w:vAlign w:val="bottom"/>
            <w:shd w:val="clear" w:color="auto" w:fill="CEF9CE"/>
          </w:tcPr>
          <w:p>
            <w:pPr>
              <w:spacing w:after="0"/>
              <w:rPr>
                <w:sz w:val="21"/>
                <w:szCs w:val="21"/>
                <w:color w:val="auto"/>
              </w:rPr>
            </w:pPr>
          </w:p>
        </w:tc>
        <w:tc>
          <w:tcPr>
            <w:tcW w:w="1180" w:type="dxa"/>
            <w:vAlign w:val="bottom"/>
            <w:shd w:val="clear" w:color="auto" w:fill="CEF9CE"/>
          </w:tcPr>
          <w:p>
            <w:pPr>
              <w:spacing w:after="0"/>
              <w:rPr>
                <w:sz w:val="21"/>
                <w:szCs w:val="21"/>
                <w:color w:val="auto"/>
              </w:rPr>
            </w:pPr>
          </w:p>
        </w:tc>
        <w:tc>
          <w:tcPr>
            <w:tcW w:w="340" w:type="dxa"/>
            <w:vAlign w:val="bottom"/>
            <w:shd w:val="clear" w:color="auto" w:fill="CEF9CE"/>
          </w:tcPr>
          <w:p>
            <w:pPr>
              <w:spacing w:after="0"/>
              <w:rPr>
                <w:sz w:val="21"/>
                <w:szCs w:val="21"/>
                <w:color w:val="auto"/>
              </w:rPr>
            </w:pPr>
          </w:p>
        </w:tc>
        <w:tc>
          <w:tcPr>
            <w:tcW w:w="1220" w:type="dxa"/>
            <w:vAlign w:val="bottom"/>
            <w:shd w:val="clear" w:color="auto" w:fill="CEF9CE"/>
          </w:tcPr>
          <w:p>
            <w:pPr>
              <w:spacing w:after="0"/>
              <w:rPr>
                <w:sz w:val="21"/>
                <w:szCs w:val="21"/>
                <w:color w:val="auto"/>
              </w:rPr>
            </w:pPr>
          </w:p>
        </w:tc>
      </w:tr>
    </w:tbl>
    <w:p>
      <w:pPr>
        <w:ind w:left="14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19"/>
          </w:cols>
          <w:pgMar w:left="240" w:top="1246" w:right="1440" w:bottom="1440" w:gutter="0" w:footer="0" w:header="0"/>
        </w:sectPr>
      </w:pPr>
    </w:p>
    <w:bookmarkStart w:id="5" w:name="page6"/>
    <w:bookmarkEnd w:id="5"/>
    <w:p>
      <w:pPr>
        <w:ind w:left="1660"/>
        <w:spacing w:after="0"/>
        <w:rPr>
          <w:sz w:val="20"/>
          <w:szCs w:val="20"/>
          <w:color w:val="auto"/>
        </w:rPr>
      </w:pPr>
      <w:r>
        <w:rPr>
          <w:rFonts w:ascii="Arial" w:cs="Arial" w:eastAsia="Arial" w:hAnsi="Arial"/>
          <w:sz w:val="18"/>
          <w:szCs w:val="18"/>
          <w:color w:val="auto"/>
        </w:rPr>
        <w:t>PACIFIC ENTERPRISES AND SUBSIDIARIES</w:t>
      </w:r>
    </w:p>
    <w:p>
      <w:pPr>
        <w:spacing w:after="0" w:line="3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CONDENSED STATEMENTS OF CONSOLIDATED CASH FLOWS</w:t>
      </w:r>
    </w:p>
    <w:p>
      <w:pPr>
        <w:spacing w:after="0" w:line="279"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jc w:val="center"/>
              <w:ind w:right="150"/>
              <w:spacing w:after="0"/>
              <w:rPr>
                <w:sz w:val="20"/>
                <w:szCs w:val="20"/>
                <w:color w:val="auto"/>
              </w:rPr>
            </w:pPr>
            <w:r>
              <w:rPr>
                <w:rFonts w:ascii="Arial" w:cs="Arial" w:eastAsia="Arial" w:hAnsi="Arial"/>
                <w:sz w:val="18"/>
                <w:szCs w:val="18"/>
                <w:color w:val="auto"/>
                <w:w w:val="89"/>
              </w:rPr>
              <w:t>Nine months ended</w:t>
            </w:r>
          </w:p>
        </w:tc>
      </w:tr>
      <w:tr>
        <w:trPr>
          <w:trHeight w:val="237"/>
        </w:trPr>
        <w:tc>
          <w:tcPr>
            <w:tcW w:w="5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40" w:type="dxa"/>
            <w:vAlign w:val="bottom"/>
            <w:tcBorders>
              <w:bottom w:val="single" w:sz="8" w:color="auto"/>
            </w:tcBorders>
          </w:tcPr>
          <w:p>
            <w:pPr>
              <w:spacing w:after="0"/>
              <w:rPr>
                <w:sz w:val="20"/>
                <w:szCs w:val="20"/>
                <w:color w:val="auto"/>
              </w:rPr>
            </w:pPr>
          </w:p>
        </w:tc>
      </w:tr>
      <w:tr>
        <w:trPr>
          <w:trHeight w:val="237"/>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2008</w:t>
            </w:r>
          </w:p>
        </w:tc>
        <w:tc>
          <w:tcPr>
            <w:tcW w:w="9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2007</w:t>
            </w:r>
          </w:p>
        </w:tc>
      </w:tr>
      <w:tr>
        <w:trPr>
          <w:trHeight w:val="230"/>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740" w:type="dxa"/>
            <w:vAlign w:val="bottom"/>
          </w:tcPr>
          <w:p>
            <w:pPr>
              <w:spacing w:after="0"/>
              <w:rPr>
                <w:sz w:val="20"/>
                <w:szCs w:val="20"/>
                <w:color w:val="auto"/>
              </w:rPr>
            </w:pPr>
          </w:p>
        </w:tc>
      </w:tr>
      <w:tr>
        <w:trPr>
          <w:trHeight w:val="249"/>
        </w:trPr>
        <w:tc>
          <w:tcPr>
            <w:tcW w:w="55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5540" w:type="dxa"/>
            <w:vAlign w:val="bottom"/>
            <w:shd w:val="clear" w:color="auto" w:fill="CEF9CE"/>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195</w:t>
            </w:r>
          </w:p>
        </w:tc>
        <w:tc>
          <w:tcPr>
            <w:tcW w:w="980" w:type="dxa"/>
            <w:vAlign w:val="bottom"/>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180</w:t>
            </w:r>
          </w:p>
        </w:tc>
      </w:tr>
      <w:tr>
        <w:trPr>
          <w:trHeight w:val="215"/>
        </w:trPr>
        <w:tc>
          <w:tcPr>
            <w:tcW w:w="5540" w:type="dxa"/>
            <w:vAlign w:val="bottom"/>
          </w:tcPr>
          <w:p>
            <w:pPr>
              <w:ind w:left="200"/>
              <w:spacing w:after="0"/>
              <w:rPr>
                <w:sz w:val="20"/>
                <w:szCs w:val="20"/>
                <w:color w:val="auto"/>
              </w:rPr>
            </w:pPr>
            <w:r>
              <w:rPr>
                <w:rFonts w:ascii="Arial" w:cs="Arial" w:eastAsia="Arial" w:hAnsi="Arial"/>
                <w:sz w:val="18"/>
                <w:szCs w:val="18"/>
                <w:color w:val="auto"/>
                <w:w w:val="94"/>
              </w:rPr>
              <w:t>Adjustments to reconcile net income to net cash provided by operating</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7"/>
        </w:trPr>
        <w:tc>
          <w:tcPr>
            <w:tcW w:w="5540" w:type="dxa"/>
            <w:vAlign w:val="bottom"/>
          </w:tcPr>
          <w:p>
            <w:pPr>
              <w:ind w:left="40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0"/>
        </w:trPr>
        <w:tc>
          <w:tcPr>
            <w:tcW w:w="5540" w:type="dxa"/>
            <w:vAlign w:val="bottom"/>
            <w:shd w:val="clear" w:color="auto" w:fill="CEF9CE"/>
          </w:tcPr>
          <w:p>
            <w:pPr>
              <w:ind w:left="58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209</w:t>
            </w:r>
          </w:p>
        </w:tc>
        <w:tc>
          <w:tcPr>
            <w:tcW w:w="980" w:type="dxa"/>
            <w:vAlign w:val="bottom"/>
            <w:shd w:val="clear" w:color="auto" w:fill="CEF9CE"/>
          </w:tcPr>
          <w:p>
            <w:pPr>
              <w:spacing w:after="0"/>
              <w:rPr>
                <w:sz w:val="21"/>
                <w:szCs w:val="21"/>
                <w:color w:val="auto"/>
              </w:rPr>
            </w:pPr>
          </w:p>
        </w:tc>
        <w:tc>
          <w:tcPr>
            <w:tcW w:w="74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210</w:t>
            </w:r>
          </w:p>
        </w:tc>
      </w:tr>
      <w:tr>
        <w:trPr>
          <w:trHeight w:val="237"/>
        </w:trPr>
        <w:tc>
          <w:tcPr>
            <w:tcW w:w="5540" w:type="dxa"/>
            <w:vAlign w:val="bottom"/>
          </w:tcPr>
          <w:p>
            <w:pPr>
              <w:ind w:left="580"/>
              <w:spacing w:after="0"/>
              <w:rPr>
                <w:sz w:val="20"/>
                <w:szCs w:val="20"/>
                <w:color w:val="auto"/>
              </w:rPr>
            </w:pPr>
            <w:r>
              <w:rPr>
                <w:rFonts w:ascii="Arial" w:cs="Arial" w:eastAsia="Arial" w:hAnsi="Arial"/>
                <w:sz w:val="18"/>
                <w:szCs w:val="18"/>
                <w:color w:val="auto"/>
              </w:rPr>
              <w:t>Deferred income taxes and investment tax credits</w:t>
            </w:r>
          </w:p>
        </w:tc>
        <w:tc>
          <w:tcPr>
            <w:tcW w:w="2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98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249"/>
        </w:trPr>
        <w:tc>
          <w:tcPr>
            <w:tcW w:w="5540" w:type="dxa"/>
            <w:vAlign w:val="bottom"/>
            <w:shd w:val="clear" w:color="auto" w:fill="CEF9CE"/>
          </w:tcPr>
          <w:p>
            <w:pPr>
              <w:ind w:left="5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jc w:val="right"/>
              <w:spacing w:after="0"/>
              <w:rPr>
                <w:sz w:val="20"/>
                <w:szCs w:val="20"/>
                <w:color w:val="auto"/>
              </w:rPr>
            </w:pPr>
            <w:r>
              <w:rPr>
                <w:rFonts w:ascii="Arial" w:cs="Arial" w:eastAsia="Arial" w:hAnsi="Arial"/>
                <w:sz w:val="18"/>
                <w:szCs w:val="18"/>
                <w:color w:val="auto"/>
              </w:rPr>
              <w:t>(2 )</w:t>
            </w:r>
          </w:p>
        </w:tc>
        <w:tc>
          <w:tcPr>
            <w:tcW w:w="980" w:type="dxa"/>
            <w:vAlign w:val="bottom"/>
            <w:shd w:val="clear" w:color="auto" w:fill="CEF9CE"/>
          </w:tcPr>
          <w:p>
            <w:pPr>
              <w:spacing w:after="0"/>
              <w:rPr>
                <w:sz w:val="21"/>
                <w:szCs w:val="21"/>
                <w:color w:val="auto"/>
              </w:rPr>
            </w:pPr>
          </w:p>
        </w:tc>
        <w:tc>
          <w:tcPr>
            <w:tcW w:w="7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(1 )</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Net change in other working capital components</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(134 )</w:t>
            </w:r>
          </w:p>
        </w:tc>
        <w:tc>
          <w:tcPr>
            <w:tcW w:w="98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30</w:t>
            </w:r>
          </w:p>
        </w:tc>
      </w:tr>
      <w:tr>
        <w:trPr>
          <w:trHeight w:val="249"/>
        </w:trPr>
        <w:tc>
          <w:tcPr>
            <w:tcW w:w="5540" w:type="dxa"/>
            <w:vAlign w:val="bottom"/>
            <w:shd w:val="clear" w:color="auto" w:fill="CEF9CE"/>
          </w:tcPr>
          <w:p>
            <w:pPr>
              <w:ind w:left="200"/>
              <w:spacing w:after="0"/>
              <w:rPr>
                <w:sz w:val="20"/>
                <w:szCs w:val="20"/>
                <w:color w:val="auto"/>
              </w:rPr>
            </w:pPr>
            <w:r>
              <w:rPr>
                <w:rFonts w:ascii="Arial" w:cs="Arial" w:eastAsia="Arial" w:hAnsi="Arial"/>
                <w:sz w:val="18"/>
                <w:szCs w:val="18"/>
                <w:color w:val="auto"/>
              </w:rPr>
              <w:t>Changes in other assets</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25</w:t>
            </w:r>
          </w:p>
        </w:tc>
        <w:tc>
          <w:tcPr>
            <w:tcW w:w="980" w:type="dxa"/>
            <w:vAlign w:val="bottom"/>
            <w:shd w:val="clear" w:color="auto" w:fill="CEF9CE"/>
          </w:tcPr>
          <w:p>
            <w:pPr>
              <w:spacing w:after="0"/>
              <w:rPr>
                <w:sz w:val="21"/>
                <w:szCs w:val="21"/>
                <w:color w:val="auto"/>
              </w:rPr>
            </w:pPr>
          </w:p>
        </w:tc>
        <w:tc>
          <w:tcPr>
            <w:tcW w:w="74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12</w:t>
            </w:r>
          </w:p>
        </w:tc>
      </w:tr>
      <w:tr>
        <w:trPr>
          <w:trHeight w:val="243"/>
        </w:trPr>
        <w:tc>
          <w:tcPr>
            <w:tcW w:w="5540" w:type="dxa"/>
            <w:vAlign w:val="bottom"/>
          </w:tcPr>
          <w:p>
            <w:pPr>
              <w:ind w:left="200"/>
              <w:spacing w:after="0"/>
              <w:rPr>
                <w:sz w:val="20"/>
                <w:szCs w:val="20"/>
                <w:color w:val="auto"/>
              </w:rPr>
            </w:pPr>
            <w:r>
              <w:rPr>
                <w:rFonts w:ascii="Arial" w:cs="Arial" w:eastAsia="Arial" w:hAnsi="Arial"/>
                <w:sz w:val="18"/>
                <w:szCs w:val="18"/>
                <w:color w:val="auto"/>
              </w:rPr>
              <w:t>Changes in other liabilities</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9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(6 )</w:t>
            </w:r>
          </w:p>
        </w:tc>
      </w:tr>
      <w:tr>
        <w:trPr>
          <w:trHeight w:val="237"/>
        </w:trPr>
        <w:tc>
          <w:tcPr>
            <w:tcW w:w="5540" w:type="dxa"/>
            <w:vAlign w:val="bottom"/>
            <w:tcBorders>
              <w:bottom w:val="single" w:sz="8" w:color="CEF9CE"/>
            </w:tcBorders>
            <w:shd w:val="clear" w:color="auto" w:fill="CEF9CE"/>
          </w:tcPr>
          <w:p>
            <w:pPr>
              <w:ind w:left="5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shd w:val="clear" w:color="auto" w:fill="CEF9CE"/>
          </w:tcPr>
          <w:p>
            <w:pPr>
              <w:spacing w:after="0"/>
              <w:rPr>
                <w:sz w:val="20"/>
                <w:szCs w:val="20"/>
                <w:color w:val="auto"/>
              </w:rPr>
            </w:pPr>
          </w:p>
        </w:tc>
        <w:tc>
          <w:tcPr>
            <w:tcW w:w="64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304</w:t>
            </w:r>
          </w:p>
        </w:tc>
        <w:tc>
          <w:tcPr>
            <w:tcW w:w="980" w:type="dxa"/>
            <w:vAlign w:val="bottom"/>
            <w:tcBorders>
              <w:bottom w:val="single" w:sz="8" w:color="auto"/>
            </w:tcBorders>
            <w:shd w:val="clear" w:color="auto" w:fill="CEF9CE"/>
          </w:tcPr>
          <w:p>
            <w:pPr>
              <w:spacing w:after="0"/>
              <w:rPr>
                <w:sz w:val="20"/>
                <w:szCs w:val="20"/>
                <w:color w:val="auto"/>
              </w:rPr>
            </w:pPr>
          </w:p>
        </w:tc>
        <w:tc>
          <w:tcPr>
            <w:tcW w:w="74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447</w:t>
            </w:r>
          </w:p>
        </w:tc>
      </w:tr>
      <w:tr>
        <w:trPr>
          <w:trHeight w:val="237"/>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3"/>
        </w:trPr>
        <w:tc>
          <w:tcPr>
            <w:tcW w:w="5540" w:type="dxa"/>
            <w:vAlign w:val="bottom"/>
            <w:shd w:val="clear" w:color="auto" w:fill="CEF9CE"/>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spacing w:after="0"/>
              <w:rPr>
                <w:sz w:val="21"/>
                <w:szCs w:val="21"/>
                <w:color w:val="auto"/>
              </w:rPr>
            </w:pPr>
          </w:p>
        </w:tc>
        <w:tc>
          <w:tcPr>
            <w:tcW w:w="980" w:type="dxa"/>
            <w:vAlign w:val="bottom"/>
            <w:shd w:val="clear" w:color="auto" w:fill="CEF9CE"/>
          </w:tcPr>
          <w:p>
            <w:pPr>
              <w:spacing w:after="0"/>
              <w:rPr>
                <w:sz w:val="21"/>
                <w:szCs w:val="21"/>
                <w:color w:val="auto"/>
              </w:rPr>
            </w:pPr>
          </w:p>
        </w:tc>
        <w:tc>
          <w:tcPr>
            <w:tcW w:w="740" w:type="dxa"/>
            <w:vAlign w:val="bottom"/>
            <w:shd w:val="clear" w:color="auto" w:fill="CEF9CE"/>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(350 )</w:t>
            </w:r>
          </w:p>
        </w:tc>
        <w:tc>
          <w:tcPr>
            <w:tcW w:w="9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(300 )</w:t>
            </w:r>
          </w:p>
        </w:tc>
      </w:tr>
      <w:tr>
        <w:trPr>
          <w:trHeight w:val="249"/>
        </w:trPr>
        <w:tc>
          <w:tcPr>
            <w:tcW w:w="5540" w:type="dxa"/>
            <w:vAlign w:val="bottom"/>
            <w:shd w:val="clear" w:color="auto" w:fill="CEF9CE"/>
          </w:tcPr>
          <w:p>
            <w:pPr>
              <w:ind w:left="200"/>
              <w:spacing w:after="0"/>
              <w:rPr>
                <w:sz w:val="20"/>
                <w:szCs w:val="20"/>
                <w:color w:val="auto"/>
              </w:rPr>
            </w:pPr>
            <w:r>
              <w:rPr>
                <w:rFonts w:ascii="Arial" w:cs="Arial" w:eastAsia="Arial" w:hAnsi="Arial"/>
                <w:sz w:val="18"/>
                <w:szCs w:val="18"/>
                <w:color w:val="auto"/>
              </w:rPr>
              <w:t>Decrease (increase) in loans to affiliates, net</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132</w:t>
            </w:r>
          </w:p>
        </w:tc>
        <w:tc>
          <w:tcPr>
            <w:tcW w:w="980" w:type="dxa"/>
            <w:vAlign w:val="bottom"/>
            <w:shd w:val="clear" w:color="auto" w:fill="CEF9CE"/>
          </w:tcPr>
          <w:p>
            <w:pPr>
              <w:spacing w:after="0"/>
              <w:rPr>
                <w:sz w:val="21"/>
                <w:szCs w:val="21"/>
                <w:color w:val="auto"/>
              </w:rPr>
            </w:pPr>
          </w:p>
        </w:tc>
        <w:tc>
          <w:tcPr>
            <w:tcW w:w="7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(116 )</w:t>
            </w:r>
          </w:p>
        </w:tc>
      </w:tr>
      <w:tr>
        <w:trPr>
          <w:trHeight w:val="243"/>
        </w:trPr>
        <w:tc>
          <w:tcPr>
            <w:tcW w:w="554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r>
      <w:tr>
        <w:trPr>
          <w:trHeight w:val="237"/>
        </w:trPr>
        <w:tc>
          <w:tcPr>
            <w:tcW w:w="5540" w:type="dxa"/>
            <w:vAlign w:val="bottom"/>
            <w:tcBorders>
              <w:bottom w:val="single" w:sz="8" w:color="CEF9CE"/>
            </w:tcBorders>
            <w:shd w:val="clear" w:color="auto" w:fill="CEF9CE"/>
          </w:tcPr>
          <w:p>
            <w:pPr>
              <w:ind w:left="5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CEF9CE"/>
          </w:tcPr>
          <w:p>
            <w:pPr>
              <w:spacing w:after="0"/>
              <w:rPr>
                <w:sz w:val="20"/>
                <w:szCs w:val="20"/>
                <w:color w:val="auto"/>
              </w:rPr>
            </w:pPr>
          </w:p>
        </w:tc>
        <w:tc>
          <w:tcPr>
            <w:tcW w:w="64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(218 )</w:t>
            </w:r>
          </w:p>
        </w:tc>
        <w:tc>
          <w:tcPr>
            <w:tcW w:w="980" w:type="dxa"/>
            <w:vAlign w:val="bottom"/>
            <w:tcBorders>
              <w:bottom w:val="single" w:sz="8" w:color="auto"/>
            </w:tcBorders>
            <w:shd w:val="clear" w:color="auto" w:fill="CEF9CE"/>
          </w:tcPr>
          <w:p>
            <w:pPr>
              <w:spacing w:after="0"/>
              <w:rPr>
                <w:sz w:val="20"/>
                <w:szCs w:val="20"/>
                <w:color w:val="auto"/>
              </w:rPr>
            </w:pPr>
          </w:p>
        </w:tc>
        <w:tc>
          <w:tcPr>
            <w:tcW w:w="74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(415 )</w:t>
            </w:r>
          </w:p>
        </w:tc>
      </w:tr>
      <w:tr>
        <w:trPr>
          <w:trHeight w:val="237"/>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3"/>
        </w:trPr>
        <w:tc>
          <w:tcPr>
            <w:tcW w:w="5540" w:type="dxa"/>
            <w:vAlign w:val="bottom"/>
            <w:shd w:val="clear" w:color="auto" w:fill="CEF9CE"/>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spacing w:after="0"/>
              <w:rPr>
                <w:sz w:val="21"/>
                <w:szCs w:val="21"/>
                <w:color w:val="auto"/>
              </w:rPr>
            </w:pPr>
          </w:p>
        </w:tc>
        <w:tc>
          <w:tcPr>
            <w:tcW w:w="980" w:type="dxa"/>
            <w:vAlign w:val="bottom"/>
            <w:shd w:val="clear" w:color="auto" w:fill="CEF9CE"/>
          </w:tcPr>
          <w:p>
            <w:pPr>
              <w:spacing w:after="0"/>
              <w:rPr>
                <w:sz w:val="21"/>
                <w:szCs w:val="21"/>
                <w:color w:val="auto"/>
              </w:rPr>
            </w:pPr>
          </w:p>
        </w:tc>
        <w:tc>
          <w:tcPr>
            <w:tcW w:w="740" w:type="dxa"/>
            <w:vAlign w:val="bottom"/>
            <w:shd w:val="clear" w:color="auto" w:fill="CEF9CE"/>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Common dividends paid</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(200 )</w:t>
            </w:r>
          </w:p>
        </w:tc>
        <w:tc>
          <w:tcPr>
            <w:tcW w:w="9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(100 )</w:t>
            </w:r>
          </w:p>
        </w:tc>
      </w:tr>
      <w:tr>
        <w:trPr>
          <w:trHeight w:val="249"/>
        </w:trPr>
        <w:tc>
          <w:tcPr>
            <w:tcW w:w="5540" w:type="dxa"/>
            <w:vAlign w:val="bottom"/>
            <w:shd w:val="clear" w:color="auto" w:fill="CEF9CE"/>
          </w:tcPr>
          <w:p>
            <w:pPr>
              <w:ind w:left="200"/>
              <w:spacing w:after="0"/>
              <w:rPr>
                <w:sz w:val="20"/>
                <w:szCs w:val="20"/>
                <w:color w:val="auto"/>
              </w:rPr>
            </w:pPr>
            <w:r>
              <w:rPr>
                <w:rFonts w:ascii="Arial" w:cs="Arial" w:eastAsia="Arial" w:hAnsi="Arial"/>
                <w:sz w:val="18"/>
                <w:szCs w:val="18"/>
                <w:color w:val="auto"/>
              </w:rPr>
              <w:t>Preferred dividends paid</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jc w:val="right"/>
              <w:spacing w:after="0"/>
              <w:rPr>
                <w:sz w:val="20"/>
                <w:szCs w:val="20"/>
                <w:color w:val="auto"/>
              </w:rPr>
            </w:pPr>
            <w:r>
              <w:rPr>
                <w:rFonts w:ascii="Arial" w:cs="Arial" w:eastAsia="Arial" w:hAnsi="Arial"/>
                <w:sz w:val="18"/>
                <w:szCs w:val="18"/>
                <w:color w:val="auto"/>
              </w:rPr>
              <w:t>(3 )</w:t>
            </w:r>
          </w:p>
        </w:tc>
        <w:tc>
          <w:tcPr>
            <w:tcW w:w="980" w:type="dxa"/>
            <w:vAlign w:val="bottom"/>
            <w:shd w:val="clear" w:color="auto" w:fill="CEF9CE"/>
          </w:tcPr>
          <w:p>
            <w:pPr>
              <w:spacing w:after="0"/>
              <w:rPr>
                <w:sz w:val="21"/>
                <w:szCs w:val="21"/>
                <w:color w:val="auto"/>
              </w:rPr>
            </w:pPr>
          </w:p>
        </w:tc>
        <w:tc>
          <w:tcPr>
            <w:tcW w:w="7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(3 )</w:t>
            </w:r>
          </w:p>
        </w:tc>
      </w:tr>
      <w:tr>
        <w:trPr>
          <w:trHeight w:val="243"/>
        </w:trPr>
        <w:tc>
          <w:tcPr>
            <w:tcW w:w="5540" w:type="dxa"/>
            <w:vAlign w:val="bottom"/>
          </w:tcPr>
          <w:p>
            <w:pPr>
              <w:ind w:left="200"/>
              <w:spacing w:after="0"/>
              <w:rPr>
                <w:sz w:val="20"/>
                <w:szCs w:val="20"/>
                <w:color w:val="auto"/>
              </w:rPr>
            </w:pPr>
            <w:r>
              <w:rPr>
                <w:rFonts w:ascii="Arial" w:cs="Arial" w:eastAsia="Arial" w:hAnsi="Arial"/>
                <w:sz w:val="18"/>
                <w:szCs w:val="18"/>
                <w:color w:val="auto"/>
              </w:rPr>
              <w:t>Increase in short-term debt, net</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9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Borders>
              <w:bottom w:val="single" w:sz="8" w:color="CEF9CE"/>
            </w:tcBorders>
            <w:shd w:val="clear" w:color="auto" w:fill="CEF9CE"/>
          </w:tcPr>
          <w:p>
            <w:pPr>
              <w:ind w:left="5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EF9CE"/>
          </w:tcPr>
          <w:p>
            <w:pPr>
              <w:spacing w:after="0"/>
              <w:rPr>
                <w:sz w:val="20"/>
                <w:szCs w:val="20"/>
                <w:color w:val="auto"/>
              </w:rPr>
            </w:pPr>
          </w:p>
        </w:tc>
        <w:tc>
          <w:tcPr>
            <w:tcW w:w="64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(107 )</w:t>
            </w:r>
          </w:p>
        </w:tc>
        <w:tc>
          <w:tcPr>
            <w:tcW w:w="980" w:type="dxa"/>
            <w:vAlign w:val="bottom"/>
            <w:tcBorders>
              <w:bottom w:val="single" w:sz="8" w:color="auto"/>
            </w:tcBorders>
            <w:shd w:val="clear" w:color="auto" w:fill="CEF9CE"/>
          </w:tcPr>
          <w:p>
            <w:pPr>
              <w:spacing w:after="0"/>
              <w:rPr>
                <w:sz w:val="20"/>
                <w:szCs w:val="20"/>
                <w:color w:val="auto"/>
              </w:rPr>
            </w:pPr>
          </w:p>
        </w:tc>
        <w:tc>
          <w:tcPr>
            <w:tcW w:w="74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(103 )</w:t>
            </w:r>
          </w:p>
        </w:tc>
      </w:tr>
    </w:tbl>
    <w:p>
      <w:pPr>
        <w:spacing w:after="0" w:line="200" w:lineRule="exact"/>
        <w:rPr>
          <w:sz w:val="20"/>
          <w:szCs w:val="20"/>
          <w:color w:val="auto"/>
        </w:rPr>
      </w:pPr>
    </w:p>
    <w:p>
      <w:pPr>
        <w:sectPr>
          <w:pgSz w:w="11900" w:h="16838" w:orient="portrait"/>
          <w:cols w:equalWidth="0" w:num="1">
            <w:col w:w="10219"/>
          </w:cols>
          <w:pgMar w:left="240" w:top="814" w:right="1440" w:bottom="1440" w:gutter="0" w:footer="0" w:header="0"/>
        </w:sectPr>
      </w:pPr>
    </w:p>
    <w:p>
      <w:pPr>
        <w:spacing w:after="0" w:line="42"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-123190</wp:posOffset>
            </wp:positionV>
            <wp:extent cx="515429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54295" cy="154305"/>
                    </a:xfrm>
                    <a:prstGeom prst="rect">
                      <a:avLst/>
                    </a:prstGeom>
                    <a:noFill/>
                  </pic:spPr>
                </pic:pic>
              </a:graphicData>
            </a:graphic>
          </wp:anchor>
        </w:drawing>
      </w:r>
    </w:p>
    <w:p>
      <w:pPr>
        <w:spacing w:after="0" w:line="41"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Cash and cash equivalents,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30480</wp:posOffset>
            </wp:positionV>
            <wp:extent cx="515429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54295" cy="180340"/>
                    </a:xfrm>
                    <a:prstGeom prst="rect">
                      <a:avLst/>
                    </a:prstGeom>
                    <a:noFill/>
                  </pic:spPr>
                </pic:pic>
              </a:graphicData>
            </a:graphic>
          </wp:anchor>
        </w:drawing>
      </w:r>
    </w:p>
    <w:p>
      <w:pPr>
        <w:spacing w:after="0" w:line="68"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Cash and cash equivalents, September 30</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(21 )</w:t>
            </w:r>
          </w:p>
        </w:tc>
        <w:tc>
          <w:tcPr>
            <w:tcW w:w="6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(71 )</w:t>
            </w:r>
          </w:p>
        </w:tc>
      </w:tr>
      <w:tr>
        <w:trPr>
          <w:trHeight w:val="250"/>
        </w:trPr>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59</w:t>
            </w:r>
          </w:p>
        </w:tc>
        <w:tc>
          <w:tcPr>
            <w:tcW w:w="6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211</w:t>
            </w:r>
          </w:p>
        </w:tc>
      </w:tr>
      <w:tr>
        <w:trPr>
          <w:trHeight w:val="264"/>
        </w:trPr>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38</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140</w:t>
            </w:r>
          </w:p>
        </w:tc>
      </w:tr>
    </w:tbl>
    <w:p>
      <w:pPr>
        <w:spacing w:after="0" w:line="200" w:lineRule="exact"/>
        <w:rPr>
          <w:sz w:val="20"/>
          <w:szCs w:val="20"/>
          <w:color w:val="auto"/>
        </w:rPr>
      </w:pPr>
    </w:p>
    <w:p>
      <w:pPr>
        <w:sectPr>
          <w:pgSz w:w="11900" w:h="16838" w:orient="portrait"/>
          <w:cols w:equalWidth="0" w:num="2">
            <w:col w:w="6480" w:space="720"/>
            <w:col w:w="3019"/>
          </w:cols>
          <w:pgMar w:left="240" w:top="814" w:right="1440" w:bottom="1440" w:gutter="0" w:footer="0" w:header="0"/>
          <w:type w:val="continuous"/>
        </w:sectPr>
      </w:pPr>
    </w:p>
    <w:p>
      <w:pPr>
        <w:spacing w:after="0" w:line="43" w:lineRule="exact"/>
        <w:rPr>
          <w:sz w:val="20"/>
          <w:szCs w:val="20"/>
          <w:color w:val="auto"/>
        </w:rPr>
      </w:pPr>
    </w:p>
    <w:tbl>
      <w:tblPr>
        <w:tblLayout w:type="fixed"/>
        <w:tblInd w:w="1660" w:type="dxa"/>
        <w:tblCellMar>
          <w:top w:w="0" w:type="dxa"/>
          <w:left w:w="0" w:type="dxa"/>
          <w:bottom w:w="0" w:type="dxa"/>
          <w:right w:w="0" w:type="dxa"/>
        </w:tblCellMar>
      </w:tblPr>
      <w:tr>
        <w:trPr>
          <w:trHeight w:val="243"/>
        </w:trPr>
        <w:tc>
          <w:tcPr>
            <w:tcW w:w="5540" w:type="dxa"/>
            <w:vAlign w:val="bottom"/>
            <w:shd w:val="clear" w:color="auto" w:fill="CEF9CE"/>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EF9CE"/>
          </w:tcPr>
          <w:p>
            <w:pPr>
              <w:spacing w:after="0"/>
              <w:rPr>
                <w:sz w:val="21"/>
                <w:szCs w:val="21"/>
                <w:color w:val="auto"/>
              </w:rPr>
            </w:pPr>
          </w:p>
        </w:tc>
        <w:tc>
          <w:tcPr>
            <w:tcW w:w="920" w:type="dxa"/>
            <w:vAlign w:val="bottom"/>
            <w:shd w:val="clear" w:color="auto" w:fill="CEF9CE"/>
          </w:tcPr>
          <w:p>
            <w:pPr>
              <w:spacing w:after="0"/>
              <w:rPr>
                <w:sz w:val="21"/>
                <w:szCs w:val="21"/>
                <w:color w:val="auto"/>
              </w:rPr>
            </w:pPr>
          </w:p>
        </w:tc>
        <w:tc>
          <w:tcPr>
            <w:tcW w:w="680" w:type="dxa"/>
            <w:vAlign w:val="bottom"/>
            <w:shd w:val="clear" w:color="auto" w:fill="CEF9CE"/>
          </w:tcPr>
          <w:p>
            <w:pPr>
              <w:spacing w:after="0"/>
              <w:rPr>
                <w:sz w:val="21"/>
                <w:szCs w:val="21"/>
                <w:color w:val="auto"/>
              </w:rPr>
            </w:pPr>
          </w:p>
        </w:tc>
        <w:tc>
          <w:tcPr>
            <w:tcW w:w="660" w:type="dxa"/>
            <w:vAlign w:val="bottom"/>
            <w:shd w:val="clear" w:color="auto" w:fill="CEF9C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200"/>
              <w:spacing w:after="0"/>
              <w:rPr>
                <w:sz w:val="20"/>
                <w:szCs w:val="20"/>
                <w:color w:val="auto"/>
              </w:rPr>
            </w:pPr>
            <w:r>
              <w:rPr>
                <w:rFonts w:ascii="Arial" w:cs="Arial" w:eastAsia="Arial" w:hAnsi="Arial"/>
                <w:sz w:val="18"/>
                <w:szCs w:val="18"/>
                <w:color w:val="auto"/>
              </w:rPr>
              <w:t>Interest payments, net of amounts capitalized</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37</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CEF9CE"/>
            </w:tcBorders>
            <w:shd w:val="clear" w:color="auto" w:fill="CEF9CE"/>
          </w:tcPr>
          <w:p>
            <w:pPr>
              <w:ind w:left="200"/>
              <w:spacing w:after="0"/>
              <w:rPr>
                <w:sz w:val="20"/>
                <w:szCs w:val="20"/>
                <w:color w:val="auto"/>
              </w:rPr>
            </w:pPr>
            <w:r>
              <w:rPr>
                <w:rFonts w:ascii="Arial" w:cs="Arial" w:eastAsia="Arial" w:hAnsi="Arial"/>
                <w:sz w:val="18"/>
                <w:szCs w:val="18"/>
                <w:color w:val="auto"/>
              </w:rPr>
              <w:t>Income tax payments, net of refunds</w:t>
            </w:r>
          </w:p>
        </w:tc>
        <w:tc>
          <w:tcPr>
            <w:tcW w:w="320" w:type="dxa"/>
            <w:vAlign w:val="bottom"/>
            <w:tcBorders>
              <w:bottom w:val="single" w:sz="8" w:color="auto"/>
            </w:tcBorders>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9CE"/>
          </w:tcPr>
          <w:p>
            <w:pPr>
              <w:jc w:val="right"/>
              <w:ind w:right="410"/>
              <w:spacing w:after="0"/>
              <w:rPr>
                <w:sz w:val="20"/>
                <w:szCs w:val="20"/>
                <w:color w:val="auto"/>
              </w:rPr>
            </w:pPr>
            <w:r>
              <w:rPr>
                <w:rFonts w:ascii="Arial" w:cs="Arial" w:eastAsia="Arial" w:hAnsi="Arial"/>
                <w:sz w:val="18"/>
                <w:szCs w:val="18"/>
                <w:color w:val="auto"/>
              </w:rPr>
              <w:t>113</w:t>
            </w:r>
          </w:p>
        </w:tc>
        <w:tc>
          <w:tcPr>
            <w:tcW w:w="680" w:type="dxa"/>
            <w:vAlign w:val="bottom"/>
            <w:tcBorders>
              <w:bottom w:val="single" w:sz="8" w:color="auto"/>
            </w:tcBorders>
            <w:shd w:val="clear" w:color="auto" w:fill="CEF9CE"/>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EF9CE"/>
          </w:tcPr>
          <w:p>
            <w:pPr>
              <w:jc w:val="right"/>
              <w:ind w:right="1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40" w:type="dxa"/>
            <w:vAlign w:val="bottom"/>
            <w:shd w:val="clear" w:color="auto" w:fill="CEF9CE"/>
          </w:tcPr>
          <w:p>
            <w:pPr>
              <w:spacing w:after="0"/>
              <w:rPr>
                <w:sz w:val="20"/>
                <w:szCs w:val="20"/>
                <w:color w:val="auto"/>
              </w:rPr>
            </w:pPr>
            <w:r>
              <w:rPr>
                <w:rFonts w:ascii="Arial" w:cs="Arial" w:eastAsia="Arial" w:hAnsi="Arial"/>
                <w:sz w:val="18"/>
                <w:szCs w:val="18"/>
                <w:color w:val="auto"/>
              </w:rPr>
              <w:t>SUPPLEMENTAL DISCLOSURE OF NONCASH INVESTING</w:t>
            </w:r>
          </w:p>
        </w:tc>
        <w:tc>
          <w:tcPr>
            <w:tcW w:w="320" w:type="dxa"/>
            <w:vAlign w:val="bottom"/>
            <w:shd w:val="clear" w:color="auto" w:fill="CEF9CE"/>
          </w:tcPr>
          <w:p>
            <w:pPr>
              <w:spacing w:after="0"/>
              <w:rPr>
                <w:sz w:val="18"/>
                <w:szCs w:val="18"/>
                <w:color w:val="auto"/>
              </w:rPr>
            </w:pPr>
          </w:p>
        </w:tc>
        <w:tc>
          <w:tcPr>
            <w:tcW w:w="920" w:type="dxa"/>
            <w:vAlign w:val="bottom"/>
            <w:shd w:val="clear" w:color="auto" w:fill="CEF9CE"/>
          </w:tcPr>
          <w:p>
            <w:pPr>
              <w:spacing w:after="0"/>
              <w:rPr>
                <w:sz w:val="18"/>
                <w:szCs w:val="18"/>
                <w:color w:val="auto"/>
              </w:rPr>
            </w:pPr>
          </w:p>
        </w:tc>
        <w:tc>
          <w:tcPr>
            <w:tcW w:w="680" w:type="dxa"/>
            <w:vAlign w:val="bottom"/>
            <w:shd w:val="clear" w:color="auto" w:fill="CEF9CE"/>
          </w:tcPr>
          <w:p>
            <w:pPr>
              <w:spacing w:after="0"/>
              <w:rPr>
                <w:sz w:val="18"/>
                <w:szCs w:val="18"/>
                <w:color w:val="auto"/>
              </w:rPr>
            </w:pPr>
          </w:p>
        </w:tc>
        <w:tc>
          <w:tcPr>
            <w:tcW w:w="660" w:type="dxa"/>
            <w:vAlign w:val="bottom"/>
            <w:shd w:val="clear" w:color="auto" w:fill="CEF9C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40" w:type="dxa"/>
            <w:vAlign w:val="bottom"/>
            <w:shd w:val="clear" w:color="auto" w:fill="CEF9CE"/>
          </w:tcPr>
          <w:p>
            <w:pPr>
              <w:ind w:left="100"/>
              <w:spacing w:after="0"/>
              <w:rPr>
                <w:sz w:val="20"/>
                <w:szCs w:val="20"/>
                <w:color w:val="auto"/>
              </w:rPr>
            </w:pPr>
            <w:r>
              <w:rPr>
                <w:rFonts w:ascii="Arial" w:cs="Arial" w:eastAsia="Arial" w:hAnsi="Arial"/>
                <w:sz w:val="18"/>
                <w:szCs w:val="18"/>
                <w:color w:val="auto"/>
              </w:rPr>
              <w:t>ACTIVITY</w:t>
            </w:r>
          </w:p>
        </w:tc>
        <w:tc>
          <w:tcPr>
            <w:tcW w:w="320" w:type="dxa"/>
            <w:vAlign w:val="bottom"/>
            <w:shd w:val="clear" w:color="auto" w:fill="CEF9CE"/>
          </w:tcPr>
          <w:p>
            <w:pPr>
              <w:spacing w:after="0"/>
              <w:rPr>
                <w:sz w:val="21"/>
                <w:szCs w:val="21"/>
                <w:color w:val="auto"/>
              </w:rPr>
            </w:pPr>
          </w:p>
        </w:tc>
        <w:tc>
          <w:tcPr>
            <w:tcW w:w="920" w:type="dxa"/>
            <w:vAlign w:val="bottom"/>
            <w:shd w:val="clear" w:color="auto" w:fill="CEF9CE"/>
          </w:tcPr>
          <w:p>
            <w:pPr>
              <w:spacing w:after="0"/>
              <w:rPr>
                <w:sz w:val="21"/>
                <w:szCs w:val="21"/>
                <w:color w:val="auto"/>
              </w:rPr>
            </w:pPr>
          </w:p>
        </w:tc>
        <w:tc>
          <w:tcPr>
            <w:tcW w:w="680" w:type="dxa"/>
            <w:vAlign w:val="bottom"/>
            <w:shd w:val="clear" w:color="auto" w:fill="CEF9CE"/>
          </w:tcPr>
          <w:p>
            <w:pPr>
              <w:spacing w:after="0"/>
              <w:rPr>
                <w:sz w:val="21"/>
                <w:szCs w:val="21"/>
                <w:color w:val="auto"/>
              </w:rPr>
            </w:pPr>
          </w:p>
        </w:tc>
        <w:tc>
          <w:tcPr>
            <w:tcW w:w="660" w:type="dxa"/>
            <w:vAlign w:val="bottom"/>
            <w:shd w:val="clear" w:color="auto" w:fill="CEF9C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380"/>
              <w:spacing w:after="0"/>
              <w:rPr>
                <w:sz w:val="20"/>
                <w:szCs w:val="20"/>
                <w:color w:val="auto"/>
              </w:rPr>
            </w:pPr>
            <w:r>
              <w:rPr>
                <w:rFonts w:ascii="Arial" w:cs="Arial" w:eastAsia="Arial" w:hAnsi="Arial"/>
                <w:sz w:val="18"/>
                <w:szCs w:val="18"/>
                <w:color w:val="auto"/>
                <w:w w:val="92"/>
              </w:rPr>
              <w:t>Decrease in accounts payable from investments in property, plant and</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color w:val="auto"/>
              </w:rPr>
              <w:t>(30 )</w:t>
            </w:r>
          </w:p>
        </w:tc>
        <w:tc>
          <w:tcPr>
            <w:tcW w:w="68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540" w:type="dxa"/>
            <w:vAlign w:val="bottom"/>
          </w:tcPr>
          <w:p>
            <w:pPr>
              <w:ind w:left="600"/>
              <w:spacing w:after="0" w:line="203" w:lineRule="exact"/>
              <w:rPr>
                <w:sz w:val="20"/>
                <w:szCs w:val="20"/>
                <w:color w:val="auto"/>
              </w:rPr>
            </w:pPr>
            <w:r>
              <w:rPr>
                <w:rFonts w:ascii="Arial" w:cs="Arial" w:eastAsia="Arial" w:hAnsi="Arial"/>
                <w:sz w:val="18"/>
                <w:szCs w:val="18"/>
                <w:color w:val="auto"/>
              </w:rPr>
              <w:t>equipment</w:t>
            </w:r>
          </w:p>
        </w:tc>
        <w:tc>
          <w:tcPr>
            <w:tcW w:w="32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EF9CE"/>
          </w:tcPr>
          <w:p>
            <w:pPr>
              <w:spacing w:after="0"/>
              <w:rPr>
                <w:sz w:val="21"/>
                <w:szCs w:val="21"/>
                <w:color w:val="auto"/>
              </w:rPr>
            </w:pPr>
          </w:p>
        </w:tc>
        <w:tc>
          <w:tcPr>
            <w:tcW w:w="320" w:type="dxa"/>
            <w:vAlign w:val="bottom"/>
            <w:shd w:val="clear" w:color="auto" w:fill="CEF9CE"/>
          </w:tcPr>
          <w:p>
            <w:pPr>
              <w:spacing w:after="0"/>
              <w:rPr>
                <w:sz w:val="21"/>
                <w:szCs w:val="21"/>
                <w:color w:val="auto"/>
              </w:rPr>
            </w:pPr>
          </w:p>
        </w:tc>
        <w:tc>
          <w:tcPr>
            <w:tcW w:w="920" w:type="dxa"/>
            <w:vAlign w:val="bottom"/>
            <w:shd w:val="clear" w:color="auto" w:fill="CEF9CE"/>
          </w:tcPr>
          <w:p>
            <w:pPr>
              <w:spacing w:after="0"/>
              <w:rPr>
                <w:sz w:val="21"/>
                <w:szCs w:val="21"/>
                <w:color w:val="auto"/>
              </w:rPr>
            </w:pPr>
          </w:p>
        </w:tc>
        <w:tc>
          <w:tcPr>
            <w:tcW w:w="680" w:type="dxa"/>
            <w:vAlign w:val="bottom"/>
            <w:shd w:val="clear" w:color="auto" w:fill="CEF9CE"/>
          </w:tcPr>
          <w:p>
            <w:pPr>
              <w:spacing w:after="0"/>
              <w:rPr>
                <w:sz w:val="21"/>
                <w:szCs w:val="21"/>
                <w:color w:val="auto"/>
              </w:rPr>
            </w:pPr>
          </w:p>
        </w:tc>
        <w:tc>
          <w:tcPr>
            <w:tcW w:w="660" w:type="dxa"/>
            <w:vAlign w:val="bottom"/>
            <w:shd w:val="clear" w:color="auto" w:fill="CEF9CE"/>
          </w:tcPr>
          <w:p>
            <w:pPr>
              <w:spacing w:after="0"/>
              <w:rPr>
                <w:sz w:val="21"/>
                <w:szCs w:val="21"/>
                <w:color w:val="auto"/>
              </w:rPr>
            </w:pPr>
          </w:p>
        </w:tc>
        <w:tc>
          <w:tcPr>
            <w:tcW w:w="0" w:type="dxa"/>
            <w:vAlign w:val="bottom"/>
          </w:tcPr>
          <w:p>
            <w:pPr>
              <w:spacing w:after="0"/>
              <w:rPr>
                <w:sz w:val="1"/>
                <w:szCs w:val="1"/>
                <w:color w:val="auto"/>
              </w:rPr>
            </w:pPr>
          </w:p>
        </w:tc>
      </w:tr>
    </w:tbl>
    <w:p>
      <w:pPr>
        <w:ind w:left="16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19"/>
          </w:cols>
          <w:pgMar w:left="240" w:top="814" w:right="1440" w:bottom="1440" w:gutter="0" w:footer="0" w:header="0"/>
          <w:type w:val="continuous"/>
        </w:sectPr>
      </w:pPr>
    </w:p>
    <w:bookmarkStart w:id="6" w:name="page7"/>
    <w:bookmarkEnd w:id="6"/>
    <w:p>
      <w:pPr>
        <w:ind w:left="1060"/>
        <w:spacing w:after="0"/>
        <w:rPr>
          <w:sz w:val="20"/>
          <w:szCs w:val="20"/>
          <w:color w:val="auto"/>
        </w:rPr>
      </w:pPr>
      <w:r>
        <w:rPr>
          <w:rFonts w:ascii="Arial" w:cs="Arial" w:eastAsia="Arial" w:hAnsi="Arial"/>
          <w:sz w:val="18"/>
          <w:szCs w:val="18"/>
          <w:color w:val="auto"/>
        </w:rPr>
        <w:t>SOUTHERN CALIFORNIA GAS COMPANY AND SUBSIDIARIES</w:t>
      </w:r>
    </w:p>
    <w:p>
      <w:pPr>
        <w:spacing w:after="0" w:line="3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STATEMENTS OF CONSOLIDATED INCOME</w:t>
      </w:r>
    </w:p>
    <w:p>
      <w:pPr>
        <w:spacing w:after="0" w:line="27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8"/>
                <w:szCs w:val="18"/>
                <w:color w:val="auto"/>
                <w:w w:val="96"/>
              </w:rPr>
              <w:t>Three months ended</w:t>
            </w:r>
          </w:p>
        </w:tc>
        <w:tc>
          <w:tcPr>
            <w:tcW w:w="440" w:type="dxa"/>
            <w:vAlign w:val="bottom"/>
          </w:tcPr>
          <w:p>
            <w:pPr>
              <w:spacing w:after="0"/>
              <w:rPr>
                <w:sz w:val="18"/>
                <w:szCs w:val="18"/>
                <w:color w:val="auto"/>
              </w:rPr>
            </w:pPr>
          </w:p>
        </w:tc>
        <w:tc>
          <w:tcPr>
            <w:tcW w:w="1880" w:type="dxa"/>
            <w:vAlign w:val="bottom"/>
            <w:gridSpan w:val="3"/>
          </w:tcPr>
          <w:p>
            <w:pPr>
              <w:jc w:val="right"/>
              <w:ind w:right="370"/>
              <w:spacing w:after="0"/>
              <w:rPr>
                <w:sz w:val="20"/>
                <w:szCs w:val="20"/>
                <w:color w:val="auto"/>
              </w:rPr>
            </w:pPr>
            <w:r>
              <w:rPr>
                <w:rFonts w:ascii="Arial" w:cs="Arial" w:eastAsia="Arial" w:hAnsi="Arial"/>
                <w:sz w:val="18"/>
                <w:szCs w:val="18"/>
                <w:color w:val="auto"/>
                <w:w w:val="89"/>
              </w:rPr>
              <w:t>Nine months ended</w:t>
            </w:r>
          </w:p>
        </w:tc>
      </w:tr>
      <w:tr>
        <w:trPr>
          <w:trHeight w:val="237"/>
        </w:trPr>
        <w:tc>
          <w:tcPr>
            <w:tcW w:w="4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4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3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2008</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r>
      <w:tr>
        <w:trPr>
          <w:trHeight w:val="230"/>
        </w:trPr>
        <w:tc>
          <w:tcPr>
            <w:tcW w:w="4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(unaudited)</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6"/>
        </w:trPr>
        <w:tc>
          <w:tcPr>
            <w:tcW w:w="4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7"/>
        </w:trPr>
        <w:tc>
          <w:tcPr>
            <w:tcW w:w="4720" w:type="dxa"/>
            <w:vAlign w:val="bottom"/>
            <w:shd w:val="clear" w:color="auto" w:fill="CEF9CE"/>
          </w:tcPr>
          <w:p>
            <w:pPr>
              <w:ind w:left="2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1,077</w:t>
            </w:r>
          </w:p>
        </w:tc>
        <w:tc>
          <w:tcPr>
            <w:tcW w:w="34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819</w:t>
            </w:r>
          </w:p>
        </w:tc>
        <w:tc>
          <w:tcPr>
            <w:tcW w:w="44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3,776</w:t>
            </w:r>
          </w:p>
        </w:tc>
        <w:tc>
          <w:tcPr>
            <w:tcW w:w="30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3,168</w:t>
            </w:r>
          </w:p>
        </w:tc>
      </w:tr>
      <w:tr>
        <w:trPr>
          <w:trHeight w:val="243"/>
        </w:trPr>
        <w:tc>
          <w:tcPr>
            <w:tcW w:w="4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720" w:type="dxa"/>
            <w:vAlign w:val="bottom"/>
            <w:shd w:val="clear" w:color="auto" w:fill="CEF9CE"/>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EF9CE"/>
          </w:tcPr>
          <w:p>
            <w:pPr>
              <w:spacing w:after="0"/>
              <w:rPr>
                <w:sz w:val="21"/>
                <w:szCs w:val="21"/>
                <w:color w:val="auto"/>
              </w:rPr>
            </w:pPr>
          </w:p>
        </w:tc>
        <w:tc>
          <w:tcPr>
            <w:tcW w:w="800" w:type="dxa"/>
            <w:vAlign w:val="bottom"/>
            <w:shd w:val="clear" w:color="auto" w:fill="CEF9CE"/>
          </w:tcPr>
          <w:p>
            <w:pPr>
              <w:spacing w:after="0"/>
              <w:rPr>
                <w:sz w:val="21"/>
                <w:szCs w:val="21"/>
                <w:color w:val="auto"/>
              </w:rPr>
            </w:pPr>
          </w:p>
        </w:tc>
        <w:tc>
          <w:tcPr>
            <w:tcW w:w="340" w:type="dxa"/>
            <w:vAlign w:val="bottom"/>
            <w:shd w:val="clear" w:color="auto" w:fill="CEF9CE"/>
          </w:tcPr>
          <w:p>
            <w:pPr>
              <w:spacing w:after="0"/>
              <w:rPr>
                <w:sz w:val="21"/>
                <w:szCs w:val="21"/>
                <w:color w:val="auto"/>
              </w:rPr>
            </w:pPr>
          </w:p>
        </w:tc>
        <w:tc>
          <w:tcPr>
            <w:tcW w:w="880" w:type="dxa"/>
            <w:vAlign w:val="bottom"/>
            <w:shd w:val="clear" w:color="auto" w:fill="CEF9CE"/>
          </w:tcPr>
          <w:p>
            <w:pPr>
              <w:spacing w:after="0"/>
              <w:rPr>
                <w:sz w:val="21"/>
                <w:szCs w:val="21"/>
                <w:color w:val="auto"/>
              </w:rPr>
            </w:pPr>
          </w:p>
        </w:tc>
        <w:tc>
          <w:tcPr>
            <w:tcW w:w="440" w:type="dxa"/>
            <w:vAlign w:val="bottom"/>
            <w:shd w:val="clear" w:color="auto" w:fill="CEF9CE"/>
          </w:tcPr>
          <w:p>
            <w:pPr>
              <w:spacing w:after="0"/>
              <w:rPr>
                <w:sz w:val="21"/>
                <w:szCs w:val="21"/>
                <w:color w:val="auto"/>
              </w:rPr>
            </w:pPr>
          </w:p>
        </w:tc>
        <w:tc>
          <w:tcPr>
            <w:tcW w:w="780" w:type="dxa"/>
            <w:vAlign w:val="bottom"/>
            <w:shd w:val="clear" w:color="auto" w:fill="CEF9CE"/>
          </w:tcPr>
          <w:p>
            <w:pPr>
              <w:spacing w:after="0"/>
              <w:rPr>
                <w:sz w:val="21"/>
                <w:szCs w:val="21"/>
                <w:color w:val="auto"/>
              </w:rPr>
            </w:pPr>
          </w:p>
        </w:tc>
        <w:tc>
          <w:tcPr>
            <w:tcW w:w="300" w:type="dxa"/>
            <w:vAlign w:val="bottom"/>
            <w:shd w:val="clear" w:color="auto" w:fill="CEF9CE"/>
          </w:tcPr>
          <w:p>
            <w:pPr>
              <w:spacing w:after="0"/>
              <w:rPr>
                <w:sz w:val="21"/>
                <w:szCs w:val="21"/>
                <w:color w:val="auto"/>
              </w:rPr>
            </w:pPr>
          </w:p>
        </w:tc>
        <w:tc>
          <w:tcPr>
            <w:tcW w:w="800" w:type="dxa"/>
            <w:vAlign w:val="bottom"/>
            <w:shd w:val="clear" w:color="auto" w:fill="CEF9CE"/>
          </w:tcPr>
          <w:p>
            <w:pPr>
              <w:spacing w:after="0"/>
              <w:rPr>
                <w:sz w:val="21"/>
                <w:szCs w:val="2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Cost of natural gas</w:t>
            </w: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609</w:t>
            </w:r>
          </w:p>
        </w:tc>
        <w:tc>
          <w:tcPr>
            <w:tcW w:w="3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2,369</w:t>
            </w:r>
          </w:p>
        </w:tc>
        <w:tc>
          <w:tcPr>
            <w:tcW w:w="3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1,791</w:t>
            </w:r>
          </w:p>
        </w:tc>
      </w:tr>
      <w:tr>
        <w:trPr>
          <w:trHeight w:val="249"/>
        </w:trPr>
        <w:tc>
          <w:tcPr>
            <w:tcW w:w="4720" w:type="dxa"/>
            <w:vAlign w:val="bottom"/>
            <w:shd w:val="clear" w:color="auto" w:fill="CEF9CE"/>
          </w:tcPr>
          <w:p>
            <w:pPr>
              <w:ind w:left="200"/>
              <w:spacing w:after="0"/>
              <w:rPr>
                <w:sz w:val="20"/>
                <w:szCs w:val="20"/>
                <w:color w:val="auto"/>
              </w:rPr>
            </w:pPr>
            <w:r>
              <w:rPr>
                <w:rFonts w:ascii="Arial" w:cs="Arial" w:eastAsia="Arial" w:hAnsi="Arial"/>
                <w:sz w:val="18"/>
                <w:szCs w:val="18"/>
                <w:color w:val="auto"/>
              </w:rPr>
              <w:t>Other operating expenses</w:t>
            </w:r>
          </w:p>
        </w:tc>
        <w:tc>
          <w:tcPr>
            <w:tcW w:w="28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EF9CE"/>
          </w:tcPr>
          <w:p>
            <w:pPr>
              <w:spacing w:after="0"/>
              <w:rPr>
                <w:sz w:val="21"/>
                <w:szCs w:val="21"/>
                <w:color w:val="auto"/>
              </w:rPr>
            </w:pPr>
          </w:p>
        </w:tc>
        <w:tc>
          <w:tcPr>
            <w:tcW w:w="88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EF9CE"/>
          </w:tcPr>
          <w:p>
            <w:pPr>
              <w:spacing w:after="0"/>
              <w:rPr>
                <w:sz w:val="21"/>
                <w:szCs w:val="21"/>
                <w:color w:val="auto"/>
              </w:rPr>
            </w:pPr>
          </w:p>
        </w:tc>
        <w:tc>
          <w:tcPr>
            <w:tcW w:w="78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756</w:t>
            </w:r>
          </w:p>
        </w:tc>
        <w:tc>
          <w:tcPr>
            <w:tcW w:w="30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746</w:t>
            </w: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210</w:t>
            </w:r>
          </w:p>
        </w:tc>
      </w:tr>
      <w:tr>
        <w:trPr>
          <w:trHeight w:val="249"/>
        </w:trPr>
        <w:tc>
          <w:tcPr>
            <w:tcW w:w="4720" w:type="dxa"/>
            <w:vAlign w:val="bottom"/>
            <w:tcBorders>
              <w:bottom w:val="single" w:sz="8" w:color="CEF9CE"/>
            </w:tcBorders>
            <w:shd w:val="clear" w:color="auto" w:fill="CEF9CE"/>
          </w:tcPr>
          <w:p>
            <w:pPr>
              <w:ind w:left="200"/>
              <w:spacing w:after="0"/>
              <w:rPr>
                <w:sz w:val="20"/>
                <w:szCs w:val="20"/>
                <w:color w:val="auto"/>
              </w:rPr>
            </w:pPr>
            <w:r>
              <w:rPr>
                <w:rFonts w:ascii="Arial" w:cs="Arial" w:eastAsia="Arial" w:hAnsi="Arial"/>
                <w:sz w:val="18"/>
                <w:szCs w:val="18"/>
                <w:color w:val="auto"/>
              </w:rPr>
              <w:t>Franchise fees and other taxes</w:t>
            </w:r>
          </w:p>
        </w:tc>
        <w:tc>
          <w:tcPr>
            <w:tcW w:w="280" w:type="dxa"/>
            <w:vAlign w:val="bottom"/>
            <w:tcBorders>
              <w:bottom w:val="single" w:sz="8" w:color="auto"/>
            </w:tcBorders>
            <w:shd w:val="clear" w:color="auto" w:fill="CEF9CE"/>
          </w:tcPr>
          <w:p>
            <w:pPr>
              <w:spacing w:after="0"/>
              <w:rPr>
                <w:sz w:val="21"/>
                <w:szCs w:val="21"/>
                <w:color w:val="auto"/>
              </w:rPr>
            </w:pP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auto"/>
            </w:tcBorders>
            <w:shd w:val="clear" w:color="auto" w:fill="CEF9CE"/>
          </w:tcPr>
          <w:p>
            <w:pPr>
              <w:spacing w:after="0"/>
              <w:rPr>
                <w:sz w:val="21"/>
                <w:szCs w:val="21"/>
                <w:color w:val="auto"/>
              </w:rPr>
            </w:pPr>
          </w:p>
        </w:tc>
        <w:tc>
          <w:tcPr>
            <w:tcW w:w="88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26</w:t>
            </w:r>
          </w:p>
        </w:tc>
        <w:tc>
          <w:tcPr>
            <w:tcW w:w="440" w:type="dxa"/>
            <w:vAlign w:val="bottom"/>
            <w:tcBorders>
              <w:bottom w:val="single" w:sz="8" w:color="auto"/>
            </w:tcBorders>
            <w:shd w:val="clear" w:color="auto" w:fill="CEF9CE"/>
          </w:tcPr>
          <w:p>
            <w:pPr>
              <w:spacing w:after="0"/>
              <w:rPr>
                <w:sz w:val="21"/>
                <w:szCs w:val="21"/>
                <w:color w:val="auto"/>
              </w:rPr>
            </w:pPr>
          </w:p>
        </w:tc>
        <w:tc>
          <w:tcPr>
            <w:tcW w:w="78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shd w:val="clear" w:color="auto" w:fill="CEF9CE"/>
          </w:tcPr>
          <w:p>
            <w:pPr>
              <w:spacing w:after="0"/>
              <w:rPr>
                <w:sz w:val="21"/>
                <w:szCs w:val="21"/>
                <w:color w:val="auto"/>
              </w:rPr>
            </w:pP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91</w:t>
            </w:r>
          </w:p>
        </w:tc>
      </w:tr>
      <w:tr>
        <w:trPr>
          <w:trHeight w:val="237"/>
        </w:trPr>
        <w:tc>
          <w:tcPr>
            <w:tcW w:w="472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946</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702</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3,434</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2,838</w:t>
            </w:r>
          </w:p>
        </w:tc>
      </w:tr>
      <w:tr>
        <w:trPr>
          <w:trHeight w:val="237"/>
        </w:trPr>
        <w:tc>
          <w:tcPr>
            <w:tcW w:w="4720" w:type="dxa"/>
            <w:vAlign w:val="bottom"/>
            <w:shd w:val="clear" w:color="auto" w:fill="CEF9CE"/>
          </w:tcPr>
          <w:p>
            <w:pPr>
              <w:spacing w:after="0"/>
              <w:rPr>
                <w:sz w:val="20"/>
                <w:szCs w:val="20"/>
                <w:color w:val="auto"/>
              </w:rPr>
            </w:pPr>
          </w:p>
        </w:tc>
        <w:tc>
          <w:tcPr>
            <w:tcW w:w="280" w:type="dxa"/>
            <w:vAlign w:val="bottom"/>
            <w:shd w:val="clear" w:color="auto" w:fill="CEF9CE"/>
          </w:tcPr>
          <w:p>
            <w:pPr>
              <w:spacing w:after="0"/>
              <w:rPr>
                <w:sz w:val="20"/>
                <w:szCs w:val="20"/>
                <w:color w:val="auto"/>
              </w:rPr>
            </w:pPr>
          </w:p>
        </w:tc>
        <w:tc>
          <w:tcPr>
            <w:tcW w:w="800" w:type="dxa"/>
            <w:vAlign w:val="bottom"/>
            <w:shd w:val="clear" w:color="auto" w:fill="CEF9CE"/>
          </w:tcPr>
          <w:p>
            <w:pPr>
              <w:spacing w:after="0"/>
              <w:rPr>
                <w:sz w:val="20"/>
                <w:szCs w:val="20"/>
                <w:color w:val="auto"/>
              </w:rPr>
            </w:pPr>
          </w:p>
        </w:tc>
        <w:tc>
          <w:tcPr>
            <w:tcW w:w="340" w:type="dxa"/>
            <w:vAlign w:val="bottom"/>
            <w:shd w:val="clear" w:color="auto" w:fill="CEF9CE"/>
          </w:tcPr>
          <w:p>
            <w:pPr>
              <w:spacing w:after="0"/>
              <w:rPr>
                <w:sz w:val="20"/>
                <w:szCs w:val="20"/>
                <w:color w:val="auto"/>
              </w:rPr>
            </w:pPr>
          </w:p>
        </w:tc>
        <w:tc>
          <w:tcPr>
            <w:tcW w:w="880" w:type="dxa"/>
            <w:vAlign w:val="bottom"/>
            <w:shd w:val="clear" w:color="auto" w:fill="CEF9CE"/>
          </w:tcPr>
          <w:p>
            <w:pPr>
              <w:spacing w:after="0"/>
              <w:rPr>
                <w:sz w:val="20"/>
                <w:szCs w:val="20"/>
                <w:color w:val="auto"/>
              </w:rPr>
            </w:pPr>
          </w:p>
        </w:tc>
        <w:tc>
          <w:tcPr>
            <w:tcW w:w="440" w:type="dxa"/>
            <w:vAlign w:val="bottom"/>
            <w:shd w:val="clear" w:color="auto" w:fill="CEF9CE"/>
          </w:tcPr>
          <w:p>
            <w:pPr>
              <w:spacing w:after="0"/>
              <w:rPr>
                <w:sz w:val="20"/>
                <w:szCs w:val="20"/>
                <w:color w:val="auto"/>
              </w:rPr>
            </w:pPr>
          </w:p>
        </w:tc>
        <w:tc>
          <w:tcPr>
            <w:tcW w:w="780" w:type="dxa"/>
            <w:vAlign w:val="bottom"/>
            <w:shd w:val="clear" w:color="auto" w:fill="CEF9CE"/>
          </w:tcPr>
          <w:p>
            <w:pPr>
              <w:spacing w:after="0"/>
              <w:rPr>
                <w:sz w:val="20"/>
                <w:szCs w:val="20"/>
                <w:color w:val="auto"/>
              </w:rPr>
            </w:pPr>
          </w:p>
        </w:tc>
        <w:tc>
          <w:tcPr>
            <w:tcW w:w="300" w:type="dxa"/>
            <w:vAlign w:val="bottom"/>
            <w:shd w:val="clear" w:color="auto" w:fill="CEF9CE"/>
          </w:tcPr>
          <w:p>
            <w:pPr>
              <w:spacing w:after="0"/>
              <w:rPr>
                <w:sz w:val="20"/>
                <w:szCs w:val="20"/>
                <w:color w:val="auto"/>
              </w:rPr>
            </w:pPr>
          </w:p>
        </w:tc>
        <w:tc>
          <w:tcPr>
            <w:tcW w:w="800" w:type="dxa"/>
            <w:vAlign w:val="bottom"/>
            <w:shd w:val="clear" w:color="auto" w:fill="CEF9CE"/>
          </w:tcPr>
          <w:p>
            <w:pPr>
              <w:spacing w:after="0"/>
              <w:rPr>
                <w:sz w:val="20"/>
                <w:szCs w:val="20"/>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117</w:t>
            </w:r>
          </w:p>
        </w:tc>
        <w:tc>
          <w:tcPr>
            <w:tcW w:w="4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330</w:t>
            </w:r>
          </w:p>
        </w:tc>
      </w:tr>
      <w:tr>
        <w:trPr>
          <w:trHeight w:val="249"/>
        </w:trPr>
        <w:tc>
          <w:tcPr>
            <w:tcW w:w="4720" w:type="dxa"/>
            <w:vAlign w:val="bottom"/>
            <w:shd w:val="clear" w:color="auto" w:fill="CEF9CE"/>
          </w:tcPr>
          <w:p>
            <w:pPr>
              <w:spacing w:after="0"/>
              <w:rPr>
                <w:sz w:val="21"/>
                <w:szCs w:val="21"/>
                <w:color w:val="auto"/>
              </w:rPr>
            </w:pPr>
          </w:p>
        </w:tc>
        <w:tc>
          <w:tcPr>
            <w:tcW w:w="280" w:type="dxa"/>
            <w:vAlign w:val="bottom"/>
            <w:shd w:val="clear" w:color="auto" w:fill="CEF9CE"/>
          </w:tcPr>
          <w:p>
            <w:pPr>
              <w:spacing w:after="0"/>
              <w:rPr>
                <w:sz w:val="21"/>
                <w:szCs w:val="21"/>
                <w:color w:val="auto"/>
              </w:rPr>
            </w:pPr>
          </w:p>
        </w:tc>
        <w:tc>
          <w:tcPr>
            <w:tcW w:w="800" w:type="dxa"/>
            <w:vAlign w:val="bottom"/>
            <w:shd w:val="clear" w:color="auto" w:fill="CEF9CE"/>
          </w:tcPr>
          <w:p>
            <w:pPr>
              <w:spacing w:after="0"/>
              <w:rPr>
                <w:sz w:val="21"/>
                <w:szCs w:val="21"/>
                <w:color w:val="auto"/>
              </w:rPr>
            </w:pPr>
          </w:p>
        </w:tc>
        <w:tc>
          <w:tcPr>
            <w:tcW w:w="340" w:type="dxa"/>
            <w:vAlign w:val="bottom"/>
            <w:shd w:val="clear" w:color="auto" w:fill="CEF9CE"/>
          </w:tcPr>
          <w:p>
            <w:pPr>
              <w:spacing w:after="0"/>
              <w:rPr>
                <w:sz w:val="21"/>
                <w:szCs w:val="21"/>
                <w:color w:val="auto"/>
              </w:rPr>
            </w:pPr>
          </w:p>
        </w:tc>
        <w:tc>
          <w:tcPr>
            <w:tcW w:w="880" w:type="dxa"/>
            <w:vAlign w:val="bottom"/>
            <w:shd w:val="clear" w:color="auto" w:fill="CEF9CE"/>
          </w:tcPr>
          <w:p>
            <w:pPr>
              <w:spacing w:after="0"/>
              <w:rPr>
                <w:sz w:val="21"/>
                <w:szCs w:val="21"/>
                <w:color w:val="auto"/>
              </w:rPr>
            </w:pPr>
          </w:p>
        </w:tc>
        <w:tc>
          <w:tcPr>
            <w:tcW w:w="440" w:type="dxa"/>
            <w:vAlign w:val="bottom"/>
            <w:shd w:val="clear" w:color="auto" w:fill="CEF9CE"/>
          </w:tcPr>
          <w:p>
            <w:pPr>
              <w:spacing w:after="0"/>
              <w:rPr>
                <w:sz w:val="21"/>
                <w:szCs w:val="21"/>
                <w:color w:val="auto"/>
              </w:rPr>
            </w:pPr>
          </w:p>
        </w:tc>
        <w:tc>
          <w:tcPr>
            <w:tcW w:w="780" w:type="dxa"/>
            <w:vAlign w:val="bottom"/>
            <w:shd w:val="clear" w:color="auto" w:fill="CEF9CE"/>
          </w:tcPr>
          <w:p>
            <w:pPr>
              <w:spacing w:after="0"/>
              <w:rPr>
                <w:sz w:val="21"/>
                <w:szCs w:val="21"/>
                <w:color w:val="auto"/>
              </w:rPr>
            </w:pPr>
          </w:p>
        </w:tc>
        <w:tc>
          <w:tcPr>
            <w:tcW w:w="300" w:type="dxa"/>
            <w:vAlign w:val="bottom"/>
            <w:shd w:val="clear" w:color="auto" w:fill="CEF9CE"/>
          </w:tcPr>
          <w:p>
            <w:pPr>
              <w:spacing w:after="0"/>
              <w:rPr>
                <w:sz w:val="21"/>
                <w:szCs w:val="21"/>
                <w:color w:val="auto"/>
              </w:rPr>
            </w:pPr>
          </w:p>
        </w:tc>
        <w:tc>
          <w:tcPr>
            <w:tcW w:w="800" w:type="dxa"/>
            <w:vAlign w:val="bottom"/>
            <w:shd w:val="clear" w:color="auto" w:fill="CEF9CE"/>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(1 )</w:t>
            </w:r>
          </w:p>
        </w:tc>
        <w:tc>
          <w:tcPr>
            <w:tcW w:w="3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(4 )</w:t>
            </w:r>
          </w:p>
        </w:tc>
      </w:tr>
      <w:tr>
        <w:trPr>
          <w:trHeight w:val="249"/>
        </w:trPr>
        <w:tc>
          <w:tcPr>
            <w:tcW w:w="4720" w:type="dxa"/>
            <w:vAlign w:val="bottom"/>
            <w:shd w:val="clear" w:color="auto" w:fill="CEF9CE"/>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EF9CE"/>
          </w:tcPr>
          <w:p>
            <w:pPr>
              <w:spacing w:after="0"/>
              <w:rPr>
                <w:sz w:val="21"/>
                <w:szCs w:val="21"/>
                <w:color w:val="auto"/>
              </w:rPr>
            </w:pPr>
          </w:p>
        </w:tc>
        <w:tc>
          <w:tcPr>
            <w:tcW w:w="88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EF9CE"/>
          </w:tcPr>
          <w:p>
            <w:pPr>
              <w:spacing w:after="0"/>
              <w:rPr>
                <w:sz w:val="21"/>
                <w:szCs w:val="21"/>
                <w:color w:val="auto"/>
              </w:rPr>
            </w:pPr>
          </w:p>
        </w:tc>
        <w:tc>
          <w:tcPr>
            <w:tcW w:w="78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22</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(14 )</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(18 )</w:t>
            </w: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(44 )</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(53 )</w:t>
            </w:r>
          </w:p>
        </w:tc>
      </w:tr>
      <w:tr>
        <w:trPr>
          <w:trHeight w:val="237"/>
        </w:trPr>
        <w:tc>
          <w:tcPr>
            <w:tcW w:w="4720" w:type="dxa"/>
            <w:vAlign w:val="bottom"/>
            <w:shd w:val="clear" w:color="auto" w:fill="CEF9CE"/>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EF9CE"/>
          </w:tcPr>
          <w:p>
            <w:pPr>
              <w:spacing w:after="0"/>
              <w:rPr>
                <w:sz w:val="20"/>
                <w:szCs w:val="20"/>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EF9CE"/>
          </w:tcPr>
          <w:p>
            <w:pPr>
              <w:spacing w:after="0"/>
              <w:rPr>
                <w:sz w:val="20"/>
                <w:szCs w:val="20"/>
                <w:color w:val="auto"/>
              </w:rPr>
            </w:pPr>
          </w:p>
        </w:tc>
        <w:tc>
          <w:tcPr>
            <w:tcW w:w="88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EF9CE"/>
          </w:tcPr>
          <w:p>
            <w:pPr>
              <w:spacing w:after="0"/>
              <w:rPr>
                <w:sz w:val="20"/>
                <w:szCs w:val="20"/>
                <w:color w:val="auto"/>
              </w:rPr>
            </w:pPr>
          </w:p>
        </w:tc>
        <w:tc>
          <w:tcPr>
            <w:tcW w:w="78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EF9CE"/>
          </w:tcPr>
          <w:p>
            <w:pPr>
              <w:spacing w:after="0"/>
              <w:rPr>
                <w:sz w:val="20"/>
                <w:szCs w:val="20"/>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295</w:t>
            </w:r>
          </w:p>
        </w:tc>
      </w:tr>
      <w:tr>
        <w:trPr>
          <w:trHeight w:val="243"/>
        </w:trPr>
        <w:tc>
          <w:tcPr>
            <w:tcW w:w="4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720" w:type="dxa"/>
            <w:vAlign w:val="bottom"/>
            <w:tcBorders>
              <w:bottom w:val="single" w:sz="8" w:color="CEF9CE"/>
            </w:tcBorders>
            <w:shd w:val="clear" w:color="auto" w:fill="CEF9CE"/>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EF9CE"/>
          </w:tcPr>
          <w:p>
            <w:pPr>
              <w:spacing w:after="0"/>
              <w:rPr>
                <w:sz w:val="21"/>
                <w:szCs w:val="21"/>
                <w:color w:val="auto"/>
              </w:rPr>
            </w:pP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shd w:val="clear" w:color="auto" w:fill="CEF9CE"/>
          </w:tcPr>
          <w:p>
            <w:pPr>
              <w:spacing w:after="0"/>
              <w:rPr>
                <w:sz w:val="21"/>
                <w:szCs w:val="21"/>
                <w:color w:val="auto"/>
              </w:rPr>
            </w:pPr>
          </w:p>
        </w:tc>
        <w:tc>
          <w:tcPr>
            <w:tcW w:w="88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44</w:t>
            </w:r>
          </w:p>
        </w:tc>
        <w:tc>
          <w:tcPr>
            <w:tcW w:w="440" w:type="dxa"/>
            <w:vAlign w:val="bottom"/>
            <w:tcBorders>
              <w:bottom w:val="single" w:sz="8" w:color="auto"/>
            </w:tcBorders>
            <w:shd w:val="clear" w:color="auto" w:fill="CEF9CE"/>
          </w:tcPr>
          <w:p>
            <w:pPr>
              <w:spacing w:after="0"/>
              <w:rPr>
                <w:sz w:val="21"/>
                <w:szCs w:val="21"/>
                <w:color w:val="auto"/>
              </w:rPr>
            </w:pPr>
          </w:p>
        </w:tc>
        <w:tc>
          <w:tcPr>
            <w:tcW w:w="78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auto"/>
            </w:tcBorders>
            <w:shd w:val="clear" w:color="auto" w:fill="CEF9CE"/>
          </w:tcPr>
          <w:p>
            <w:pPr>
              <w:spacing w:after="0"/>
              <w:rPr>
                <w:sz w:val="21"/>
                <w:szCs w:val="21"/>
                <w:color w:val="auto"/>
              </w:rPr>
            </w:pP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122</w:t>
            </w:r>
          </w:p>
        </w:tc>
      </w:tr>
      <w:tr>
        <w:trPr>
          <w:trHeight w:val="237"/>
        </w:trPr>
        <w:tc>
          <w:tcPr>
            <w:tcW w:w="4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4720" w:type="dxa"/>
            <w:vAlign w:val="bottom"/>
            <w:shd w:val="clear" w:color="auto" w:fill="CEF9CE"/>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EF9CE"/>
          </w:tcPr>
          <w:p>
            <w:pPr>
              <w:spacing w:after="0"/>
              <w:rPr>
                <w:sz w:val="21"/>
                <w:szCs w:val="21"/>
                <w:color w:val="auto"/>
              </w:rPr>
            </w:pPr>
          </w:p>
        </w:tc>
        <w:tc>
          <w:tcPr>
            <w:tcW w:w="88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EF9CE"/>
          </w:tcPr>
          <w:p>
            <w:pPr>
              <w:spacing w:after="0"/>
              <w:rPr>
                <w:sz w:val="21"/>
                <w:szCs w:val="21"/>
                <w:color w:val="auto"/>
              </w:rPr>
            </w:pPr>
          </w:p>
        </w:tc>
        <w:tc>
          <w:tcPr>
            <w:tcW w:w="78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EF9CE"/>
          </w:tcPr>
          <w:p>
            <w:pPr>
              <w:spacing w:after="0"/>
              <w:rPr>
                <w:sz w:val="21"/>
                <w:szCs w:val="21"/>
                <w:color w:val="auto"/>
              </w:rPr>
            </w:pPr>
          </w:p>
        </w:tc>
        <w:tc>
          <w:tcPr>
            <w:tcW w:w="8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173</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Preferred dividend requirements</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r>
      <w:tr>
        <w:trPr>
          <w:trHeight w:val="257"/>
        </w:trPr>
        <w:tc>
          <w:tcPr>
            <w:tcW w:w="4720" w:type="dxa"/>
            <w:vAlign w:val="bottom"/>
            <w:tcBorders>
              <w:bottom w:val="single" w:sz="8" w:color="CEF9CE"/>
            </w:tcBorders>
            <w:shd w:val="clear" w:color="auto" w:fill="CEF9CE"/>
          </w:tcPr>
          <w:p>
            <w:pPr>
              <w:ind w:left="20"/>
              <w:spacing w:after="0"/>
              <w:rPr>
                <w:sz w:val="20"/>
                <w:szCs w:val="20"/>
                <w:color w:val="auto"/>
              </w:rPr>
            </w:pPr>
            <w:r>
              <w:rPr>
                <w:rFonts w:ascii="Arial" w:cs="Arial" w:eastAsia="Arial" w:hAnsi="Arial"/>
                <w:sz w:val="18"/>
                <w:szCs w:val="18"/>
                <w:color w:val="auto"/>
              </w:rPr>
              <w:t>Earnings applicable to common shares</w:t>
            </w:r>
          </w:p>
        </w:tc>
        <w:tc>
          <w:tcPr>
            <w:tcW w:w="28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77</w:t>
            </w:r>
          </w:p>
        </w:tc>
        <w:tc>
          <w:tcPr>
            <w:tcW w:w="34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9CE"/>
          </w:tcPr>
          <w:p>
            <w:pPr>
              <w:jc w:val="right"/>
              <w:ind w:right="250"/>
              <w:spacing w:after="0"/>
              <w:rPr>
                <w:sz w:val="20"/>
                <w:szCs w:val="20"/>
                <w:color w:val="auto"/>
              </w:rPr>
            </w:pPr>
            <w:r>
              <w:rPr>
                <w:rFonts w:ascii="Arial" w:cs="Arial" w:eastAsia="Arial" w:hAnsi="Arial"/>
                <w:sz w:val="18"/>
                <w:szCs w:val="18"/>
                <w:color w:val="auto"/>
              </w:rPr>
              <w:t>63</w:t>
            </w:r>
          </w:p>
        </w:tc>
        <w:tc>
          <w:tcPr>
            <w:tcW w:w="44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190</w:t>
            </w:r>
          </w:p>
        </w:tc>
        <w:tc>
          <w:tcPr>
            <w:tcW w:w="30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172</w:t>
            </w:r>
          </w:p>
        </w:tc>
      </w:tr>
    </w:tbl>
    <w:p>
      <w:pPr>
        <w:spacing w:after="0" w:line="24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-130175</wp:posOffset>
            </wp:positionV>
            <wp:extent cx="59258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258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380"/>
          </w:cols>
          <w:pgMar w:left="240" w:top="814" w:right="1279" w:bottom="1440" w:gutter="0" w:footer="0" w:header="0"/>
        </w:sectPr>
      </w:pPr>
    </w:p>
    <w:bookmarkStart w:id="7" w:name="page8"/>
    <w:bookmarkEnd w:id="7"/>
    <w:p>
      <w:pPr>
        <w:ind w:left="1360" w:right="3719"/>
        <w:spacing w:after="0" w:line="309" w:lineRule="auto"/>
        <w:rPr>
          <w:sz w:val="20"/>
          <w:szCs w:val="20"/>
          <w:color w:val="auto"/>
        </w:rPr>
      </w:pPr>
      <w:r>
        <w:rPr>
          <w:rFonts w:ascii="Arial" w:cs="Arial" w:eastAsia="Arial" w:hAnsi="Arial"/>
          <w:sz w:val="18"/>
          <w:szCs w:val="18"/>
          <w:color w:val="auto"/>
        </w:rPr>
        <w:t>SOUTHERN CALIFORNIA GAS COMPANY AND SUBSIDIARIES CONSOLIDATED BALANCE SHEETS</w:t>
      </w:r>
    </w:p>
    <w:p>
      <w:pPr>
        <w:spacing w:after="0" w:line="206"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11"/>
              <w:spacing w:after="0"/>
              <w:rPr>
                <w:sz w:val="20"/>
                <w:szCs w:val="20"/>
                <w:color w:val="auto"/>
              </w:rPr>
            </w:pPr>
            <w:r>
              <w:rPr>
                <w:rFonts w:ascii="Arial" w:cs="Arial" w:eastAsia="Arial" w:hAnsi="Arial"/>
                <w:sz w:val="17"/>
                <w:szCs w:val="17"/>
                <w:color w:val="auto"/>
                <w:w w:val="89"/>
              </w:rPr>
              <w:t>September 30,</w:t>
            </w:r>
          </w:p>
        </w:tc>
        <w:tc>
          <w:tcPr>
            <w:tcW w:w="380" w:type="dxa"/>
            <w:vAlign w:val="bottom"/>
          </w:tcPr>
          <w:p>
            <w:pPr>
              <w:spacing w:after="0"/>
              <w:rPr>
                <w:sz w:val="18"/>
                <w:szCs w:val="18"/>
                <w:color w:val="auto"/>
              </w:rPr>
            </w:pPr>
          </w:p>
        </w:tc>
        <w:tc>
          <w:tcPr>
            <w:tcW w:w="1320" w:type="dxa"/>
            <w:vAlign w:val="bottom"/>
          </w:tcPr>
          <w:p>
            <w:pPr>
              <w:jc w:val="right"/>
              <w:ind w:right="211"/>
              <w:spacing w:after="0"/>
              <w:rPr>
                <w:sz w:val="20"/>
                <w:szCs w:val="20"/>
                <w:color w:val="auto"/>
              </w:rPr>
            </w:pPr>
            <w:r>
              <w:rPr>
                <w:rFonts w:ascii="Arial" w:cs="Arial" w:eastAsia="Arial" w:hAnsi="Arial"/>
                <w:sz w:val="17"/>
                <w:szCs w:val="17"/>
                <w:color w:val="auto"/>
                <w:w w:val="93"/>
              </w:rPr>
              <w:t>December 31,</w:t>
            </w:r>
          </w:p>
        </w:tc>
      </w:tr>
      <w:tr>
        <w:trPr>
          <w:trHeight w:val="254"/>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31"/>
              <w:spacing w:after="0"/>
              <w:rPr>
                <w:sz w:val="20"/>
                <w:szCs w:val="20"/>
                <w:color w:val="auto"/>
              </w:rPr>
            </w:pPr>
            <w:r>
              <w:rPr>
                <w:rFonts w:ascii="Arial" w:cs="Arial" w:eastAsia="Arial" w:hAnsi="Arial"/>
                <w:sz w:val="17"/>
                <w:szCs w:val="17"/>
                <w:color w:val="auto"/>
                <w:w w:val="89"/>
              </w:rPr>
              <w:t>2008</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7"/>
                <w:szCs w:val="17"/>
                <w:color w:val="auto"/>
              </w:rPr>
              <w:t>2007</w:t>
            </w:r>
          </w:p>
        </w:tc>
      </w:tr>
      <w:tr>
        <w:trPr>
          <w:trHeight w:val="230"/>
        </w:trPr>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center"/>
              <w:ind w:right="111"/>
              <w:spacing w:after="0"/>
              <w:rPr>
                <w:sz w:val="20"/>
                <w:szCs w:val="20"/>
                <w:color w:val="auto"/>
              </w:rPr>
            </w:pPr>
            <w:r>
              <w:rPr>
                <w:rFonts w:ascii="Arial" w:cs="Arial" w:eastAsia="Arial" w:hAnsi="Arial"/>
                <w:sz w:val="18"/>
                <w:szCs w:val="18"/>
                <w:color w:val="auto"/>
                <w:w w:val="92"/>
              </w:rPr>
              <w:t>(unaudited)</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5580" w:type="dxa"/>
            <w:vAlign w:val="bottom"/>
            <w:shd w:val="clear" w:color="auto" w:fill="CEF9CE"/>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EF9CE"/>
          </w:tcPr>
          <w:p>
            <w:pPr>
              <w:jc w:val="right"/>
              <w:ind w:right="371"/>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EF9CE"/>
          </w:tcPr>
          <w:p>
            <w:pPr>
              <w:jc w:val="right"/>
              <w:ind w:right="531"/>
              <w:spacing w:after="0"/>
              <w:rPr>
                <w:sz w:val="20"/>
                <w:szCs w:val="20"/>
                <w:color w:val="auto"/>
              </w:rPr>
            </w:pPr>
            <w:r>
              <w:rPr>
                <w:rFonts w:ascii="Arial" w:cs="Arial" w:eastAsia="Arial" w:hAnsi="Arial"/>
                <w:sz w:val="18"/>
                <w:szCs w:val="18"/>
                <w:color w:val="auto"/>
              </w:rPr>
              <w:t>59</w:t>
            </w:r>
          </w:p>
        </w:tc>
      </w:tr>
      <w:tr>
        <w:trPr>
          <w:trHeight w:val="237"/>
        </w:trPr>
        <w:tc>
          <w:tcPr>
            <w:tcW w:w="5580" w:type="dxa"/>
            <w:vAlign w:val="bottom"/>
          </w:tcPr>
          <w:p>
            <w:pPr>
              <w:ind w:left="240"/>
              <w:spacing w:after="0"/>
              <w:rPr>
                <w:sz w:val="20"/>
                <w:szCs w:val="20"/>
                <w:color w:val="auto"/>
              </w:rPr>
            </w:pPr>
            <w:r>
              <w:rPr>
                <w:rFonts w:ascii="Arial" w:cs="Arial" w:eastAsia="Arial" w:hAnsi="Arial"/>
                <w:sz w:val="18"/>
                <w:szCs w:val="18"/>
                <w:color w:val="auto"/>
              </w:rPr>
              <w:t>Accounts receivable - trade</w:t>
            </w:r>
          </w:p>
        </w:tc>
        <w:tc>
          <w:tcPr>
            <w:tcW w:w="200" w:type="dxa"/>
            <w:vAlign w:val="bottom"/>
          </w:tcPr>
          <w:p>
            <w:pPr>
              <w:spacing w:after="0"/>
              <w:rPr>
                <w:sz w:val="20"/>
                <w:szCs w:val="20"/>
                <w:color w:val="auto"/>
              </w:rPr>
            </w:pPr>
          </w:p>
        </w:tc>
        <w:tc>
          <w:tcPr>
            <w:tcW w:w="1240" w:type="dxa"/>
            <w:vAlign w:val="bottom"/>
          </w:tcPr>
          <w:p>
            <w:pPr>
              <w:jc w:val="right"/>
              <w:ind w:right="371"/>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671</w:t>
            </w:r>
          </w:p>
        </w:tc>
      </w:tr>
      <w:tr>
        <w:trPr>
          <w:trHeight w:val="249"/>
        </w:trPr>
        <w:tc>
          <w:tcPr>
            <w:tcW w:w="5580" w:type="dxa"/>
            <w:vAlign w:val="bottom"/>
            <w:shd w:val="clear" w:color="auto" w:fill="CEF9CE"/>
          </w:tcPr>
          <w:p>
            <w:pPr>
              <w:ind w:left="240"/>
              <w:spacing w:after="0"/>
              <w:rPr>
                <w:sz w:val="20"/>
                <w:szCs w:val="20"/>
                <w:color w:val="auto"/>
              </w:rPr>
            </w:pPr>
            <w:r>
              <w:rPr>
                <w:rFonts w:ascii="Arial" w:cs="Arial" w:eastAsia="Arial" w:hAnsi="Arial"/>
                <w:sz w:val="18"/>
                <w:szCs w:val="18"/>
                <w:color w:val="auto"/>
              </w:rPr>
              <w:t>Accounts receivable - other</w:t>
            </w:r>
          </w:p>
        </w:tc>
        <w:tc>
          <w:tcPr>
            <w:tcW w:w="200" w:type="dxa"/>
            <w:vAlign w:val="bottom"/>
            <w:shd w:val="clear" w:color="auto" w:fill="CEF9CE"/>
          </w:tcPr>
          <w:p>
            <w:pPr>
              <w:spacing w:after="0"/>
              <w:rPr>
                <w:sz w:val="21"/>
                <w:szCs w:val="21"/>
                <w:color w:val="auto"/>
              </w:rPr>
            </w:pPr>
          </w:p>
        </w:tc>
        <w:tc>
          <w:tcPr>
            <w:tcW w:w="1240" w:type="dxa"/>
            <w:vAlign w:val="bottom"/>
            <w:shd w:val="clear" w:color="auto" w:fill="CEF9CE"/>
          </w:tcPr>
          <w:p>
            <w:pPr>
              <w:jc w:val="right"/>
              <w:ind w:right="371"/>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EF9CE"/>
          </w:tcPr>
          <w:p>
            <w:pPr>
              <w:spacing w:after="0"/>
              <w:rPr>
                <w:sz w:val="21"/>
                <w:szCs w:val="21"/>
                <w:color w:val="auto"/>
              </w:rPr>
            </w:pPr>
          </w:p>
        </w:tc>
        <w:tc>
          <w:tcPr>
            <w:tcW w:w="1320" w:type="dxa"/>
            <w:vAlign w:val="bottom"/>
            <w:shd w:val="clear" w:color="auto" w:fill="CEF9CE"/>
          </w:tcPr>
          <w:p>
            <w:pPr>
              <w:jc w:val="right"/>
              <w:ind w:right="531"/>
              <w:spacing w:after="0"/>
              <w:rPr>
                <w:sz w:val="20"/>
                <w:szCs w:val="20"/>
                <w:color w:val="auto"/>
              </w:rPr>
            </w:pPr>
            <w:r>
              <w:rPr>
                <w:rFonts w:ascii="Arial" w:cs="Arial" w:eastAsia="Arial" w:hAnsi="Arial"/>
                <w:sz w:val="18"/>
                <w:szCs w:val="18"/>
                <w:color w:val="auto"/>
              </w:rPr>
              <w:t>22</w:t>
            </w:r>
          </w:p>
        </w:tc>
      </w:tr>
      <w:tr>
        <w:trPr>
          <w:trHeight w:val="237"/>
        </w:trPr>
        <w:tc>
          <w:tcPr>
            <w:tcW w:w="5580" w:type="dxa"/>
            <w:vAlign w:val="bottom"/>
          </w:tcPr>
          <w:p>
            <w:pPr>
              <w:ind w:left="240"/>
              <w:spacing w:after="0"/>
              <w:rPr>
                <w:sz w:val="20"/>
                <w:szCs w:val="20"/>
                <w:color w:val="auto"/>
              </w:rPr>
            </w:pPr>
            <w:r>
              <w:rPr>
                <w:rFonts w:ascii="Arial" w:cs="Arial" w:eastAsia="Arial" w:hAnsi="Arial"/>
                <w:sz w:val="18"/>
                <w:szCs w:val="18"/>
                <w:color w:val="auto"/>
              </w:rPr>
              <w:t>Due from unconsolidated affiliates</w:t>
            </w:r>
          </w:p>
        </w:tc>
        <w:tc>
          <w:tcPr>
            <w:tcW w:w="200" w:type="dxa"/>
            <w:vAlign w:val="bottom"/>
          </w:tcPr>
          <w:p>
            <w:pPr>
              <w:spacing w:after="0"/>
              <w:rPr>
                <w:sz w:val="20"/>
                <w:szCs w:val="20"/>
                <w:color w:val="auto"/>
              </w:rPr>
            </w:pPr>
          </w:p>
        </w:tc>
        <w:tc>
          <w:tcPr>
            <w:tcW w:w="1240" w:type="dxa"/>
            <w:vAlign w:val="bottom"/>
          </w:tcPr>
          <w:p>
            <w:pPr>
              <w:jc w:val="right"/>
              <w:ind w:right="371"/>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129</w:t>
            </w:r>
          </w:p>
        </w:tc>
      </w:tr>
      <w:tr>
        <w:trPr>
          <w:trHeight w:val="249"/>
        </w:trPr>
        <w:tc>
          <w:tcPr>
            <w:tcW w:w="5580" w:type="dxa"/>
            <w:vAlign w:val="bottom"/>
            <w:shd w:val="clear" w:color="auto" w:fill="CEF9CE"/>
          </w:tcPr>
          <w:p>
            <w:pPr>
              <w:ind w:left="24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EF9CE"/>
          </w:tcPr>
          <w:p>
            <w:pPr>
              <w:spacing w:after="0"/>
              <w:rPr>
                <w:sz w:val="21"/>
                <w:szCs w:val="21"/>
                <w:color w:val="auto"/>
              </w:rPr>
            </w:pPr>
          </w:p>
        </w:tc>
        <w:tc>
          <w:tcPr>
            <w:tcW w:w="1240" w:type="dxa"/>
            <w:vAlign w:val="bottom"/>
            <w:shd w:val="clear" w:color="auto" w:fill="CEF9CE"/>
          </w:tcPr>
          <w:p>
            <w:pPr>
              <w:jc w:val="right"/>
              <w:ind w:right="371"/>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EF9CE"/>
          </w:tcPr>
          <w:p>
            <w:pPr>
              <w:spacing w:after="0"/>
              <w:rPr>
                <w:sz w:val="21"/>
                <w:szCs w:val="21"/>
                <w:color w:val="auto"/>
              </w:rPr>
            </w:pPr>
          </w:p>
        </w:tc>
        <w:tc>
          <w:tcPr>
            <w:tcW w:w="1320" w:type="dxa"/>
            <w:vAlign w:val="bottom"/>
            <w:shd w:val="clear" w:color="auto" w:fill="CEF9CE"/>
          </w:tcPr>
          <w:p>
            <w:pPr>
              <w:jc w:val="right"/>
              <w:ind w:right="531"/>
              <w:spacing w:after="0"/>
              <w:rPr>
                <w:sz w:val="20"/>
                <w:szCs w:val="20"/>
                <w:color w:val="auto"/>
              </w:rPr>
            </w:pPr>
            <w:r>
              <w:rPr>
                <w:rFonts w:ascii="Arial" w:cs="Arial" w:eastAsia="Arial" w:hAnsi="Arial"/>
                <w:sz w:val="18"/>
                <w:szCs w:val="18"/>
                <w:color w:val="auto"/>
              </w:rPr>
              <w:t>--</w:t>
            </w:r>
          </w:p>
        </w:tc>
      </w:tr>
      <w:tr>
        <w:trPr>
          <w:trHeight w:val="237"/>
        </w:trPr>
        <w:tc>
          <w:tcPr>
            <w:tcW w:w="55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0"/>
                <w:szCs w:val="20"/>
                <w:color w:val="auto"/>
              </w:rPr>
            </w:pPr>
          </w:p>
        </w:tc>
        <w:tc>
          <w:tcPr>
            <w:tcW w:w="1240" w:type="dxa"/>
            <w:vAlign w:val="bottom"/>
          </w:tcPr>
          <w:p>
            <w:pPr>
              <w:jc w:val="right"/>
              <w:ind w:right="371"/>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33</w:t>
            </w:r>
          </w:p>
        </w:tc>
      </w:tr>
      <w:tr>
        <w:trPr>
          <w:trHeight w:val="249"/>
        </w:trPr>
        <w:tc>
          <w:tcPr>
            <w:tcW w:w="5580" w:type="dxa"/>
            <w:vAlign w:val="bottom"/>
            <w:shd w:val="clear" w:color="auto" w:fill="CEF9CE"/>
          </w:tcPr>
          <w:p>
            <w:pPr>
              <w:ind w:left="2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EF9CE"/>
          </w:tcPr>
          <w:p>
            <w:pPr>
              <w:spacing w:after="0"/>
              <w:rPr>
                <w:sz w:val="21"/>
                <w:szCs w:val="21"/>
                <w:color w:val="auto"/>
              </w:rPr>
            </w:pPr>
          </w:p>
        </w:tc>
        <w:tc>
          <w:tcPr>
            <w:tcW w:w="1240" w:type="dxa"/>
            <w:vAlign w:val="bottom"/>
            <w:shd w:val="clear" w:color="auto" w:fill="CEF9CE"/>
          </w:tcPr>
          <w:p>
            <w:pPr>
              <w:jc w:val="right"/>
              <w:ind w:right="371"/>
              <w:spacing w:after="0"/>
              <w:rPr>
                <w:sz w:val="20"/>
                <w:szCs w:val="20"/>
                <w:color w:val="auto"/>
              </w:rPr>
            </w:pPr>
            <w:r>
              <w:rPr>
                <w:rFonts w:ascii="Arial" w:cs="Arial" w:eastAsia="Arial" w:hAnsi="Arial"/>
                <w:sz w:val="18"/>
                <w:szCs w:val="18"/>
                <w:color w:val="auto"/>
              </w:rPr>
              <w:t>327</w:t>
            </w:r>
          </w:p>
        </w:tc>
        <w:tc>
          <w:tcPr>
            <w:tcW w:w="380" w:type="dxa"/>
            <w:vAlign w:val="bottom"/>
            <w:shd w:val="clear" w:color="auto" w:fill="CEF9CE"/>
          </w:tcPr>
          <w:p>
            <w:pPr>
              <w:spacing w:after="0"/>
              <w:rPr>
                <w:sz w:val="21"/>
                <w:szCs w:val="21"/>
                <w:color w:val="auto"/>
              </w:rPr>
            </w:pPr>
          </w:p>
        </w:tc>
        <w:tc>
          <w:tcPr>
            <w:tcW w:w="1320" w:type="dxa"/>
            <w:vAlign w:val="bottom"/>
            <w:shd w:val="clear" w:color="auto" w:fill="CEF9CE"/>
          </w:tcPr>
          <w:p>
            <w:pPr>
              <w:jc w:val="right"/>
              <w:ind w:right="531"/>
              <w:spacing w:after="0"/>
              <w:rPr>
                <w:sz w:val="20"/>
                <w:szCs w:val="20"/>
                <w:color w:val="auto"/>
              </w:rPr>
            </w:pPr>
            <w:r>
              <w:rPr>
                <w:rFonts w:ascii="Arial" w:cs="Arial" w:eastAsia="Arial" w:hAnsi="Arial"/>
                <w:sz w:val="18"/>
                <w:szCs w:val="18"/>
                <w:color w:val="auto"/>
              </w:rPr>
              <w:t>98</w:t>
            </w:r>
          </w:p>
        </w:tc>
      </w:tr>
      <w:tr>
        <w:trPr>
          <w:trHeight w:val="237"/>
        </w:trPr>
        <w:tc>
          <w:tcPr>
            <w:tcW w:w="5580" w:type="dxa"/>
            <w:vAlign w:val="bottom"/>
          </w:tcPr>
          <w:p>
            <w:pPr>
              <w:ind w:left="240"/>
              <w:spacing w:after="0"/>
              <w:rPr>
                <w:sz w:val="20"/>
                <w:szCs w:val="20"/>
                <w:color w:val="auto"/>
              </w:rPr>
            </w:pPr>
            <w:r>
              <w:rPr>
                <w:rFonts w:ascii="Arial" w:cs="Arial" w:eastAsia="Arial" w:hAnsi="Arial"/>
                <w:sz w:val="18"/>
                <w:szCs w:val="18"/>
                <w:color w:val="auto"/>
              </w:rPr>
              <w:t>Regulatory assets</w:t>
            </w:r>
          </w:p>
        </w:tc>
        <w:tc>
          <w:tcPr>
            <w:tcW w:w="200" w:type="dxa"/>
            <w:vAlign w:val="bottom"/>
          </w:tcPr>
          <w:p>
            <w:pPr>
              <w:spacing w:after="0"/>
              <w:rPr>
                <w:sz w:val="20"/>
                <w:szCs w:val="20"/>
                <w:color w:val="auto"/>
              </w:rPr>
            </w:pPr>
          </w:p>
        </w:tc>
        <w:tc>
          <w:tcPr>
            <w:tcW w:w="1240" w:type="dxa"/>
            <w:vAlign w:val="bottom"/>
          </w:tcPr>
          <w:p>
            <w:pPr>
              <w:jc w:val="right"/>
              <w:ind w:right="371"/>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40</w:t>
            </w:r>
          </w:p>
        </w:tc>
      </w:tr>
      <w:tr>
        <w:trPr>
          <w:trHeight w:val="249"/>
        </w:trPr>
        <w:tc>
          <w:tcPr>
            <w:tcW w:w="5580" w:type="dxa"/>
            <w:vAlign w:val="bottom"/>
            <w:tcBorders>
              <w:bottom w:val="single" w:sz="8" w:color="CEF9CE"/>
            </w:tcBorders>
            <w:shd w:val="clear" w:color="auto" w:fill="CEF9CE"/>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EF9CE"/>
          </w:tcPr>
          <w:p>
            <w:pPr>
              <w:spacing w:after="0"/>
              <w:rPr>
                <w:sz w:val="21"/>
                <w:szCs w:val="21"/>
                <w:color w:val="auto"/>
              </w:rPr>
            </w:pPr>
          </w:p>
        </w:tc>
        <w:tc>
          <w:tcPr>
            <w:tcW w:w="1240" w:type="dxa"/>
            <w:vAlign w:val="bottom"/>
            <w:tcBorders>
              <w:bottom w:val="single" w:sz="8" w:color="auto"/>
            </w:tcBorders>
            <w:shd w:val="clear" w:color="auto" w:fill="CEF9CE"/>
          </w:tcPr>
          <w:p>
            <w:pPr>
              <w:jc w:val="right"/>
              <w:ind w:right="371"/>
              <w:spacing w:after="0"/>
              <w:rPr>
                <w:sz w:val="20"/>
                <w:szCs w:val="20"/>
                <w:color w:val="auto"/>
              </w:rPr>
            </w:pPr>
            <w:r>
              <w:rPr>
                <w:rFonts w:ascii="Arial" w:cs="Arial" w:eastAsia="Arial" w:hAnsi="Arial"/>
                <w:sz w:val="18"/>
                <w:szCs w:val="18"/>
                <w:color w:val="auto"/>
              </w:rPr>
              <w:t>63</w:t>
            </w:r>
          </w:p>
        </w:tc>
        <w:tc>
          <w:tcPr>
            <w:tcW w:w="380" w:type="dxa"/>
            <w:vAlign w:val="bottom"/>
            <w:tcBorders>
              <w:bottom w:val="single" w:sz="8" w:color="auto"/>
            </w:tcBorders>
            <w:shd w:val="clear" w:color="auto" w:fill="CEF9CE"/>
          </w:tcPr>
          <w:p>
            <w:pPr>
              <w:spacing w:after="0"/>
              <w:rPr>
                <w:sz w:val="21"/>
                <w:szCs w:val="21"/>
                <w:color w:val="auto"/>
              </w:rPr>
            </w:pPr>
          </w:p>
        </w:tc>
        <w:tc>
          <w:tcPr>
            <w:tcW w:w="1320" w:type="dxa"/>
            <w:vAlign w:val="bottom"/>
            <w:tcBorders>
              <w:bottom w:val="single" w:sz="8" w:color="auto"/>
            </w:tcBorders>
            <w:shd w:val="clear" w:color="auto" w:fill="CEF9CE"/>
          </w:tcPr>
          <w:p>
            <w:pPr>
              <w:jc w:val="right"/>
              <w:ind w:right="531"/>
              <w:spacing w:after="0"/>
              <w:rPr>
                <w:sz w:val="20"/>
                <w:szCs w:val="20"/>
                <w:color w:val="auto"/>
              </w:rPr>
            </w:pPr>
            <w:r>
              <w:rPr>
                <w:rFonts w:ascii="Arial" w:cs="Arial" w:eastAsia="Arial" w:hAnsi="Arial"/>
                <w:sz w:val="18"/>
                <w:szCs w:val="18"/>
                <w:color w:val="auto"/>
              </w:rPr>
              <w:t>22</w:t>
            </w:r>
          </w:p>
        </w:tc>
      </w:tr>
      <w:tr>
        <w:trPr>
          <w:trHeight w:val="237"/>
        </w:trPr>
        <w:tc>
          <w:tcPr>
            <w:tcW w:w="55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935</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1,074</w:t>
            </w:r>
          </w:p>
        </w:tc>
      </w:tr>
      <w:tr>
        <w:trPr>
          <w:trHeight w:val="237"/>
        </w:trPr>
        <w:tc>
          <w:tcPr>
            <w:tcW w:w="5580" w:type="dxa"/>
            <w:vAlign w:val="bottom"/>
            <w:shd w:val="clear" w:color="auto" w:fill="CEF9CE"/>
          </w:tcPr>
          <w:p>
            <w:pPr>
              <w:spacing w:after="0"/>
              <w:rPr>
                <w:sz w:val="20"/>
                <w:szCs w:val="20"/>
                <w:color w:val="auto"/>
              </w:rPr>
            </w:pPr>
          </w:p>
        </w:tc>
        <w:tc>
          <w:tcPr>
            <w:tcW w:w="200" w:type="dxa"/>
            <w:vAlign w:val="bottom"/>
            <w:shd w:val="clear" w:color="auto" w:fill="CEF9CE"/>
          </w:tcPr>
          <w:p>
            <w:pPr>
              <w:spacing w:after="0"/>
              <w:rPr>
                <w:sz w:val="20"/>
                <w:szCs w:val="20"/>
                <w:color w:val="auto"/>
              </w:rPr>
            </w:pPr>
          </w:p>
        </w:tc>
        <w:tc>
          <w:tcPr>
            <w:tcW w:w="1240" w:type="dxa"/>
            <w:vAlign w:val="bottom"/>
            <w:shd w:val="clear" w:color="auto" w:fill="CEF9CE"/>
          </w:tcPr>
          <w:p>
            <w:pPr>
              <w:spacing w:after="0"/>
              <w:rPr>
                <w:sz w:val="20"/>
                <w:szCs w:val="20"/>
                <w:color w:val="auto"/>
              </w:rPr>
            </w:pPr>
          </w:p>
        </w:tc>
        <w:tc>
          <w:tcPr>
            <w:tcW w:w="380" w:type="dxa"/>
            <w:vAlign w:val="bottom"/>
            <w:shd w:val="clear" w:color="auto" w:fill="CEF9CE"/>
          </w:tcPr>
          <w:p>
            <w:pPr>
              <w:spacing w:after="0"/>
              <w:rPr>
                <w:sz w:val="20"/>
                <w:szCs w:val="20"/>
                <w:color w:val="auto"/>
              </w:rPr>
            </w:pPr>
          </w:p>
        </w:tc>
        <w:tc>
          <w:tcPr>
            <w:tcW w:w="1320" w:type="dxa"/>
            <w:vAlign w:val="bottom"/>
            <w:shd w:val="clear" w:color="auto" w:fill="CEF9CE"/>
          </w:tcPr>
          <w:p>
            <w:pPr>
              <w:spacing w:after="0"/>
              <w:rPr>
                <w:sz w:val="20"/>
                <w:szCs w:val="20"/>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9"/>
        </w:trPr>
        <w:tc>
          <w:tcPr>
            <w:tcW w:w="5580" w:type="dxa"/>
            <w:vAlign w:val="bottom"/>
            <w:shd w:val="clear" w:color="auto" w:fill="CEF9CE"/>
          </w:tcPr>
          <w:p>
            <w:pPr>
              <w:ind w:left="240"/>
              <w:spacing w:after="0"/>
              <w:rPr>
                <w:sz w:val="20"/>
                <w:szCs w:val="20"/>
                <w:color w:val="auto"/>
              </w:rPr>
            </w:pPr>
            <w:r>
              <w:rPr>
                <w:rFonts w:ascii="Arial" w:cs="Arial" w:eastAsia="Arial" w:hAnsi="Arial"/>
                <w:sz w:val="18"/>
                <w:szCs w:val="18"/>
                <w:color w:val="auto"/>
              </w:rPr>
              <w:t>Regulatory assets</w:t>
            </w:r>
          </w:p>
        </w:tc>
        <w:tc>
          <w:tcPr>
            <w:tcW w:w="200" w:type="dxa"/>
            <w:vAlign w:val="bottom"/>
            <w:shd w:val="clear" w:color="auto" w:fill="CEF9CE"/>
          </w:tcPr>
          <w:p>
            <w:pPr>
              <w:spacing w:after="0"/>
              <w:rPr>
                <w:sz w:val="21"/>
                <w:szCs w:val="21"/>
                <w:color w:val="auto"/>
              </w:rPr>
            </w:pPr>
          </w:p>
        </w:tc>
        <w:tc>
          <w:tcPr>
            <w:tcW w:w="1240" w:type="dxa"/>
            <w:vAlign w:val="bottom"/>
            <w:shd w:val="clear" w:color="auto" w:fill="CEF9CE"/>
          </w:tcPr>
          <w:p>
            <w:pPr>
              <w:jc w:val="right"/>
              <w:ind w:right="371"/>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EF9CE"/>
          </w:tcPr>
          <w:p>
            <w:pPr>
              <w:spacing w:after="0"/>
              <w:rPr>
                <w:sz w:val="21"/>
                <w:szCs w:val="21"/>
                <w:color w:val="auto"/>
              </w:rPr>
            </w:pPr>
          </w:p>
        </w:tc>
        <w:tc>
          <w:tcPr>
            <w:tcW w:w="1320" w:type="dxa"/>
            <w:vAlign w:val="bottom"/>
            <w:shd w:val="clear" w:color="auto" w:fill="CEF9CE"/>
          </w:tcPr>
          <w:p>
            <w:pPr>
              <w:jc w:val="right"/>
              <w:ind w:right="531"/>
              <w:spacing w:after="0"/>
              <w:rPr>
                <w:sz w:val="20"/>
                <w:szCs w:val="20"/>
                <w:color w:val="auto"/>
              </w:rPr>
            </w:pPr>
            <w:r>
              <w:rPr>
                <w:rFonts w:ascii="Arial" w:cs="Arial" w:eastAsia="Arial" w:hAnsi="Arial"/>
                <w:sz w:val="18"/>
                <w:szCs w:val="18"/>
                <w:color w:val="auto"/>
              </w:rPr>
              <w:t>100</w:t>
            </w:r>
          </w:p>
        </w:tc>
      </w:tr>
      <w:tr>
        <w:trPr>
          <w:trHeight w:val="237"/>
        </w:trPr>
        <w:tc>
          <w:tcPr>
            <w:tcW w:w="5580" w:type="dxa"/>
            <w:vAlign w:val="bottom"/>
          </w:tcPr>
          <w:p>
            <w:pPr>
              <w:ind w:left="240"/>
              <w:spacing w:after="0"/>
              <w:rPr>
                <w:sz w:val="20"/>
                <w:szCs w:val="20"/>
                <w:color w:val="auto"/>
              </w:rPr>
            </w:pPr>
            <w:r>
              <w:rPr>
                <w:rFonts w:ascii="Arial" w:cs="Arial" w:eastAsia="Arial" w:hAnsi="Arial"/>
                <w:sz w:val="18"/>
                <w:szCs w:val="18"/>
                <w:color w:val="auto"/>
              </w:rPr>
              <w:t>Pension plan assets in excess of benefit obligations</w:t>
            </w:r>
          </w:p>
        </w:tc>
        <w:tc>
          <w:tcPr>
            <w:tcW w:w="200" w:type="dxa"/>
            <w:vAlign w:val="bottom"/>
          </w:tcPr>
          <w:p>
            <w:pPr>
              <w:spacing w:after="0"/>
              <w:rPr>
                <w:sz w:val="20"/>
                <w:szCs w:val="20"/>
                <w:color w:val="auto"/>
              </w:rPr>
            </w:pPr>
          </w:p>
        </w:tc>
        <w:tc>
          <w:tcPr>
            <w:tcW w:w="1240" w:type="dxa"/>
            <w:vAlign w:val="bottom"/>
          </w:tcPr>
          <w:p>
            <w:pPr>
              <w:jc w:val="right"/>
              <w:ind w:right="371"/>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62</w:t>
            </w:r>
          </w:p>
        </w:tc>
      </w:tr>
      <w:tr>
        <w:trPr>
          <w:trHeight w:val="249"/>
        </w:trPr>
        <w:tc>
          <w:tcPr>
            <w:tcW w:w="5580" w:type="dxa"/>
            <w:vAlign w:val="bottom"/>
            <w:tcBorders>
              <w:bottom w:val="single" w:sz="8" w:color="CEF9CE"/>
            </w:tcBorders>
            <w:shd w:val="clear" w:color="auto" w:fill="CEF9CE"/>
          </w:tcPr>
          <w:p>
            <w:pPr>
              <w:ind w:left="240"/>
              <w:spacing w:after="0"/>
              <w:rPr>
                <w:sz w:val="20"/>
                <w:szCs w:val="20"/>
                <w:color w:val="auto"/>
              </w:rPr>
            </w:pPr>
            <w:r>
              <w:rPr>
                <w:rFonts w:ascii="Arial" w:cs="Arial" w:eastAsia="Arial" w:hAnsi="Arial"/>
                <w:sz w:val="18"/>
                <w:szCs w:val="18"/>
                <w:color w:val="auto"/>
              </w:rPr>
              <w:t>Sundry</w:t>
            </w:r>
          </w:p>
        </w:tc>
        <w:tc>
          <w:tcPr>
            <w:tcW w:w="200" w:type="dxa"/>
            <w:vAlign w:val="bottom"/>
            <w:tcBorders>
              <w:bottom w:val="single" w:sz="8" w:color="auto"/>
            </w:tcBorders>
            <w:shd w:val="clear" w:color="auto" w:fill="CEF9CE"/>
          </w:tcPr>
          <w:p>
            <w:pPr>
              <w:spacing w:after="0"/>
              <w:rPr>
                <w:sz w:val="21"/>
                <w:szCs w:val="21"/>
                <w:color w:val="auto"/>
              </w:rPr>
            </w:pPr>
          </w:p>
        </w:tc>
        <w:tc>
          <w:tcPr>
            <w:tcW w:w="1240" w:type="dxa"/>
            <w:vAlign w:val="bottom"/>
            <w:tcBorders>
              <w:bottom w:val="single" w:sz="8" w:color="auto"/>
            </w:tcBorders>
            <w:shd w:val="clear" w:color="auto" w:fill="CEF9CE"/>
          </w:tcPr>
          <w:p>
            <w:pPr>
              <w:jc w:val="right"/>
              <w:ind w:right="371"/>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shd w:val="clear" w:color="auto" w:fill="CEF9CE"/>
          </w:tcPr>
          <w:p>
            <w:pPr>
              <w:spacing w:after="0"/>
              <w:rPr>
                <w:sz w:val="21"/>
                <w:szCs w:val="21"/>
                <w:color w:val="auto"/>
              </w:rPr>
            </w:pPr>
          </w:p>
        </w:tc>
        <w:tc>
          <w:tcPr>
            <w:tcW w:w="1320" w:type="dxa"/>
            <w:vAlign w:val="bottom"/>
            <w:tcBorders>
              <w:bottom w:val="single" w:sz="8" w:color="auto"/>
            </w:tcBorders>
            <w:shd w:val="clear" w:color="auto" w:fill="CEF9CE"/>
          </w:tcPr>
          <w:p>
            <w:pPr>
              <w:jc w:val="right"/>
              <w:ind w:right="531"/>
              <w:spacing w:after="0"/>
              <w:rPr>
                <w:sz w:val="20"/>
                <w:szCs w:val="20"/>
                <w:color w:val="auto"/>
              </w:rPr>
            </w:pPr>
            <w:r>
              <w:rPr>
                <w:rFonts w:ascii="Arial" w:cs="Arial" w:eastAsia="Arial" w:hAnsi="Arial"/>
                <w:sz w:val="18"/>
                <w:szCs w:val="18"/>
                <w:color w:val="auto"/>
              </w:rPr>
              <w:t>16</w:t>
            </w:r>
          </w:p>
        </w:tc>
      </w:tr>
      <w:tr>
        <w:trPr>
          <w:trHeight w:val="237"/>
        </w:trPr>
        <w:tc>
          <w:tcPr>
            <w:tcW w:w="5580" w:type="dxa"/>
            <w:vAlign w:val="bottom"/>
          </w:tcPr>
          <w:p>
            <w:pPr>
              <w:ind w:left="50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152</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178</w:t>
            </w:r>
          </w:p>
        </w:tc>
      </w:tr>
      <w:tr>
        <w:trPr>
          <w:trHeight w:val="237"/>
        </w:trPr>
        <w:tc>
          <w:tcPr>
            <w:tcW w:w="5580" w:type="dxa"/>
            <w:vAlign w:val="bottom"/>
            <w:shd w:val="clear" w:color="auto" w:fill="CEF9CE"/>
          </w:tcPr>
          <w:p>
            <w:pPr>
              <w:spacing w:after="0"/>
              <w:rPr>
                <w:sz w:val="20"/>
                <w:szCs w:val="20"/>
                <w:color w:val="auto"/>
              </w:rPr>
            </w:pPr>
          </w:p>
        </w:tc>
        <w:tc>
          <w:tcPr>
            <w:tcW w:w="200" w:type="dxa"/>
            <w:vAlign w:val="bottom"/>
            <w:shd w:val="clear" w:color="auto" w:fill="CEF9CE"/>
          </w:tcPr>
          <w:p>
            <w:pPr>
              <w:spacing w:after="0"/>
              <w:rPr>
                <w:sz w:val="20"/>
                <w:szCs w:val="20"/>
                <w:color w:val="auto"/>
              </w:rPr>
            </w:pPr>
          </w:p>
        </w:tc>
        <w:tc>
          <w:tcPr>
            <w:tcW w:w="1240" w:type="dxa"/>
            <w:vAlign w:val="bottom"/>
            <w:shd w:val="clear" w:color="auto" w:fill="CEF9CE"/>
          </w:tcPr>
          <w:p>
            <w:pPr>
              <w:spacing w:after="0"/>
              <w:rPr>
                <w:sz w:val="20"/>
                <w:szCs w:val="20"/>
                <w:color w:val="auto"/>
              </w:rPr>
            </w:pPr>
          </w:p>
        </w:tc>
        <w:tc>
          <w:tcPr>
            <w:tcW w:w="380" w:type="dxa"/>
            <w:vAlign w:val="bottom"/>
            <w:shd w:val="clear" w:color="auto" w:fill="CEF9CE"/>
          </w:tcPr>
          <w:p>
            <w:pPr>
              <w:spacing w:after="0"/>
              <w:rPr>
                <w:sz w:val="20"/>
                <w:szCs w:val="20"/>
                <w:color w:val="auto"/>
              </w:rPr>
            </w:pPr>
          </w:p>
        </w:tc>
        <w:tc>
          <w:tcPr>
            <w:tcW w:w="1320" w:type="dxa"/>
            <w:vAlign w:val="bottom"/>
            <w:shd w:val="clear" w:color="auto" w:fill="CEF9CE"/>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0219"/>
          </w:cols>
          <w:pgMar w:left="240" w:top="1030" w:right="1440" w:bottom="1440" w:gutter="0" w:footer="0" w:header="0"/>
        </w:sectPr>
      </w:pPr>
    </w:p>
    <w:p>
      <w:pPr>
        <w:ind w:left="1360"/>
        <w:spacing w:after="0"/>
        <w:rPr>
          <w:sz w:val="20"/>
          <w:szCs w:val="20"/>
          <w:color w:val="auto"/>
        </w:rPr>
      </w:pPr>
      <w:r>
        <w:rPr>
          <w:rFonts w:ascii="Arial" w:cs="Arial" w:eastAsia="Arial" w:hAnsi="Arial"/>
          <w:sz w:val="18"/>
          <w:szCs w:val="18"/>
          <w:color w:val="auto"/>
        </w:rPr>
        <w:t>Property, plant and equipment:</w:t>
      </w:r>
    </w:p>
    <w:p>
      <w:pPr>
        <w:spacing w:after="0" w:line="3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-130175</wp:posOffset>
            </wp:positionV>
            <wp:extent cx="553974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9740" cy="154305"/>
                    </a:xfrm>
                    <a:prstGeom prst="rect">
                      <a:avLst/>
                    </a:prstGeom>
                    <a:noFill/>
                  </pic:spPr>
                </pic:pic>
              </a:graphicData>
            </a:graphic>
          </wp:anchor>
        </w:drawing>
      </w:r>
    </w:p>
    <w:p>
      <w:pPr>
        <w:spacing w:after="0" w:line="30" w:lineRule="exact"/>
        <w:rPr>
          <w:sz w:val="20"/>
          <w:szCs w:val="20"/>
          <w:color w:val="auto"/>
        </w:rPr>
      </w:pPr>
    </w:p>
    <w:p>
      <w:pPr>
        <w:ind w:left="1860" w:right="1140" w:hanging="242"/>
        <w:spacing w:after="0" w:line="352" w:lineRule="auto"/>
        <w:rPr>
          <w:sz w:val="20"/>
          <w:szCs w:val="20"/>
          <w:color w:val="auto"/>
        </w:rPr>
      </w:pPr>
      <w:r>
        <w:rPr>
          <w:rFonts w:ascii="Arial" w:cs="Arial" w:eastAsia="Arial" w:hAnsi="Arial"/>
          <w:sz w:val="16"/>
          <w:szCs w:val="16"/>
          <w:color w:val="auto"/>
        </w:rPr>
        <w:t>Less accumulated depreciation and amortization 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-187325</wp:posOffset>
            </wp:positionV>
            <wp:extent cx="553974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9740" cy="16319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23495</wp:posOffset>
            </wp:positionV>
            <wp:extent cx="553974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97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8,714</w:t>
            </w:r>
          </w:p>
        </w:tc>
        <w:tc>
          <w:tcPr>
            <w:tcW w:w="5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8,446</w:t>
            </w:r>
          </w:p>
        </w:tc>
      </w:tr>
      <w:tr>
        <w:trPr>
          <w:trHeight w:val="250"/>
        </w:trPr>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(3,435 )</w:t>
            </w:r>
          </w:p>
        </w:tc>
        <w:tc>
          <w:tcPr>
            <w:tcW w:w="5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(3,292 )</w:t>
            </w:r>
          </w:p>
        </w:tc>
      </w:tr>
      <w:tr>
        <w:trPr>
          <w:trHeight w:val="237"/>
        </w:trPr>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5,279</w:t>
            </w: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5,154</w:t>
            </w:r>
          </w:p>
        </w:tc>
      </w:tr>
      <w:tr>
        <w:trPr>
          <w:trHeight w:val="263"/>
        </w:trPr>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6,366</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6,406</w:t>
            </w:r>
          </w:p>
        </w:tc>
      </w:tr>
    </w:tbl>
    <w:p>
      <w:pPr>
        <w:spacing w:after="0" w:line="200" w:lineRule="exact"/>
        <w:rPr>
          <w:sz w:val="20"/>
          <w:szCs w:val="20"/>
          <w:color w:val="auto"/>
        </w:rPr>
      </w:pPr>
    </w:p>
    <w:p>
      <w:pPr>
        <w:sectPr>
          <w:pgSz w:w="11900" w:h="16838" w:orient="portrait"/>
          <w:cols w:equalWidth="0" w:num="2">
            <w:col w:w="6220" w:space="720"/>
            <w:col w:w="3279"/>
          </w:cols>
          <w:pgMar w:left="240" w:top="1030" w:right="1440" w:bottom="1440" w:gutter="0" w:footer="0" w:header="0"/>
          <w:type w:val="continuous"/>
        </w:sectPr>
      </w:pPr>
    </w:p>
    <w:p>
      <w:pPr>
        <w:spacing w:after="0" w:line="42" w:lineRule="exact"/>
        <w:rPr>
          <w:sz w:val="20"/>
          <w:szCs w:val="20"/>
          <w:color w:val="auto"/>
        </w:rPr>
      </w:pPr>
    </w:p>
    <w:p>
      <w:pPr>
        <w:jc w:val="right"/>
        <w:ind w:right="45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19"/>
          </w:cols>
          <w:pgMar w:left="240" w:top="1030" w:right="1440" w:bottom="1440" w:gutter="0" w:footer="0" w:header="0"/>
          <w:type w:val="continuous"/>
        </w:sectPr>
      </w:pPr>
    </w:p>
    <w:bookmarkStart w:id="8" w:name="page9"/>
    <w:bookmarkEnd w:id="8"/>
    <w:p>
      <w:pPr>
        <w:ind w:left="1440" w:right="3659"/>
        <w:spacing w:after="0" w:line="309" w:lineRule="auto"/>
        <w:rPr>
          <w:sz w:val="20"/>
          <w:szCs w:val="20"/>
          <w:color w:val="auto"/>
        </w:rPr>
      </w:pPr>
      <w:r>
        <w:rPr>
          <w:rFonts w:ascii="Arial" w:cs="Arial" w:eastAsia="Arial" w:hAnsi="Arial"/>
          <w:sz w:val="18"/>
          <w:szCs w:val="18"/>
          <w:color w:val="auto"/>
        </w:rPr>
        <w:t>SOUTHERN CALIFORNIA GAS COMPANY AND SUBSIDIARIES CONSOLIDATED BALANCE SHEETS</w:t>
      </w:r>
    </w:p>
    <w:p>
      <w:pPr>
        <w:spacing w:after="0" w:line="206"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7"/>
                <w:szCs w:val="17"/>
                <w:color w:val="auto"/>
                <w:w w:val="89"/>
              </w:rPr>
              <w:t>September 30,</w:t>
            </w:r>
          </w:p>
        </w:tc>
        <w:tc>
          <w:tcPr>
            <w:tcW w:w="3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7"/>
                <w:szCs w:val="17"/>
                <w:color w:val="auto"/>
                <w:w w:val="89"/>
              </w:rPr>
              <w:t>December 31,</w:t>
            </w:r>
          </w:p>
        </w:tc>
      </w:tr>
      <w:tr>
        <w:trPr>
          <w:trHeight w:val="254"/>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7"/>
                <w:szCs w:val="17"/>
                <w:color w:val="auto"/>
                <w:w w:val="95"/>
              </w:rPr>
              <w:t>2008</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7"/>
                <w:szCs w:val="17"/>
                <w:color w:val="auto"/>
              </w:rPr>
              <w:t>2007</w:t>
            </w:r>
          </w:p>
        </w:tc>
      </w:tr>
      <w:tr>
        <w:trPr>
          <w:trHeight w:val="230"/>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92"/>
              </w:rPr>
              <w:t>(unaudited)</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2"/>
        </w:trPr>
        <w:tc>
          <w:tcPr>
            <w:tcW w:w="5640" w:type="dxa"/>
            <w:vAlign w:val="bottom"/>
          </w:tcPr>
          <w:p>
            <w:pPr>
              <w:ind w:left="2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Accounts payable - trade</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300</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Accounts payable - other</w:t>
            </w: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130</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Due to unconsolidated affiliates</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171</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26</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Regulatory balancing accounts, net</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183</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90</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87</w:t>
            </w:r>
          </w:p>
        </w:tc>
      </w:tr>
      <w:tr>
        <w:trPr>
          <w:trHeight w:val="249"/>
        </w:trPr>
        <w:tc>
          <w:tcPr>
            <w:tcW w:w="5640" w:type="dxa"/>
            <w:vAlign w:val="bottom"/>
            <w:tcBorders>
              <w:bottom w:val="single" w:sz="8" w:color="CEF9CE"/>
            </w:tcBorders>
            <w:shd w:val="clear" w:color="auto" w:fill="CEF9CE"/>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EF9CE"/>
          </w:tcPr>
          <w:p>
            <w:pPr>
              <w:spacing w:after="0"/>
              <w:rPr>
                <w:sz w:val="21"/>
                <w:szCs w:val="21"/>
                <w:color w:val="auto"/>
              </w:rPr>
            </w:pPr>
          </w:p>
        </w:tc>
        <w:tc>
          <w:tcPr>
            <w:tcW w:w="1220" w:type="dxa"/>
            <w:vAlign w:val="bottom"/>
            <w:tcBorders>
              <w:bottom w:val="single" w:sz="8" w:color="auto"/>
            </w:tcBorders>
            <w:shd w:val="clear" w:color="auto" w:fill="CEF9CE"/>
          </w:tcPr>
          <w:p>
            <w:pPr>
              <w:jc w:val="right"/>
              <w:ind w:right="410"/>
              <w:spacing w:after="0"/>
              <w:rPr>
                <w:sz w:val="20"/>
                <w:szCs w:val="20"/>
                <w:color w:val="auto"/>
              </w:rPr>
            </w:pPr>
            <w:r>
              <w:rPr>
                <w:rFonts w:ascii="Arial" w:cs="Arial" w:eastAsia="Arial" w:hAnsi="Arial"/>
                <w:sz w:val="18"/>
                <w:szCs w:val="18"/>
                <w:color w:val="auto"/>
              </w:rPr>
              <w:t>243</w:t>
            </w:r>
          </w:p>
        </w:tc>
        <w:tc>
          <w:tcPr>
            <w:tcW w:w="340" w:type="dxa"/>
            <w:vAlign w:val="bottom"/>
            <w:tcBorders>
              <w:bottom w:val="single" w:sz="8" w:color="auto"/>
            </w:tcBorders>
            <w:shd w:val="clear" w:color="auto" w:fill="CEF9CE"/>
          </w:tcPr>
          <w:p>
            <w:pPr>
              <w:spacing w:after="0"/>
              <w:rPr>
                <w:sz w:val="21"/>
                <w:szCs w:val="21"/>
                <w:color w:val="auto"/>
              </w:rPr>
            </w:pPr>
          </w:p>
        </w:tc>
        <w:tc>
          <w:tcPr>
            <w:tcW w:w="1180" w:type="dxa"/>
            <w:vAlign w:val="bottom"/>
            <w:tcBorders>
              <w:bottom w:val="single" w:sz="8" w:color="auto"/>
            </w:tcBorders>
            <w:shd w:val="clear" w:color="auto" w:fill="CEF9CE"/>
          </w:tcPr>
          <w:p>
            <w:pPr>
              <w:jc w:val="right"/>
              <w:ind w:right="370"/>
              <w:spacing w:after="0"/>
              <w:rPr>
                <w:sz w:val="20"/>
                <w:szCs w:val="20"/>
                <w:color w:val="auto"/>
              </w:rPr>
            </w:pPr>
            <w:r>
              <w:rPr>
                <w:rFonts w:ascii="Arial" w:cs="Arial" w:eastAsia="Arial" w:hAnsi="Arial"/>
                <w:sz w:val="18"/>
                <w:szCs w:val="18"/>
                <w:color w:val="auto"/>
              </w:rPr>
              <w:t>223</w:t>
            </w:r>
          </w:p>
        </w:tc>
      </w:tr>
      <w:tr>
        <w:trPr>
          <w:trHeight w:val="237"/>
        </w:trPr>
        <w:tc>
          <w:tcPr>
            <w:tcW w:w="56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1,018</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1,210</w:t>
            </w:r>
          </w:p>
        </w:tc>
      </w:tr>
      <w:tr>
        <w:trPr>
          <w:trHeight w:val="237"/>
        </w:trPr>
        <w:tc>
          <w:tcPr>
            <w:tcW w:w="5640" w:type="dxa"/>
            <w:vAlign w:val="bottom"/>
            <w:shd w:val="clear" w:color="auto" w:fill="CEF9CE"/>
          </w:tcPr>
          <w:p>
            <w:pPr>
              <w:spacing w:after="0"/>
              <w:rPr>
                <w:sz w:val="20"/>
                <w:szCs w:val="20"/>
                <w:color w:val="auto"/>
              </w:rPr>
            </w:pPr>
          </w:p>
        </w:tc>
        <w:tc>
          <w:tcPr>
            <w:tcW w:w="200" w:type="dxa"/>
            <w:vAlign w:val="bottom"/>
            <w:shd w:val="clear" w:color="auto" w:fill="CEF9CE"/>
          </w:tcPr>
          <w:p>
            <w:pPr>
              <w:spacing w:after="0"/>
              <w:rPr>
                <w:sz w:val="20"/>
                <w:szCs w:val="20"/>
                <w:color w:val="auto"/>
              </w:rPr>
            </w:pPr>
          </w:p>
        </w:tc>
        <w:tc>
          <w:tcPr>
            <w:tcW w:w="1220" w:type="dxa"/>
            <w:vAlign w:val="bottom"/>
            <w:shd w:val="clear" w:color="auto" w:fill="CEF9CE"/>
          </w:tcPr>
          <w:p>
            <w:pPr>
              <w:spacing w:after="0"/>
              <w:rPr>
                <w:sz w:val="20"/>
                <w:szCs w:val="20"/>
                <w:color w:val="auto"/>
              </w:rPr>
            </w:pPr>
          </w:p>
        </w:tc>
        <w:tc>
          <w:tcPr>
            <w:tcW w:w="340" w:type="dxa"/>
            <w:vAlign w:val="bottom"/>
            <w:shd w:val="clear" w:color="auto" w:fill="CEF9CE"/>
          </w:tcPr>
          <w:p>
            <w:pPr>
              <w:spacing w:after="0"/>
              <w:rPr>
                <w:sz w:val="20"/>
                <w:szCs w:val="20"/>
                <w:color w:val="auto"/>
              </w:rPr>
            </w:pPr>
          </w:p>
        </w:tc>
        <w:tc>
          <w:tcPr>
            <w:tcW w:w="1180" w:type="dxa"/>
            <w:vAlign w:val="bottom"/>
            <w:shd w:val="clear" w:color="auto" w:fill="CEF9CE"/>
          </w:tcPr>
          <w:p>
            <w:pPr>
              <w:spacing w:after="0"/>
              <w:rPr>
                <w:sz w:val="20"/>
                <w:szCs w:val="20"/>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1,113</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1,113</w:t>
            </w:r>
          </w:p>
        </w:tc>
      </w:tr>
      <w:tr>
        <w:trPr>
          <w:trHeight w:val="237"/>
        </w:trPr>
        <w:tc>
          <w:tcPr>
            <w:tcW w:w="5640" w:type="dxa"/>
            <w:vAlign w:val="bottom"/>
            <w:shd w:val="clear" w:color="auto" w:fill="CEF9CE"/>
          </w:tcPr>
          <w:p>
            <w:pPr>
              <w:spacing w:after="0"/>
              <w:rPr>
                <w:sz w:val="20"/>
                <w:szCs w:val="20"/>
                <w:color w:val="auto"/>
              </w:rPr>
            </w:pPr>
          </w:p>
        </w:tc>
        <w:tc>
          <w:tcPr>
            <w:tcW w:w="200" w:type="dxa"/>
            <w:vAlign w:val="bottom"/>
            <w:shd w:val="clear" w:color="auto" w:fill="CEF9CE"/>
          </w:tcPr>
          <w:p>
            <w:pPr>
              <w:spacing w:after="0"/>
              <w:rPr>
                <w:sz w:val="20"/>
                <w:szCs w:val="20"/>
                <w:color w:val="auto"/>
              </w:rPr>
            </w:pPr>
          </w:p>
        </w:tc>
        <w:tc>
          <w:tcPr>
            <w:tcW w:w="1220" w:type="dxa"/>
            <w:vAlign w:val="bottom"/>
            <w:shd w:val="clear" w:color="auto" w:fill="CEF9CE"/>
          </w:tcPr>
          <w:p>
            <w:pPr>
              <w:spacing w:after="0"/>
              <w:rPr>
                <w:sz w:val="20"/>
                <w:szCs w:val="20"/>
                <w:color w:val="auto"/>
              </w:rPr>
            </w:pPr>
          </w:p>
        </w:tc>
        <w:tc>
          <w:tcPr>
            <w:tcW w:w="340" w:type="dxa"/>
            <w:vAlign w:val="bottom"/>
            <w:shd w:val="clear" w:color="auto" w:fill="CEF9CE"/>
          </w:tcPr>
          <w:p>
            <w:pPr>
              <w:spacing w:after="0"/>
              <w:rPr>
                <w:sz w:val="20"/>
                <w:szCs w:val="20"/>
                <w:color w:val="auto"/>
              </w:rPr>
            </w:pPr>
          </w:p>
        </w:tc>
        <w:tc>
          <w:tcPr>
            <w:tcW w:w="1180" w:type="dxa"/>
            <w:vAlign w:val="bottom"/>
            <w:shd w:val="clear" w:color="auto" w:fill="CEF9CE"/>
          </w:tcPr>
          <w:p>
            <w:pPr>
              <w:spacing w:after="0"/>
              <w:rPr>
                <w:sz w:val="20"/>
                <w:szCs w:val="20"/>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Deferred credits and other liabilities: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Customer advances for construction</w:t>
            </w: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123</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w w:val="94"/>
              </w:rPr>
              <w:t>Pension and other postretirement benefit obligations, net of plan assets</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58</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117</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Deferred investment tax credits</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33</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Regulatory liabilities arising from removal obligations</w:t>
            </w: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1,178</w:t>
            </w: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1,187</w:t>
            </w:r>
          </w:p>
        </w:tc>
      </w:tr>
      <w:tr>
        <w:trPr>
          <w:trHeight w:val="237"/>
        </w:trPr>
        <w:tc>
          <w:tcPr>
            <w:tcW w:w="5640" w:type="dxa"/>
            <w:vAlign w:val="bottom"/>
          </w:tcPr>
          <w:p>
            <w:pPr>
              <w:ind w:left="260"/>
              <w:spacing w:after="0"/>
              <w:rPr>
                <w:sz w:val="20"/>
                <w:szCs w:val="20"/>
                <w:color w:val="auto"/>
              </w:rPr>
            </w:pPr>
            <w:r>
              <w:rPr>
                <w:rFonts w:ascii="Arial" w:cs="Arial" w:eastAsia="Arial" w:hAnsi="Arial"/>
                <w:sz w:val="18"/>
                <w:szCs w:val="18"/>
                <w:color w:val="auto"/>
              </w:rPr>
              <w:t>Asset retirement obligations</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562</w:t>
            </w: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Deferred taxes refundable in rates</w:t>
            </w: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231</w:t>
            </w:r>
          </w:p>
        </w:tc>
      </w:tr>
      <w:tr>
        <w:trPr>
          <w:trHeight w:val="215"/>
        </w:trPr>
        <w:tc>
          <w:tcPr>
            <w:tcW w:w="5640" w:type="dxa"/>
            <w:vAlign w:val="bottom"/>
          </w:tcPr>
          <w:p>
            <w:pPr>
              <w:ind w:left="260"/>
              <w:spacing w:after="0"/>
              <w:rPr>
                <w:sz w:val="20"/>
                <w:szCs w:val="20"/>
                <w:color w:val="auto"/>
              </w:rPr>
            </w:pPr>
            <w:r>
              <w:rPr>
                <w:rFonts w:ascii="Arial" w:cs="Arial" w:eastAsia="Arial" w:hAnsi="Arial"/>
                <w:sz w:val="18"/>
                <w:szCs w:val="18"/>
                <w:color w:val="auto"/>
              </w:rPr>
              <w:t>Regulatory liabilities arising from pension and other postretirement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7"/>
        </w:trPr>
        <w:tc>
          <w:tcPr>
            <w:tcW w:w="5640" w:type="dxa"/>
            <w:vAlign w:val="bottom"/>
          </w:tcPr>
          <w:p>
            <w:pPr>
              <w:ind w:left="460"/>
              <w:spacing w:after="0"/>
              <w:rPr>
                <w:sz w:val="20"/>
                <w:szCs w:val="20"/>
                <w:color w:val="auto"/>
              </w:rPr>
            </w:pPr>
            <w:r>
              <w:rPr>
                <w:rFonts w:ascii="Arial" w:cs="Arial" w:eastAsia="Arial" w:hAnsi="Arial"/>
                <w:sz w:val="18"/>
                <w:szCs w:val="18"/>
                <w:color w:val="auto"/>
              </w:rPr>
              <w:t>benefit obligations</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34</w:t>
            </w:r>
          </w:p>
        </w:tc>
      </w:tr>
      <w:tr>
        <w:trPr>
          <w:trHeight w:val="250"/>
        </w:trPr>
        <w:tc>
          <w:tcPr>
            <w:tcW w:w="5640" w:type="dxa"/>
            <w:vAlign w:val="bottom"/>
            <w:tcBorders>
              <w:bottom w:val="single" w:sz="8" w:color="CEF9CE"/>
            </w:tcBorders>
            <w:shd w:val="clear" w:color="auto" w:fill="CEF9CE"/>
          </w:tcPr>
          <w:p>
            <w:pPr>
              <w:ind w:left="260"/>
              <w:spacing w:after="0"/>
              <w:rPr>
                <w:sz w:val="20"/>
                <w:szCs w:val="20"/>
                <w:color w:val="auto"/>
              </w:rPr>
            </w:pPr>
            <w:r>
              <w:rPr>
                <w:rFonts w:ascii="Arial" w:cs="Arial" w:eastAsia="Arial" w:hAnsi="Arial"/>
                <w:sz w:val="18"/>
                <w:szCs w:val="18"/>
                <w:color w:val="auto"/>
              </w:rPr>
              <w:t>Deferred credits and other</w:t>
            </w:r>
          </w:p>
        </w:tc>
        <w:tc>
          <w:tcPr>
            <w:tcW w:w="200" w:type="dxa"/>
            <w:vAlign w:val="bottom"/>
            <w:tcBorders>
              <w:bottom w:val="single" w:sz="8" w:color="auto"/>
            </w:tcBorders>
            <w:shd w:val="clear" w:color="auto" w:fill="CEF9CE"/>
          </w:tcPr>
          <w:p>
            <w:pPr>
              <w:spacing w:after="0"/>
              <w:rPr>
                <w:sz w:val="21"/>
                <w:szCs w:val="21"/>
                <w:color w:val="auto"/>
              </w:rPr>
            </w:pPr>
          </w:p>
        </w:tc>
        <w:tc>
          <w:tcPr>
            <w:tcW w:w="1220" w:type="dxa"/>
            <w:vAlign w:val="bottom"/>
            <w:tcBorders>
              <w:bottom w:val="single" w:sz="8" w:color="auto"/>
            </w:tcBorders>
            <w:shd w:val="clear" w:color="auto" w:fill="CEF9CE"/>
          </w:tcPr>
          <w:p>
            <w:pPr>
              <w:jc w:val="right"/>
              <w:ind w:right="410"/>
              <w:spacing w:after="0"/>
              <w:rPr>
                <w:sz w:val="20"/>
                <w:szCs w:val="20"/>
                <w:color w:val="auto"/>
              </w:rPr>
            </w:pPr>
            <w:r>
              <w:rPr>
                <w:rFonts w:ascii="Arial" w:cs="Arial" w:eastAsia="Arial" w:hAnsi="Arial"/>
                <w:sz w:val="18"/>
                <w:szCs w:val="18"/>
                <w:color w:val="auto"/>
              </w:rPr>
              <w:t>231</w:t>
            </w:r>
          </w:p>
        </w:tc>
        <w:tc>
          <w:tcPr>
            <w:tcW w:w="340" w:type="dxa"/>
            <w:vAlign w:val="bottom"/>
            <w:tcBorders>
              <w:bottom w:val="single" w:sz="8" w:color="auto"/>
            </w:tcBorders>
            <w:shd w:val="clear" w:color="auto" w:fill="CEF9CE"/>
          </w:tcPr>
          <w:p>
            <w:pPr>
              <w:spacing w:after="0"/>
              <w:rPr>
                <w:sz w:val="21"/>
                <w:szCs w:val="21"/>
                <w:color w:val="auto"/>
              </w:rPr>
            </w:pPr>
          </w:p>
        </w:tc>
        <w:tc>
          <w:tcPr>
            <w:tcW w:w="1180" w:type="dxa"/>
            <w:vAlign w:val="bottom"/>
            <w:tcBorders>
              <w:bottom w:val="single" w:sz="8" w:color="auto"/>
            </w:tcBorders>
            <w:shd w:val="clear" w:color="auto" w:fill="CEF9CE"/>
          </w:tcPr>
          <w:p>
            <w:pPr>
              <w:jc w:val="right"/>
              <w:ind w:right="370"/>
              <w:spacing w:after="0"/>
              <w:rPr>
                <w:sz w:val="20"/>
                <w:szCs w:val="20"/>
                <w:color w:val="auto"/>
              </w:rPr>
            </w:pPr>
            <w:r>
              <w:rPr>
                <w:rFonts w:ascii="Arial" w:cs="Arial" w:eastAsia="Arial" w:hAnsi="Arial"/>
                <w:sz w:val="18"/>
                <w:szCs w:val="18"/>
                <w:color w:val="auto"/>
              </w:rPr>
              <w:t>268</w:t>
            </w:r>
          </w:p>
        </w:tc>
      </w:tr>
      <w:tr>
        <w:trPr>
          <w:trHeight w:val="237"/>
        </w:trPr>
        <w:tc>
          <w:tcPr>
            <w:tcW w:w="5640" w:type="dxa"/>
            <w:vAlign w:val="bottom"/>
          </w:tcPr>
          <w:p>
            <w:pPr>
              <w:ind w:left="500"/>
              <w:spacing w:after="0"/>
              <w:rPr>
                <w:sz w:val="20"/>
                <w:szCs w:val="20"/>
                <w:color w:val="auto"/>
              </w:rPr>
            </w:pPr>
            <w:r>
              <w:rPr>
                <w:rFonts w:ascii="Arial" w:cs="Arial" w:eastAsia="Arial" w:hAnsi="Arial"/>
                <w:sz w:val="18"/>
                <w:szCs w:val="18"/>
                <w:color w:val="auto"/>
              </w:rPr>
              <w:t>Total deferred credits and other liabilities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2,631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2,613</w:t>
            </w:r>
          </w:p>
        </w:tc>
      </w:tr>
      <w:tr>
        <w:trPr>
          <w:trHeight w:val="237"/>
        </w:trPr>
        <w:tc>
          <w:tcPr>
            <w:tcW w:w="5640" w:type="dxa"/>
            <w:vAlign w:val="bottom"/>
            <w:shd w:val="clear" w:color="auto" w:fill="CEF9CE"/>
          </w:tcPr>
          <w:p>
            <w:pPr>
              <w:spacing w:after="0"/>
              <w:rPr>
                <w:sz w:val="20"/>
                <w:szCs w:val="20"/>
                <w:color w:val="auto"/>
              </w:rPr>
            </w:pPr>
          </w:p>
        </w:tc>
        <w:tc>
          <w:tcPr>
            <w:tcW w:w="200" w:type="dxa"/>
            <w:vAlign w:val="bottom"/>
            <w:shd w:val="clear" w:color="auto" w:fill="CEF9CE"/>
          </w:tcPr>
          <w:p>
            <w:pPr>
              <w:spacing w:after="0"/>
              <w:rPr>
                <w:sz w:val="20"/>
                <w:szCs w:val="20"/>
                <w:color w:val="auto"/>
              </w:rPr>
            </w:pPr>
          </w:p>
        </w:tc>
        <w:tc>
          <w:tcPr>
            <w:tcW w:w="1220" w:type="dxa"/>
            <w:vAlign w:val="bottom"/>
            <w:shd w:val="clear" w:color="auto" w:fill="CEF9CE"/>
          </w:tcPr>
          <w:p>
            <w:pPr>
              <w:spacing w:after="0"/>
              <w:rPr>
                <w:sz w:val="20"/>
                <w:szCs w:val="20"/>
                <w:color w:val="auto"/>
              </w:rPr>
            </w:pPr>
          </w:p>
        </w:tc>
        <w:tc>
          <w:tcPr>
            <w:tcW w:w="340" w:type="dxa"/>
            <w:vAlign w:val="bottom"/>
            <w:shd w:val="clear" w:color="auto" w:fill="CEF9CE"/>
          </w:tcPr>
          <w:p>
            <w:pPr>
              <w:spacing w:after="0"/>
              <w:rPr>
                <w:sz w:val="20"/>
                <w:szCs w:val="20"/>
                <w:color w:val="auto"/>
              </w:rPr>
            </w:pPr>
          </w:p>
        </w:tc>
        <w:tc>
          <w:tcPr>
            <w:tcW w:w="1180" w:type="dxa"/>
            <w:vAlign w:val="bottom"/>
            <w:shd w:val="clear" w:color="auto" w:fill="CEF9CE"/>
          </w:tcPr>
          <w:p>
            <w:pPr>
              <w:spacing w:after="0"/>
              <w:rPr>
                <w:sz w:val="20"/>
                <w:szCs w:val="20"/>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9"/>
        </w:trPr>
        <w:tc>
          <w:tcPr>
            <w:tcW w:w="5640" w:type="dxa"/>
            <w:vAlign w:val="bottom"/>
            <w:shd w:val="clear" w:color="auto" w:fill="CEF9CE"/>
          </w:tcPr>
          <w:p>
            <w:pPr>
              <w:spacing w:after="0"/>
              <w:rPr>
                <w:sz w:val="21"/>
                <w:szCs w:val="21"/>
                <w:color w:val="auto"/>
              </w:rPr>
            </w:pP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spacing w:after="0"/>
              <w:rPr>
                <w:sz w:val="21"/>
                <w:szCs w:val="21"/>
                <w:color w:val="auto"/>
              </w:rPr>
            </w:pP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spacing w:after="0"/>
              <w:rPr>
                <w:sz w:val="21"/>
                <w:szCs w:val="2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9"/>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22</w:t>
            </w:r>
          </w:p>
        </w:tc>
      </w:tr>
      <w:tr>
        <w:trPr>
          <w:trHeight w:val="215"/>
        </w:trPr>
        <w:tc>
          <w:tcPr>
            <w:tcW w:w="5640" w:type="dxa"/>
            <w:vAlign w:val="bottom"/>
          </w:tcPr>
          <w:p>
            <w:pPr>
              <w:ind w:left="260"/>
              <w:spacing w:after="0"/>
              <w:rPr>
                <w:sz w:val="20"/>
                <w:szCs w:val="20"/>
                <w:color w:val="auto"/>
              </w:rPr>
            </w:pPr>
            <w:r>
              <w:rPr>
                <w:rFonts w:ascii="Arial" w:cs="Arial" w:eastAsia="Arial" w:hAnsi="Arial"/>
                <w:sz w:val="18"/>
                <w:szCs w:val="18"/>
                <w:color w:val="auto"/>
              </w:rPr>
              <w:t>Common stock (100 million shares authorized; 91 million shares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7"/>
        </w:trPr>
        <w:tc>
          <w:tcPr>
            <w:tcW w:w="5640" w:type="dxa"/>
            <w:vAlign w:val="bottom"/>
          </w:tcPr>
          <w:p>
            <w:pPr>
              <w:ind w:left="460"/>
              <w:spacing w:after="0"/>
              <w:rPr>
                <w:sz w:val="20"/>
                <w:szCs w:val="20"/>
                <w:color w:val="auto"/>
              </w:rPr>
            </w:pPr>
            <w:r>
              <w:rPr>
                <w:rFonts w:ascii="Arial" w:cs="Arial" w:eastAsia="Arial" w:hAnsi="Arial"/>
                <w:sz w:val="18"/>
                <w:szCs w:val="18"/>
                <w:color w:val="auto"/>
              </w:rPr>
              <w:t>outstanding; no par value)</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866</w:t>
            </w:r>
          </w:p>
        </w:tc>
        <w:tc>
          <w:tcPr>
            <w:tcW w:w="3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866</w:t>
            </w:r>
          </w:p>
        </w:tc>
      </w:tr>
      <w:tr>
        <w:trPr>
          <w:trHeight w:val="250"/>
        </w:trPr>
        <w:tc>
          <w:tcPr>
            <w:tcW w:w="5640" w:type="dxa"/>
            <w:vAlign w:val="bottom"/>
            <w:shd w:val="clear" w:color="auto" w:fill="CEF9CE"/>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jc w:val="right"/>
              <w:ind w:right="410"/>
              <w:spacing w:after="0"/>
              <w:rPr>
                <w:sz w:val="20"/>
                <w:szCs w:val="20"/>
                <w:color w:val="auto"/>
              </w:rPr>
            </w:pPr>
            <w:r>
              <w:rPr>
                <w:rFonts w:ascii="Arial" w:cs="Arial" w:eastAsia="Arial" w:hAnsi="Arial"/>
                <w:sz w:val="18"/>
                <w:szCs w:val="18"/>
                <w:color w:val="auto"/>
              </w:rPr>
              <w:t>726</w:t>
            </w: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jc w:val="right"/>
              <w:ind w:right="370"/>
              <w:spacing w:after="0"/>
              <w:rPr>
                <w:sz w:val="20"/>
                <w:szCs w:val="20"/>
                <w:color w:val="auto"/>
              </w:rPr>
            </w:pPr>
            <w:r>
              <w:rPr>
                <w:rFonts w:ascii="Arial" w:cs="Arial" w:eastAsia="Arial" w:hAnsi="Arial"/>
                <w:sz w:val="18"/>
                <w:szCs w:val="18"/>
                <w:color w:val="auto"/>
              </w:rPr>
              <w:t>586</w:t>
            </w:r>
          </w:p>
        </w:tc>
      </w:tr>
      <w:tr>
        <w:trPr>
          <w:trHeight w:val="243"/>
        </w:trPr>
        <w:tc>
          <w:tcPr>
            <w:tcW w:w="56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(10 )</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(4 )</w:t>
            </w:r>
          </w:p>
        </w:tc>
      </w:tr>
      <w:tr>
        <w:trPr>
          <w:trHeight w:val="237"/>
        </w:trPr>
        <w:tc>
          <w:tcPr>
            <w:tcW w:w="5640" w:type="dxa"/>
            <w:vAlign w:val="bottom"/>
            <w:tcBorders>
              <w:bottom w:val="single" w:sz="8" w:color="CEF9CE"/>
            </w:tcBorders>
            <w:shd w:val="clear" w:color="auto" w:fill="CEF9CE"/>
          </w:tcPr>
          <w:p>
            <w:pPr>
              <w:ind w:left="50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EF9CE"/>
          </w:tcPr>
          <w:p>
            <w:pPr>
              <w:spacing w:after="0"/>
              <w:rPr>
                <w:sz w:val="20"/>
                <w:szCs w:val="20"/>
                <w:color w:val="auto"/>
              </w:rPr>
            </w:pPr>
          </w:p>
        </w:tc>
        <w:tc>
          <w:tcPr>
            <w:tcW w:w="1220" w:type="dxa"/>
            <w:vAlign w:val="bottom"/>
            <w:tcBorders>
              <w:bottom w:val="single" w:sz="8" w:color="auto"/>
            </w:tcBorders>
            <w:shd w:val="clear" w:color="auto" w:fill="CEF9CE"/>
          </w:tcPr>
          <w:p>
            <w:pPr>
              <w:jc w:val="right"/>
              <w:ind w:right="410"/>
              <w:spacing w:after="0"/>
              <w:rPr>
                <w:sz w:val="20"/>
                <w:szCs w:val="20"/>
                <w:color w:val="auto"/>
              </w:rPr>
            </w:pPr>
            <w:r>
              <w:rPr>
                <w:rFonts w:ascii="Arial" w:cs="Arial" w:eastAsia="Arial" w:hAnsi="Arial"/>
                <w:sz w:val="18"/>
                <w:szCs w:val="18"/>
                <w:color w:val="auto"/>
              </w:rPr>
              <w:t>1,604</w:t>
            </w:r>
          </w:p>
        </w:tc>
        <w:tc>
          <w:tcPr>
            <w:tcW w:w="340" w:type="dxa"/>
            <w:vAlign w:val="bottom"/>
            <w:tcBorders>
              <w:bottom w:val="single" w:sz="8" w:color="auto"/>
            </w:tcBorders>
            <w:shd w:val="clear" w:color="auto" w:fill="CEF9CE"/>
          </w:tcPr>
          <w:p>
            <w:pPr>
              <w:spacing w:after="0"/>
              <w:rPr>
                <w:sz w:val="20"/>
                <w:szCs w:val="20"/>
                <w:color w:val="auto"/>
              </w:rPr>
            </w:pPr>
          </w:p>
        </w:tc>
        <w:tc>
          <w:tcPr>
            <w:tcW w:w="1180" w:type="dxa"/>
            <w:vAlign w:val="bottom"/>
            <w:tcBorders>
              <w:bottom w:val="single" w:sz="8" w:color="auto"/>
            </w:tcBorders>
            <w:shd w:val="clear" w:color="auto" w:fill="CEF9CE"/>
          </w:tcPr>
          <w:p>
            <w:pPr>
              <w:jc w:val="right"/>
              <w:ind w:right="370"/>
              <w:spacing w:after="0"/>
              <w:rPr>
                <w:sz w:val="20"/>
                <w:szCs w:val="20"/>
                <w:color w:val="auto"/>
              </w:rPr>
            </w:pPr>
            <w:r>
              <w:rPr>
                <w:rFonts w:ascii="Arial" w:cs="Arial" w:eastAsia="Arial" w:hAnsi="Arial"/>
                <w:sz w:val="18"/>
                <w:szCs w:val="18"/>
                <w:color w:val="auto"/>
              </w:rPr>
              <w:t>1,470</w:t>
            </w:r>
          </w:p>
        </w:tc>
      </w:tr>
      <w:tr>
        <w:trPr>
          <w:trHeight w:val="257"/>
        </w:trPr>
        <w:tc>
          <w:tcPr>
            <w:tcW w:w="56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6,366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6,406</w:t>
            </w:r>
          </w:p>
        </w:tc>
      </w:tr>
      <w:tr>
        <w:trPr>
          <w:trHeight w:val="243"/>
        </w:trPr>
        <w:tc>
          <w:tcPr>
            <w:tcW w:w="5640" w:type="dxa"/>
            <w:vAlign w:val="bottom"/>
            <w:shd w:val="clear" w:color="auto" w:fill="CEF9CE"/>
          </w:tcPr>
          <w:p>
            <w:pPr>
              <w:spacing w:after="0"/>
              <w:rPr>
                <w:sz w:val="21"/>
                <w:szCs w:val="21"/>
                <w:color w:val="auto"/>
              </w:rPr>
            </w:pPr>
          </w:p>
        </w:tc>
        <w:tc>
          <w:tcPr>
            <w:tcW w:w="200" w:type="dxa"/>
            <w:vAlign w:val="bottom"/>
            <w:shd w:val="clear" w:color="auto" w:fill="CEF9CE"/>
          </w:tcPr>
          <w:p>
            <w:pPr>
              <w:spacing w:after="0"/>
              <w:rPr>
                <w:sz w:val="21"/>
                <w:szCs w:val="21"/>
                <w:color w:val="auto"/>
              </w:rPr>
            </w:pPr>
          </w:p>
        </w:tc>
        <w:tc>
          <w:tcPr>
            <w:tcW w:w="1220" w:type="dxa"/>
            <w:vAlign w:val="bottom"/>
            <w:shd w:val="clear" w:color="auto" w:fill="CEF9CE"/>
          </w:tcPr>
          <w:p>
            <w:pPr>
              <w:spacing w:after="0"/>
              <w:rPr>
                <w:sz w:val="21"/>
                <w:szCs w:val="21"/>
                <w:color w:val="auto"/>
              </w:rPr>
            </w:pPr>
          </w:p>
        </w:tc>
        <w:tc>
          <w:tcPr>
            <w:tcW w:w="340" w:type="dxa"/>
            <w:vAlign w:val="bottom"/>
            <w:shd w:val="clear" w:color="auto" w:fill="CEF9CE"/>
          </w:tcPr>
          <w:p>
            <w:pPr>
              <w:spacing w:after="0"/>
              <w:rPr>
                <w:sz w:val="21"/>
                <w:szCs w:val="21"/>
                <w:color w:val="auto"/>
              </w:rPr>
            </w:pPr>
          </w:p>
        </w:tc>
        <w:tc>
          <w:tcPr>
            <w:tcW w:w="1180" w:type="dxa"/>
            <w:vAlign w:val="bottom"/>
            <w:shd w:val="clear" w:color="auto" w:fill="CEF9CE"/>
          </w:tcPr>
          <w:p>
            <w:pPr>
              <w:spacing w:after="0"/>
              <w:rPr>
                <w:sz w:val="21"/>
                <w:szCs w:val="21"/>
                <w:color w:val="auto"/>
              </w:rPr>
            </w:pPr>
          </w:p>
        </w:tc>
      </w:tr>
    </w:tbl>
    <w:p>
      <w:pPr>
        <w:ind w:left="14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19"/>
          </w:cols>
          <w:pgMar w:left="240" w:top="1246" w:right="1440" w:bottom="1440" w:gutter="0" w:footer="0" w:header="0"/>
        </w:sectPr>
      </w:pPr>
    </w:p>
    <w:bookmarkStart w:id="9" w:name="page10"/>
    <w:bookmarkEnd w:id="9"/>
    <w:p>
      <w:pPr>
        <w:ind w:left="1660"/>
        <w:spacing w:after="0"/>
        <w:rPr>
          <w:sz w:val="20"/>
          <w:szCs w:val="20"/>
          <w:color w:val="auto"/>
        </w:rPr>
      </w:pPr>
      <w:r>
        <w:rPr>
          <w:rFonts w:ascii="Arial" w:cs="Arial" w:eastAsia="Arial" w:hAnsi="Arial"/>
          <w:sz w:val="18"/>
          <w:szCs w:val="18"/>
          <w:color w:val="auto"/>
        </w:rPr>
        <w:t>SOUTHERN CALIFORNIA GAS COMPANY AND SUBSIDIARIES</w:t>
      </w:r>
    </w:p>
    <w:p>
      <w:pPr>
        <w:spacing w:after="0" w:line="3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CONDENSED STATEMENTS OF CONSOLIDATED CASH FLOWS</w:t>
      </w:r>
    </w:p>
    <w:p>
      <w:pPr>
        <w:spacing w:after="0" w:line="279"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jc w:val="center"/>
              <w:ind w:right="30"/>
              <w:spacing w:after="0"/>
              <w:rPr>
                <w:sz w:val="20"/>
                <w:szCs w:val="20"/>
                <w:color w:val="auto"/>
              </w:rPr>
            </w:pPr>
            <w:r>
              <w:rPr>
                <w:rFonts w:ascii="Arial" w:cs="Arial" w:eastAsia="Arial" w:hAnsi="Arial"/>
                <w:sz w:val="18"/>
                <w:szCs w:val="18"/>
                <w:color w:val="auto"/>
                <w:w w:val="89"/>
              </w:rPr>
              <w:t>Nine months ended</w:t>
            </w:r>
          </w:p>
        </w:tc>
      </w:tr>
      <w:tr>
        <w:trPr>
          <w:trHeight w:val="237"/>
        </w:trPr>
        <w:tc>
          <w:tcPr>
            <w:tcW w:w="5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88"/>
              </w:rPr>
              <w:t>September 30,</w:t>
            </w:r>
          </w:p>
        </w:tc>
        <w:tc>
          <w:tcPr>
            <w:tcW w:w="700" w:type="dxa"/>
            <w:vAlign w:val="bottom"/>
            <w:tcBorders>
              <w:bottom w:val="single" w:sz="8" w:color="auto"/>
            </w:tcBorders>
          </w:tcPr>
          <w:p>
            <w:pPr>
              <w:spacing w:after="0"/>
              <w:rPr>
                <w:sz w:val="20"/>
                <w:szCs w:val="20"/>
                <w:color w:val="auto"/>
              </w:rPr>
            </w:pPr>
          </w:p>
        </w:tc>
      </w:tr>
      <w:tr>
        <w:trPr>
          <w:trHeight w:val="237"/>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2008</w:t>
            </w:r>
          </w:p>
        </w:tc>
        <w:tc>
          <w:tcPr>
            <w:tcW w:w="10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2007</w:t>
            </w:r>
          </w:p>
        </w:tc>
      </w:tr>
      <w:tr>
        <w:trPr>
          <w:trHeight w:val="230"/>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w w:val="90"/>
              </w:rPr>
              <w:t>(unaudited)</w:t>
            </w:r>
          </w:p>
        </w:tc>
        <w:tc>
          <w:tcPr>
            <w:tcW w:w="700" w:type="dxa"/>
            <w:vAlign w:val="bottom"/>
          </w:tcPr>
          <w:p>
            <w:pPr>
              <w:spacing w:after="0"/>
              <w:rPr>
                <w:sz w:val="20"/>
                <w:szCs w:val="20"/>
                <w:color w:val="auto"/>
              </w:rPr>
            </w:pPr>
          </w:p>
        </w:tc>
      </w:tr>
      <w:tr>
        <w:trPr>
          <w:trHeight w:val="249"/>
        </w:trPr>
        <w:tc>
          <w:tcPr>
            <w:tcW w:w="55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0"/>
        </w:trPr>
        <w:tc>
          <w:tcPr>
            <w:tcW w:w="5540" w:type="dxa"/>
            <w:vAlign w:val="bottom"/>
            <w:shd w:val="clear" w:color="auto" w:fill="CEF9CE"/>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191</w:t>
            </w:r>
          </w:p>
        </w:tc>
        <w:tc>
          <w:tcPr>
            <w:tcW w:w="1020" w:type="dxa"/>
            <w:vAlign w:val="bottom"/>
            <w:shd w:val="clear" w:color="auto" w:fill="CEF9CE"/>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173</w:t>
            </w:r>
          </w:p>
        </w:tc>
      </w:tr>
      <w:tr>
        <w:trPr>
          <w:trHeight w:val="215"/>
        </w:trPr>
        <w:tc>
          <w:tcPr>
            <w:tcW w:w="5540" w:type="dxa"/>
            <w:vAlign w:val="bottom"/>
          </w:tcPr>
          <w:p>
            <w:pPr>
              <w:ind w:left="200"/>
              <w:spacing w:after="0"/>
              <w:rPr>
                <w:sz w:val="20"/>
                <w:szCs w:val="20"/>
                <w:color w:val="auto"/>
              </w:rPr>
            </w:pPr>
            <w:r>
              <w:rPr>
                <w:rFonts w:ascii="Arial" w:cs="Arial" w:eastAsia="Arial" w:hAnsi="Arial"/>
                <w:sz w:val="18"/>
                <w:szCs w:val="18"/>
                <w:color w:val="auto"/>
                <w:w w:val="94"/>
              </w:rPr>
              <w:t>Adjustments to reconcile net income to net cash provided by operating</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7"/>
        </w:trPr>
        <w:tc>
          <w:tcPr>
            <w:tcW w:w="5540" w:type="dxa"/>
            <w:vAlign w:val="bottom"/>
          </w:tcPr>
          <w:p>
            <w:pPr>
              <w:ind w:left="40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0"/>
        </w:trPr>
        <w:tc>
          <w:tcPr>
            <w:tcW w:w="5540" w:type="dxa"/>
            <w:vAlign w:val="bottom"/>
            <w:shd w:val="clear" w:color="auto" w:fill="CEF9CE"/>
          </w:tcPr>
          <w:p>
            <w:pPr>
              <w:ind w:left="58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209</w:t>
            </w:r>
          </w:p>
        </w:tc>
        <w:tc>
          <w:tcPr>
            <w:tcW w:w="1020" w:type="dxa"/>
            <w:vAlign w:val="bottom"/>
            <w:shd w:val="clear" w:color="auto" w:fill="CEF9CE"/>
          </w:tcPr>
          <w:p>
            <w:pPr>
              <w:spacing w:after="0"/>
              <w:rPr>
                <w:sz w:val="21"/>
                <w:szCs w:val="21"/>
                <w:color w:val="auto"/>
              </w:rPr>
            </w:pPr>
          </w:p>
        </w:tc>
        <w:tc>
          <w:tcPr>
            <w:tcW w:w="7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210</w:t>
            </w:r>
          </w:p>
        </w:tc>
      </w:tr>
      <w:tr>
        <w:trPr>
          <w:trHeight w:val="237"/>
        </w:trPr>
        <w:tc>
          <w:tcPr>
            <w:tcW w:w="5540" w:type="dxa"/>
            <w:vAlign w:val="bottom"/>
          </w:tcPr>
          <w:p>
            <w:pPr>
              <w:ind w:left="580"/>
              <w:spacing w:after="0"/>
              <w:rPr>
                <w:sz w:val="20"/>
                <w:szCs w:val="20"/>
                <w:color w:val="auto"/>
              </w:rPr>
            </w:pPr>
            <w:r>
              <w:rPr>
                <w:rFonts w:ascii="Arial" w:cs="Arial" w:eastAsia="Arial" w:hAnsi="Arial"/>
                <w:sz w:val="18"/>
                <w:szCs w:val="18"/>
                <w:color w:val="auto"/>
              </w:rPr>
              <w:t>Deferred income taxes and investment tax credits</w:t>
            </w:r>
          </w:p>
        </w:tc>
        <w:tc>
          <w:tcPr>
            <w:tcW w:w="2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49"/>
        </w:trPr>
        <w:tc>
          <w:tcPr>
            <w:tcW w:w="5540" w:type="dxa"/>
            <w:vAlign w:val="bottom"/>
            <w:shd w:val="clear" w:color="auto" w:fill="CEF9CE"/>
          </w:tcPr>
          <w:p>
            <w:pPr>
              <w:ind w:left="5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EF9CE"/>
          </w:tcPr>
          <w:p>
            <w:pPr>
              <w:spacing w:after="0"/>
              <w:rPr>
                <w:sz w:val="21"/>
                <w:szCs w:val="21"/>
                <w:color w:val="auto"/>
              </w:rPr>
            </w:pPr>
          </w:p>
        </w:tc>
        <w:tc>
          <w:tcPr>
            <w:tcW w:w="7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2</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Net change in other working capital components</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(135 )</w:t>
            </w:r>
          </w:p>
        </w:tc>
        <w:tc>
          <w:tcPr>
            <w:tcW w:w="10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49"/>
        </w:trPr>
        <w:tc>
          <w:tcPr>
            <w:tcW w:w="5540" w:type="dxa"/>
            <w:vAlign w:val="bottom"/>
            <w:shd w:val="clear" w:color="auto" w:fill="CEF9CE"/>
          </w:tcPr>
          <w:p>
            <w:pPr>
              <w:ind w:left="200"/>
              <w:spacing w:after="0"/>
              <w:rPr>
                <w:sz w:val="20"/>
                <w:szCs w:val="20"/>
                <w:color w:val="auto"/>
              </w:rPr>
            </w:pPr>
            <w:r>
              <w:rPr>
                <w:rFonts w:ascii="Arial" w:cs="Arial" w:eastAsia="Arial" w:hAnsi="Arial"/>
                <w:sz w:val="18"/>
                <w:szCs w:val="18"/>
                <w:color w:val="auto"/>
              </w:rPr>
              <w:t>Changes in other assets</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21</w:t>
            </w:r>
          </w:p>
        </w:tc>
        <w:tc>
          <w:tcPr>
            <w:tcW w:w="1020" w:type="dxa"/>
            <w:vAlign w:val="bottom"/>
            <w:shd w:val="clear" w:color="auto" w:fill="CEF9CE"/>
          </w:tcPr>
          <w:p>
            <w:pPr>
              <w:spacing w:after="0"/>
              <w:rPr>
                <w:sz w:val="21"/>
                <w:szCs w:val="21"/>
                <w:color w:val="auto"/>
              </w:rPr>
            </w:pPr>
          </w:p>
        </w:tc>
        <w:tc>
          <w:tcPr>
            <w:tcW w:w="7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8</w:t>
            </w:r>
          </w:p>
        </w:tc>
      </w:tr>
      <w:tr>
        <w:trPr>
          <w:trHeight w:val="243"/>
        </w:trPr>
        <w:tc>
          <w:tcPr>
            <w:tcW w:w="5540" w:type="dxa"/>
            <w:vAlign w:val="bottom"/>
          </w:tcPr>
          <w:p>
            <w:pPr>
              <w:ind w:left="200"/>
              <w:spacing w:after="0"/>
              <w:rPr>
                <w:sz w:val="20"/>
                <w:szCs w:val="20"/>
                <w:color w:val="auto"/>
              </w:rPr>
            </w:pPr>
            <w:r>
              <w:rPr>
                <w:rFonts w:ascii="Arial" w:cs="Arial" w:eastAsia="Arial" w:hAnsi="Arial"/>
                <w:sz w:val="18"/>
                <w:szCs w:val="18"/>
                <w:color w:val="auto"/>
              </w:rPr>
              <w:t>Changes in other liabilities</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(1 )</w:t>
            </w:r>
          </w:p>
        </w:tc>
      </w:tr>
      <w:tr>
        <w:trPr>
          <w:trHeight w:val="237"/>
        </w:trPr>
        <w:tc>
          <w:tcPr>
            <w:tcW w:w="5540" w:type="dxa"/>
            <w:vAlign w:val="bottom"/>
            <w:tcBorders>
              <w:bottom w:val="single" w:sz="8" w:color="CEF9CE"/>
            </w:tcBorders>
            <w:shd w:val="clear" w:color="auto" w:fill="CEF9CE"/>
          </w:tcPr>
          <w:p>
            <w:pPr>
              <w:ind w:left="5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shd w:val="clear" w:color="auto" w:fill="CEF9CE"/>
          </w:tcPr>
          <w:p>
            <w:pPr>
              <w:spacing w:after="0"/>
              <w:rPr>
                <w:sz w:val="20"/>
                <w:szCs w:val="20"/>
                <w:color w:val="auto"/>
              </w:rPr>
            </w:pPr>
          </w:p>
        </w:tc>
        <w:tc>
          <w:tcPr>
            <w:tcW w:w="64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298</w:t>
            </w:r>
          </w:p>
        </w:tc>
        <w:tc>
          <w:tcPr>
            <w:tcW w:w="1020" w:type="dxa"/>
            <w:vAlign w:val="bottom"/>
            <w:tcBorders>
              <w:bottom w:val="single" w:sz="8" w:color="auto"/>
            </w:tcBorders>
            <w:shd w:val="clear" w:color="auto" w:fill="CEF9CE"/>
          </w:tcPr>
          <w:p>
            <w:pPr>
              <w:spacing w:after="0"/>
              <w:rPr>
                <w:sz w:val="20"/>
                <w:szCs w:val="20"/>
                <w:color w:val="auto"/>
              </w:rPr>
            </w:pPr>
          </w:p>
        </w:tc>
        <w:tc>
          <w:tcPr>
            <w:tcW w:w="7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435</w:t>
            </w:r>
          </w:p>
        </w:tc>
      </w:tr>
      <w:tr>
        <w:trPr>
          <w:trHeight w:val="237"/>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3"/>
        </w:trPr>
        <w:tc>
          <w:tcPr>
            <w:tcW w:w="5540" w:type="dxa"/>
            <w:vAlign w:val="bottom"/>
            <w:shd w:val="clear" w:color="auto" w:fill="CEF9CE"/>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spacing w:after="0"/>
              <w:rPr>
                <w:sz w:val="21"/>
                <w:szCs w:val="21"/>
                <w:color w:val="auto"/>
              </w:rPr>
            </w:pPr>
          </w:p>
        </w:tc>
        <w:tc>
          <w:tcPr>
            <w:tcW w:w="1020" w:type="dxa"/>
            <w:vAlign w:val="bottom"/>
            <w:shd w:val="clear" w:color="auto" w:fill="CEF9CE"/>
          </w:tcPr>
          <w:p>
            <w:pPr>
              <w:spacing w:after="0"/>
              <w:rPr>
                <w:sz w:val="21"/>
                <w:szCs w:val="21"/>
                <w:color w:val="auto"/>
              </w:rPr>
            </w:pPr>
          </w:p>
        </w:tc>
        <w:tc>
          <w:tcPr>
            <w:tcW w:w="700" w:type="dxa"/>
            <w:vAlign w:val="bottom"/>
            <w:shd w:val="clear" w:color="auto" w:fill="CEF9CE"/>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(350 )</w:t>
            </w:r>
          </w:p>
        </w:tc>
        <w:tc>
          <w:tcPr>
            <w:tcW w:w="10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(300 )</w:t>
            </w:r>
          </w:p>
        </w:tc>
      </w:tr>
      <w:tr>
        <w:trPr>
          <w:trHeight w:val="249"/>
        </w:trPr>
        <w:tc>
          <w:tcPr>
            <w:tcW w:w="5540" w:type="dxa"/>
            <w:vAlign w:val="bottom"/>
            <w:shd w:val="clear" w:color="auto" w:fill="CEF9CE"/>
          </w:tcPr>
          <w:p>
            <w:pPr>
              <w:ind w:left="200"/>
              <w:spacing w:after="0"/>
              <w:rPr>
                <w:sz w:val="20"/>
                <w:szCs w:val="20"/>
                <w:color w:val="auto"/>
              </w:rPr>
            </w:pPr>
            <w:r>
              <w:rPr>
                <w:rFonts w:ascii="Arial" w:cs="Arial" w:eastAsia="Arial" w:hAnsi="Arial"/>
                <w:sz w:val="18"/>
                <w:szCs w:val="18"/>
                <w:color w:val="auto"/>
              </w:rPr>
              <w:t>Decrease (increase) in loans to affiliates, net</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136</w:t>
            </w:r>
          </w:p>
        </w:tc>
        <w:tc>
          <w:tcPr>
            <w:tcW w:w="1020" w:type="dxa"/>
            <w:vAlign w:val="bottom"/>
            <w:shd w:val="clear" w:color="auto" w:fill="CEF9CE"/>
          </w:tcPr>
          <w:p>
            <w:pPr>
              <w:spacing w:after="0"/>
              <w:rPr>
                <w:sz w:val="21"/>
                <w:szCs w:val="21"/>
                <w:color w:val="auto"/>
              </w:rPr>
            </w:pPr>
          </w:p>
        </w:tc>
        <w:tc>
          <w:tcPr>
            <w:tcW w:w="70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(107 )</w:t>
            </w:r>
          </w:p>
        </w:tc>
      </w:tr>
      <w:tr>
        <w:trPr>
          <w:trHeight w:val="243"/>
        </w:trPr>
        <w:tc>
          <w:tcPr>
            <w:tcW w:w="554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r>
      <w:tr>
        <w:trPr>
          <w:trHeight w:val="237"/>
        </w:trPr>
        <w:tc>
          <w:tcPr>
            <w:tcW w:w="5540" w:type="dxa"/>
            <w:vAlign w:val="bottom"/>
            <w:tcBorders>
              <w:bottom w:val="single" w:sz="8" w:color="CEF9CE"/>
            </w:tcBorders>
            <w:shd w:val="clear" w:color="auto" w:fill="CEF9CE"/>
          </w:tcPr>
          <w:p>
            <w:pPr>
              <w:ind w:left="5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CEF9CE"/>
          </w:tcPr>
          <w:p>
            <w:pPr>
              <w:spacing w:after="0"/>
              <w:rPr>
                <w:sz w:val="20"/>
                <w:szCs w:val="20"/>
                <w:color w:val="auto"/>
              </w:rPr>
            </w:pPr>
          </w:p>
        </w:tc>
        <w:tc>
          <w:tcPr>
            <w:tcW w:w="64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(214 )</w:t>
            </w:r>
          </w:p>
        </w:tc>
        <w:tc>
          <w:tcPr>
            <w:tcW w:w="1020" w:type="dxa"/>
            <w:vAlign w:val="bottom"/>
            <w:tcBorders>
              <w:bottom w:val="single" w:sz="8" w:color="auto"/>
            </w:tcBorders>
            <w:shd w:val="clear" w:color="auto" w:fill="CEF9CE"/>
          </w:tcPr>
          <w:p>
            <w:pPr>
              <w:spacing w:after="0"/>
              <w:rPr>
                <w:sz w:val="20"/>
                <w:szCs w:val="20"/>
                <w:color w:val="auto"/>
              </w:rPr>
            </w:pPr>
          </w:p>
        </w:tc>
        <w:tc>
          <w:tcPr>
            <w:tcW w:w="70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(405 )</w:t>
            </w:r>
          </w:p>
        </w:tc>
      </w:tr>
      <w:tr>
        <w:trPr>
          <w:trHeight w:val="237"/>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3"/>
        </w:trPr>
        <w:tc>
          <w:tcPr>
            <w:tcW w:w="5540" w:type="dxa"/>
            <w:vAlign w:val="bottom"/>
            <w:shd w:val="clear" w:color="auto" w:fill="CEF9CE"/>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spacing w:after="0"/>
              <w:rPr>
                <w:sz w:val="21"/>
                <w:szCs w:val="21"/>
                <w:color w:val="auto"/>
              </w:rPr>
            </w:pPr>
          </w:p>
        </w:tc>
        <w:tc>
          <w:tcPr>
            <w:tcW w:w="1020" w:type="dxa"/>
            <w:vAlign w:val="bottom"/>
            <w:shd w:val="clear" w:color="auto" w:fill="CEF9CE"/>
          </w:tcPr>
          <w:p>
            <w:pPr>
              <w:spacing w:after="0"/>
              <w:rPr>
                <w:sz w:val="21"/>
                <w:szCs w:val="21"/>
                <w:color w:val="auto"/>
              </w:rPr>
            </w:pPr>
          </w:p>
        </w:tc>
        <w:tc>
          <w:tcPr>
            <w:tcW w:w="700" w:type="dxa"/>
            <w:vAlign w:val="bottom"/>
            <w:shd w:val="clear" w:color="auto" w:fill="CEF9CE"/>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Common dividends paid</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(200 )</w:t>
            </w:r>
          </w:p>
        </w:tc>
        <w:tc>
          <w:tcPr>
            <w:tcW w:w="10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(100 )</w:t>
            </w:r>
          </w:p>
        </w:tc>
      </w:tr>
      <w:tr>
        <w:trPr>
          <w:trHeight w:val="249"/>
        </w:trPr>
        <w:tc>
          <w:tcPr>
            <w:tcW w:w="5540" w:type="dxa"/>
            <w:vAlign w:val="bottom"/>
            <w:shd w:val="clear" w:color="auto" w:fill="CEF9CE"/>
          </w:tcPr>
          <w:p>
            <w:pPr>
              <w:ind w:left="200"/>
              <w:spacing w:after="0"/>
              <w:rPr>
                <w:sz w:val="20"/>
                <w:szCs w:val="20"/>
                <w:color w:val="auto"/>
              </w:rPr>
            </w:pPr>
            <w:r>
              <w:rPr>
                <w:rFonts w:ascii="Arial" w:cs="Arial" w:eastAsia="Arial" w:hAnsi="Arial"/>
                <w:sz w:val="18"/>
                <w:szCs w:val="18"/>
                <w:color w:val="auto"/>
              </w:rPr>
              <w:t>Preferred dividends paid</w:t>
            </w:r>
          </w:p>
        </w:tc>
        <w:tc>
          <w:tcPr>
            <w:tcW w:w="220" w:type="dxa"/>
            <w:vAlign w:val="bottom"/>
            <w:shd w:val="clear" w:color="auto" w:fill="CEF9CE"/>
          </w:tcPr>
          <w:p>
            <w:pPr>
              <w:spacing w:after="0"/>
              <w:rPr>
                <w:sz w:val="21"/>
                <w:szCs w:val="21"/>
                <w:color w:val="auto"/>
              </w:rPr>
            </w:pPr>
          </w:p>
        </w:tc>
        <w:tc>
          <w:tcPr>
            <w:tcW w:w="640" w:type="dxa"/>
            <w:vAlign w:val="bottom"/>
            <w:shd w:val="clear" w:color="auto" w:fill="CEF9CE"/>
          </w:tcPr>
          <w:p>
            <w:pPr>
              <w:jc w:val="right"/>
              <w:spacing w:after="0"/>
              <w:rPr>
                <w:sz w:val="20"/>
                <w:szCs w:val="20"/>
                <w:color w:val="auto"/>
              </w:rPr>
            </w:pPr>
            <w:r>
              <w:rPr>
                <w:rFonts w:ascii="Arial" w:cs="Arial" w:eastAsia="Arial" w:hAnsi="Arial"/>
                <w:sz w:val="18"/>
                <w:szCs w:val="18"/>
                <w:color w:val="auto"/>
              </w:rPr>
              <w:t>(1 )</w:t>
            </w:r>
          </w:p>
        </w:tc>
        <w:tc>
          <w:tcPr>
            <w:tcW w:w="1020" w:type="dxa"/>
            <w:vAlign w:val="bottom"/>
            <w:shd w:val="clear" w:color="auto" w:fill="CEF9CE"/>
          </w:tcPr>
          <w:p>
            <w:pPr>
              <w:spacing w:after="0"/>
              <w:rPr>
                <w:sz w:val="21"/>
                <w:szCs w:val="21"/>
                <w:color w:val="auto"/>
              </w:rPr>
            </w:pPr>
          </w:p>
        </w:tc>
        <w:tc>
          <w:tcPr>
            <w:tcW w:w="70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(1 )</w:t>
            </w:r>
          </w:p>
        </w:tc>
      </w:tr>
      <w:tr>
        <w:trPr>
          <w:trHeight w:val="243"/>
        </w:trPr>
        <w:tc>
          <w:tcPr>
            <w:tcW w:w="5540" w:type="dxa"/>
            <w:vAlign w:val="bottom"/>
          </w:tcPr>
          <w:p>
            <w:pPr>
              <w:ind w:left="200"/>
              <w:spacing w:after="0"/>
              <w:rPr>
                <w:sz w:val="20"/>
                <w:szCs w:val="20"/>
                <w:color w:val="auto"/>
              </w:rPr>
            </w:pPr>
            <w:r>
              <w:rPr>
                <w:rFonts w:ascii="Arial" w:cs="Arial" w:eastAsia="Arial" w:hAnsi="Arial"/>
                <w:sz w:val="18"/>
                <w:szCs w:val="18"/>
                <w:color w:val="auto"/>
              </w:rPr>
              <w:t>Increase in short-term debt, net</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Borders>
              <w:bottom w:val="single" w:sz="8" w:color="CEF9CE"/>
            </w:tcBorders>
            <w:shd w:val="clear" w:color="auto" w:fill="CEF9CE"/>
          </w:tcPr>
          <w:p>
            <w:pPr>
              <w:ind w:left="5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EF9CE"/>
          </w:tcPr>
          <w:p>
            <w:pPr>
              <w:spacing w:after="0"/>
              <w:rPr>
                <w:sz w:val="20"/>
                <w:szCs w:val="20"/>
                <w:color w:val="auto"/>
              </w:rPr>
            </w:pPr>
          </w:p>
        </w:tc>
        <w:tc>
          <w:tcPr>
            <w:tcW w:w="64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(105 )</w:t>
            </w:r>
          </w:p>
        </w:tc>
        <w:tc>
          <w:tcPr>
            <w:tcW w:w="1020" w:type="dxa"/>
            <w:vAlign w:val="bottom"/>
            <w:tcBorders>
              <w:bottom w:val="single" w:sz="8" w:color="auto"/>
            </w:tcBorders>
            <w:shd w:val="clear" w:color="auto" w:fill="CEF9CE"/>
          </w:tcPr>
          <w:p>
            <w:pPr>
              <w:spacing w:after="0"/>
              <w:rPr>
                <w:sz w:val="20"/>
                <w:szCs w:val="20"/>
                <w:color w:val="auto"/>
              </w:rPr>
            </w:pPr>
          </w:p>
        </w:tc>
        <w:tc>
          <w:tcPr>
            <w:tcW w:w="70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(101 )</w:t>
            </w:r>
          </w:p>
        </w:tc>
      </w:tr>
    </w:tbl>
    <w:p>
      <w:pPr>
        <w:spacing w:after="0" w:line="200" w:lineRule="exact"/>
        <w:rPr>
          <w:sz w:val="20"/>
          <w:szCs w:val="20"/>
          <w:color w:val="auto"/>
        </w:rPr>
      </w:pPr>
    </w:p>
    <w:p>
      <w:pPr>
        <w:sectPr>
          <w:pgSz w:w="11900" w:h="16838" w:orient="portrait"/>
          <w:cols w:equalWidth="0" w:num="1">
            <w:col w:w="10219"/>
          </w:cols>
          <w:pgMar w:left="240" w:top="1030" w:right="1440" w:bottom="1440" w:gutter="0" w:footer="0" w:header="0"/>
        </w:sectPr>
      </w:pPr>
    </w:p>
    <w:p>
      <w:pPr>
        <w:spacing w:after="0" w:line="42"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-123190</wp:posOffset>
            </wp:positionV>
            <wp:extent cx="515429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54295" cy="154305"/>
                    </a:xfrm>
                    <a:prstGeom prst="rect">
                      <a:avLst/>
                    </a:prstGeom>
                    <a:noFill/>
                  </pic:spPr>
                </pic:pic>
              </a:graphicData>
            </a:graphic>
          </wp:anchor>
        </w:drawing>
      </w:r>
    </w:p>
    <w:p>
      <w:pPr>
        <w:spacing w:after="0" w:line="41"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Cash and cash equivalents,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30480</wp:posOffset>
            </wp:positionV>
            <wp:extent cx="515429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54295" cy="180340"/>
                    </a:xfrm>
                    <a:prstGeom prst="rect">
                      <a:avLst/>
                    </a:prstGeom>
                    <a:noFill/>
                  </pic:spPr>
                </pic:pic>
              </a:graphicData>
            </a:graphic>
          </wp:anchor>
        </w:drawing>
      </w:r>
    </w:p>
    <w:p>
      <w:pPr>
        <w:spacing w:after="0" w:line="68"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Cash and cash equivalents, September 30</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(21 )</w:t>
            </w:r>
          </w:p>
        </w:tc>
        <w:tc>
          <w:tcPr>
            <w:tcW w:w="6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(71 )</w:t>
            </w:r>
          </w:p>
        </w:tc>
      </w:tr>
      <w:tr>
        <w:trPr>
          <w:trHeight w:val="250"/>
        </w:trPr>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59</w:t>
            </w:r>
          </w:p>
        </w:tc>
        <w:tc>
          <w:tcPr>
            <w:tcW w:w="6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211</w:t>
            </w:r>
          </w:p>
        </w:tc>
      </w:tr>
      <w:tr>
        <w:trPr>
          <w:trHeight w:val="264"/>
        </w:trPr>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38</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140</w:t>
            </w:r>
          </w:p>
        </w:tc>
      </w:tr>
    </w:tbl>
    <w:p>
      <w:pPr>
        <w:spacing w:after="0" w:line="200" w:lineRule="exact"/>
        <w:rPr>
          <w:sz w:val="20"/>
          <w:szCs w:val="20"/>
          <w:color w:val="auto"/>
        </w:rPr>
      </w:pPr>
    </w:p>
    <w:p>
      <w:pPr>
        <w:sectPr>
          <w:pgSz w:w="11900" w:h="16838" w:orient="portrait"/>
          <w:cols w:equalWidth="0" w:num="2">
            <w:col w:w="6480" w:space="720"/>
            <w:col w:w="3019"/>
          </w:cols>
          <w:pgMar w:left="240" w:top="1030" w:right="1440" w:bottom="1440" w:gutter="0" w:footer="0" w:header="0"/>
          <w:type w:val="continuous"/>
        </w:sectPr>
      </w:pPr>
    </w:p>
    <w:p>
      <w:pPr>
        <w:spacing w:after="0" w:line="43" w:lineRule="exact"/>
        <w:rPr>
          <w:sz w:val="20"/>
          <w:szCs w:val="20"/>
          <w:color w:val="auto"/>
        </w:rPr>
      </w:pPr>
    </w:p>
    <w:tbl>
      <w:tblPr>
        <w:tblLayout w:type="fixed"/>
        <w:tblInd w:w="1660" w:type="dxa"/>
        <w:tblCellMar>
          <w:top w:w="0" w:type="dxa"/>
          <w:left w:w="0" w:type="dxa"/>
          <w:bottom w:w="0" w:type="dxa"/>
          <w:right w:w="0" w:type="dxa"/>
        </w:tblCellMar>
      </w:tblPr>
      <w:tr>
        <w:trPr>
          <w:trHeight w:val="243"/>
        </w:trPr>
        <w:tc>
          <w:tcPr>
            <w:tcW w:w="5540" w:type="dxa"/>
            <w:vAlign w:val="bottom"/>
            <w:shd w:val="clear" w:color="auto" w:fill="CEF9CE"/>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EF9CE"/>
          </w:tcPr>
          <w:p>
            <w:pPr>
              <w:spacing w:after="0"/>
              <w:rPr>
                <w:sz w:val="21"/>
                <w:szCs w:val="21"/>
                <w:color w:val="auto"/>
              </w:rPr>
            </w:pPr>
          </w:p>
        </w:tc>
        <w:tc>
          <w:tcPr>
            <w:tcW w:w="920" w:type="dxa"/>
            <w:vAlign w:val="bottom"/>
            <w:shd w:val="clear" w:color="auto" w:fill="CEF9CE"/>
          </w:tcPr>
          <w:p>
            <w:pPr>
              <w:spacing w:after="0"/>
              <w:rPr>
                <w:sz w:val="21"/>
                <w:szCs w:val="21"/>
                <w:color w:val="auto"/>
              </w:rPr>
            </w:pPr>
          </w:p>
        </w:tc>
        <w:tc>
          <w:tcPr>
            <w:tcW w:w="660" w:type="dxa"/>
            <w:vAlign w:val="bottom"/>
            <w:shd w:val="clear" w:color="auto" w:fill="CEF9CE"/>
          </w:tcPr>
          <w:p>
            <w:pPr>
              <w:spacing w:after="0"/>
              <w:rPr>
                <w:sz w:val="21"/>
                <w:szCs w:val="21"/>
                <w:color w:val="auto"/>
              </w:rPr>
            </w:pPr>
          </w:p>
        </w:tc>
        <w:tc>
          <w:tcPr>
            <w:tcW w:w="680" w:type="dxa"/>
            <w:vAlign w:val="bottom"/>
            <w:shd w:val="clear" w:color="auto" w:fill="CEF9C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200"/>
              <w:spacing w:after="0"/>
              <w:rPr>
                <w:sz w:val="20"/>
                <w:szCs w:val="20"/>
                <w:color w:val="auto"/>
              </w:rPr>
            </w:pPr>
            <w:r>
              <w:rPr>
                <w:rFonts w:ascii="Arial" w:cs="Arial" w:eastAsia="Arial" w:hAnsi="Arial"/>
                <w:sz w:val="18"/>
                <w:szCs w:val="18"/>
                <w:color w:val="auto"/>
              </w:rPr>
              <w:t>Interest payments, net of amounts capitalized</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35</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CEF9CE"/>
            </w:tcBorders>
            <w:shd w:val="clear" w:color="auto" w:fill="CEF9CE"/>
          </w:tcPr>
          <w:p>
            <w:pPr>
              <w:ind w:left="200"/>
              <w:spacing w:after="0"/>
              <w:rPr>
                <w:sz w:val="20"/>
                <w:szCs w:val="20"/>
                <w:color w:val="auto"/>
              </w:rPr>
            </w:pPr>
            <w:r>
              <w:rPr>
                <w:rFonts w:ascii="Arial" w:cs="Arial" w:eastAsia="Arial" w:hAnsi="Arial"/>
                <w:sz w:val="18"/>
                <w:szCs w:val="18"/>
                <w:color w:val="auto"/>
              </w:rPr>
              <w:t>Income tax payments, net of refunds</w:t>
            </w:r>
          </w:p>
        </w:tc>
        <w:tc>
          <w:tcPr>
            <w:tcW w:w="320" w:type="dxa"/>
            <w:vAlign w:val="bottom"/>
            <w:tcBorders>
              <w:bottom w:val="single" w:sz="8" w:color="auto"/>
            </w:tcBorders>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9CE"/>
          </w:tcPr>
          <w:p>
            <w:pPr>
              <w:jc w:val="right"/>
              <w:ind w:right="410"/>
              <w:spacing w:after="0"/>
              <w:rPr>
                <w:sz w:val="20"/>
                <w:szCs w:val="20"/>
                <w:color w:val="auto"/>
              </w:rPr>
            </w:pPr>
            <w:r>
              <w:rPr>
                <w:rFonts w:ascii="Arial" w:cs="Arial" w:eastAsia="Arial" w:hAnsi="Arial"/>
                <w:sz w:val="18"/>
                <w:szCs w:val="18"/>
                <w:color w:val="auto"/>
              </w:rPr>
              <w:t>113</w:t>
            </w:r>
          </w:p>
        </w:tc>
        <w:tc>
          <w:tcPr>
            <w:tcW w:w="660" w:type="dxa"/>
            <w:vAlign w:val="bottom"/>
            <w:tcBorders>
              <w:bottom w:val="single" w:sz="8" w:color="auto"/>
            </w:tcBorders>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EF9CE"/>
          </w:tcPr>
          <w:p>
            <w:pPr>
              <w:jc w:val="right"/>
              <w:ind w:right="1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40" w:type="dxa"/>
            <w:vAlign w:val="bottom"/>
            <w:shd w:val="clear" w:color="auto" w:fill="CEF9CE"/>
          </w:tcPr>
          <w:p>
            <w:pPr>
              <w:spacing w:after="0"/>
              <w:rPr>
                <w:sz w:val="20"/>
                <w:szCs w:val="20"/>
                <w:color w:val="auto"/>
              </w:rPr>
            </w:pPr>
            <w:r>
              <w:rPr>
                <w:rFonts w:ascii="Arial" w:cs="Arial" w:eastAsia="Arial" w:hAnsi="Arial"/>
                <w:sz w:val="18"/>
                <w:szCs w:val="18"/>
                <w:color w:val="auto"/>
              </w:rPr>
              <w:t>SUPPLEMENTAL DISCLOSURE OF NONCASH INVESTING</w:t>
            </w:r>
          </w:p>
        </w:tc>
        <w:tc>
          <w:tcPr>
            <w:tcW w:w="320" w:type="dxa"/>
            <w:vAlign w:val="bottom"/>
            <w:shd w:val="clear" w:color="auto" w:fill="CEF9CE"/>
          </w:tcPr>
          <w:p>
            <w:pPr>
              <w:spacing w:after="0"/>
              <w:rPr>
                <w:sz w:val="18"/>
                <w:szCs w:val="18"/>
                <w:color w:val="auto"/>
              </w:rPr>
            </w:pPr>
          </w:p>
        </w:tc>
        <w:tc>
          <w:tcPr>
            <w:tcW w:w="920" w:type="dxa"/>
            <w:vAlign w:val="bottom"/>
            <w:shd w:val="clear" w:color="auto" w:fill="CEF9CE"/>
          </w:tcPr>
          <w:p>
            <w:pPr>
              <w:spacing w:after="0"/>
              <w:rPr>
                <w:sz w:val="18"/>
                <w:szCs w:val="18"/>
                <w:color w:val="auto"/>
              </w:rPr>
            </w:pPr>
          </w:p>
        </w:tc>
        <w:tc>
          <w:tcPr>
            <w:tcW w:w="660" w:type="dxa"/>
            <w:vAlign w:val="bottom"/>
            <w:shd w:val="clear" w:color="auto" w:fill="CEF9CE"/>
          </w:tcPr>
          <w:p>
            <w:pPr>
              <w:spacing w:after="0"/>
              <w:rPr>
                <w:sz w:val="18"/>
                <w:szCs w:val="18"/>
                <w:color w:val="auto"/>
              </w:rPr>
            </w:pPr>
          </w:p>
        </w:tc>
        <w:tc>
          <w:tcPr>
            <w:tcW w:w="680" w:type="dxa"/>
            <w:vAlign w:val="bottom"/>
            <w:shd w:val="clear" w:color="auto" w:fill="CEF9C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40" w:type="dxa"/>
            <w:vAlign w:val="bottom"/>
            <w:shd w:val="clear" w:color="auto" w:fill="CEF9CE"/>
          </w:tcPr>
          <w:p>
            <w:pPr>
              <w:ind w:left="100"/>
              <w:spacing w:after="0"/>
              <w:rPr>
                <w:sz w:val="20"/>
                <w:szCs w:val="20"/>
                <w:color w:val="auto"/>
              </w:rPr>
            </w:pPr>
            <w:r>
              <w:rPr>
                <w:rFonts w:ascii="Arial" w:cs="Arial" w:eastAsia="Arial" w:hAnsi="Arial"/>
                <w:sz w:val="18"/>
                <w:szCs w:val="18"/>
                <w:color w:val="auto"/>
              </w:rPr>
              <w:t>ACTIVITY</w:t>
            </w:r>
          </w:p>
        </w:tc>
        <w:tc>
          <w:tcPr>
            <w:tcW w:w="320" w:type="dxa"/>
            <w:vAlign w:val="bottom"/>
            <w:shd w:val="clear" w:color="auto" w:fill="CEF9CE"/>
          </w:tcPr>
          <w:p>
            <w:pPr>
              <w:spacing w:after="0"/>
              <w:rPr>
                <w:sz w:val="21"/>
                <w:szCs w:val="21"/>
                <w:color w:val="auto"/>
              </w:rPr>
            </w:pPr>
          </w:p>
        </w:tc>
        <w:tc>
          <w:tcPr>
            <w:tcW w:w="920" w:type="dxa"/>
            <w:vAlign w:val="bottom"/>
            <w:shd w:val="clear" w:color="auto" w:fill="CEF9CE"/>
          </w:tcPr>
          <w:p>
            <w:pPr>
              <w:spacing w:after="0"/>
              <w:rPr>
                <w:sz w:val="21"/>
                <w:szCs w:val="21"/>
                <w:color w:val="auto"/>
              </w:rPr>
            </w:pPr>
          </w:p>
        </w:tc>
        <w:tc>
          <w:tcPr>
            <w:tcW w:w="660" w:type="dxa"/>
            <w:vAlign w:val="bottom"/>
            <w:shd w:val="clear" w:color="auto" w:fill="CEF9CE"/>
          </w:tcPr>
          <w:p>
            <w:pPr>
              <w:spacing w:after="0"/>
              <w:rPr>
                <w:sz w:val="21"/>
                <w:szCs w:val="21"/>
                <w:color w:val="auto"/>
              </w:rPr>
            </w:pPr>
          </w:p>
        </w:tc>
        <w:tc>
          <w:tcPr>
            <w:tcW w:w="680" w:type="dxa"/>
            <w:vAlign w:val="bottom"/>
            <w:shd w:val="clear" w:color="auto" w:fill="CEF9C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380"/>
              <w:spacing w:after="0"/>
              <w:rPr>
                <w:sz w:val="20"/>
                <w:szCs w:val="20"/>
                <w:color w:val="auto"/>
              </w:rPr>
            </w:pPr>
            <w:r>
              <w:rPr>
                <w:rFonts w:ascii="Arial" w:cs="Arial" w:eastAsia="Arial" w:hAnsi="Arial"/>
                <w:sz w:val="18"/>
                <w:szCs w:val="18"/>
                <w:color w:val="auto"/>
                <w:w w:val="92"/>
              </w:rPr>
              <w:t>Decrease in accounts payable from investments in property, plant and</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color w:val="auto"/>
              </w:rPr>
              <w:t>(30 )</w:t>
            </w: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540" w:type="dxa"/>
            <w:vAlign w:val="bottom"/>
          </w:tcPr>
          <w:p>
            <w:pPr>
              <w:ind w:left="600"/>
              <w:spacing w:after="0" w:line="203" w:lineRule="exact"/>
              <w:rPr>
                <w:sz w:val="20"/>
                <w:szCs w:val="20"/>
                <w:color w:val="auto"/>
              </w:rPr>
            </w:pPr>
            <w:r>
              <w:rPr>
                <w:rFonts w:ascii="Arial" w:cs="Arial" w:eastAsia="Arial" w:hAnsi="Arial"/>
                <w:sz w:val="18"/>
                <w:szCs w:val="18"/>
                <w:color w:val="auto"/>
              </w:rPr>
              <w:t>equipment</w:t>
            </w:r>
          </w:p>
        </w:tc>
        <w:tc>
          <w:tcPr>
            <w:tcW w:w="32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EF9CE"/>
          </w:tcPr>
          <w:p>
            <w:pPr>
              <w:spacing w:after="0"/>
              <w:rPr>
                <w:sz w:val="21"/>
                <w:szCs w:val="21"/>
                <w:color w:val="auto"/>
              </w:rPr>
            </w:pPr>
          </w:p>
        </w:tc>
        <w:tc>
          <w:tcPr>
            <w:tcW w:w="320" w:type="dxa"/>
            <w:vAlign w:val="bottom"/>
            <w:shd w:val="clear" w:color="auto" w:fill="CEF9CE"/>
          </w:tcPr>
          <w:p>
            <w:pPr>
              <w:spacing w:after="0"/>
              <w:rPr>
                <w:sz w:val="21"/>
                <w:szCs w:val="21"/>
                <w:color w:val="auto"/>
              </w:rPr>
            </w:pPr>
          </w:p>
        </w:tc>
        <w:tc>
          <w:tcPr>
            <w:tcW w:w="920" w:type="dxa"/>
            <w:vAlign w:val="bottom"/>
            <w:shd w:val="clear" w:color="auto" w:fill="CEF9CE"/>
          </w:tcPr>
          <w:p>
            <w:pPr>
              <w:spacing w:after="0"/>
              <w:rPr>
                <w:sz w:val="21"/>
                <w:szCs w:val="21"/>
                <w:color w:val="auto"/>
              </w:rPr>
            </w:pPr>
          </w:p>
        </w:tc>
        <w:tc>
          <w:tcPr>
            <w:tcW w:w="660" w:type="dxa"/>
            <w:vAlign w:val="bottom"/>
            <w:shd w:val="clear" w:color="auto" w:fill="CEF9CE"/>
          </w:tcPr>
          <w:p>
            <w:pPr>
              <w:spacing w:after="0"/>
              <w:rPr>
                <w:sz w:val="21"/>
                <w:szCs w:val="21"/>
                <w:color w:val="auto"/>
              </w:rPr>
            </w:pPr>
          </w:p>
        </w:tc>
        <w:tc>
          <w:tcPr>
            <w:tcW w:w="680" w:type="dxa"/>
            <w:vAlign w:val="bottom"/>
            <w:shd w:val="clear" w:color="auto" w:fill="CEF9CE"/>
          </w:tcPr>
          <w:p>
            <w:pPr>
              <w:spacing w:after="0"/>
              <w:rPr>
                <w:sz w:val="21"/>
                <w:szCs w:val="21"/>
                <w:color w:val="auto"/>
              </w:rPr>
            </w:pPr>
          </w:p>
        </w:tc>
        <w:tc>
          <w:tcPr>
            <w:tcW w:w="0" w:type="dxa"/>
            <w:vAlign w:val="bottom"/>
          </w:tcPr>
          <w:p>
            <w:pPr>
              <w:spacing w:after="0"/>
              <w:rPr>
                <w:sz w:val="1"/>
                <w:szCs w:val="1"/>
                <w:color w:val="auto"/>
              </w:rPr>
            </w:pPr>
          </w:p>
        </w:tc>
      </w:tr>
    </w:tbl>
    <w:p>
      <w:pPr>
        <w:ind w:left="166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10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19"/>
          </w:cols>
          <w:pgMar w:left="240" w:top="103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GENERAL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This Quarterly Report on Form 10-Q is that of Pacific Enterprises (PE) and Southern California Gas Company (SoCalGas) (collectively referred to as the company or the companies). PE’s common stock is wholly owned by Sempra Energy, a California-based Fortune 500 holding company, and PE owns all of the common stock of SoCalGas. The accompanying financial statements are, in one case, the Condensed Consolidated Financial Statements of PE and its subsidiary, SoCalGas, and, in the other case, the Condensed Consolidated Financial Statements of SoCalGas and its subsidiaries, which comprise less than one percent of SoCalGas' consolidated financial position and results of operations.</w:t>
      </w:r>
    </w:p>
    <w:p>
      <w:pPr>
        <w:spacing w:after="0" w:line="197"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Sempra Energy also indirectly owns all of the common stock of San Diego Gas &amp; Electric Company (SDG&amp;E). SoCalGas and SDG&amp;E are collectively referred to as the Sempra Utilities.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The Condensed Consolidated Financial Statements have been prepared in conformity with accounting principles generally accepted in the United States of America (GAAP) and in accordance with the interim-period-reporting requirements of Form 10-Q. Results of operations for interim periods are not necessarily indicative of results for the entire year. In the opinion of management, the accompanying statements reflect all adjustments necessary for a fair presentation. These adjustments are only of a normal, recurring nature.</w:t>
      </w:r>
    </w:p>
    <w:p>
      <w:pPr>
        <w:spacing w:after="0" w:line="19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Information in this Quarterly Report should be read in conjunction with the company’s Annual Report on Form 10-K for the year ended December 31, 2007 (the Annual Report) and its Quarterly Reports on Form 10-Q for the quarters ended March 31, 2008 and June 30, 2008.</w:t>
      </w:r>
    </w:p>
    <w:p>
      <w:pPr>
        <w:spacing w:after="0" w:line="186"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The companies' significant accounting policies are described in Note 1 of the Notes to Consolidated Financial Statements in the Annual Report. The same accounting policies are followed for interim reporting purposes, except for the adoption of new accounting standards as discussed in Note 2.</w:t>
      </w:r>
    </w:p>
    <w:p>
      <w:pPr>
        <w:spacing w:after="0" w:line="186"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SoCalGas accounts for the economic effects of regulation on utility operations in accordance with Statement of Financial Accounting Standards (SFAS) 71</w:t>
      </w:r>
      <w:r>
        <w:rPr>
          <w:rFonts w:ascii="Arial" w:cs="Arial" w:eastAsia="Arial" w:hAnsi="Arial"/>
          <w:sz w:val="20"/>
          <w:szCs w:val="20"/>
          <w:i w:val="1"/>
          <w:iCs w:val="1"/>
          <w:color w:val="auto"/>
        </w:rPr>
        <w:t>, Accounting for the Effects of Certain Types of Regulation.</w:t>
      </w:r>
    </w:p>
    <w:p>
      <w:pPr>
        <w:spacing w:after="0" w:line="177"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As discussed in Note 5, beginning April 1, 2008, the SDG&amp;E and SoCalGas core natural gas supply portfolios were combined and are managed by SoCalGas. SoCalGas will procure natural gas for SDG&amp;E’s core customers. This core gas procurement function is considered a shared service, therefore amounts related to SDG&amp;E are not included in the income statement.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NEW ACCOUNTING STANDARDS</w:t>
      </w:r>
    </w:p>
    <w:p>
      <w:pPr>
        <w:spacing w:after="0" w:line="222"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Recently issued pronouncements that have had or may have a significant effect on the company's financial statements are described below.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80"/>
          </w:cols>
          <w:pgMar w:left="240" w:top="549" w:right="879" w:bottom="1440" w:gutter="0" w:footer="0" w:header="0"/>
        </w:sectPr>
      </w:pPr>
    </w:p>
    <w:bookmarkStart w:id="11" w:name="page12"/>
    <w:bookmarkEnd w:id="11"/>
    <w:p>
      <w:pPr>
        <w:spacing w:after="0" w:line="258" w:lineRule="auto"/>
        <w:rPr>
          <w:sz w:val="20"/>
          <w:szCs w:val="20"/>
          <w:color w:val="auto"/>
        </w:rPr>
      </w:pPr>
      <w:r>
        <w:rPr>
          <w:rFonts w:ascii="Arial" w:cs="Arial" w:eastAsia="Arial" w:hAnsi="Arial"/>
          <w:sz w:val="19"/>
          <w:szCs w:val="19"/>
          <w:b w:val="1"/>
          <w:bCs w:val="1"/>
          <w:i w:val="1"/>
          <w:iCs w:val="1"/>
          <w:color w:val="auto"/>
        </w:rPr>
        <w:t xml:space="preserve">SFAS 161, "Disclosures about Derivative Instruments and Hedging Activities – an amendment of FASB Statement No. 133" (SFAS 161): </w:t>
      </w:r>
      <w:r>
        <w:rPr>
          <w:rFonts w:ascii="Arial" w:cs="Arial" w:eastAsia="Arial" w:hAnsi="Arial"/>
          <w:sz w:val="19"/>
          <w:szCs w:val="19"/>
          <w:color w:val="auto"/>
        </w:rPr>
        <w:t>SFAS 161 expands the disclosure requirements in Financial Accounting Standards Board (FASB) Statement No. 133,</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for Derivative Instruments and Hedging Activities </w:t>
      </w:r>
      <w:r>
        <w:rPr>
          <w:rFonts w:ascii="Arial" w:cs="Arial" w:eastAsia="Arial" w:hAnsi="Arial"/>
          <w:sz w:val="19"/>
          <w:szCs w:val="19"/>
          <w:color w:val="auto"/>
        </w:rPr>
        <w:t>(SFAS 133). SFAS 161 requires qualitative disclosures about objectives and</w:t>
      </w:r>
      <w:r>
        <w:rPr>
          <w:rFonts w:ascii="Arial" w:cs="Arial" w:eastAsia="Arial" w:hAnsi="Arial"/>
          <w:sz w:val="19"/>
          <w:szCs w:val="19"/>
          <w:i w:val="1"/>
          <w:iCs w:val="1"/>
          <w:color w:val="auto"/>
        </w:rPr>
        <w:t xml:space="preserve"> </w:t>
      </w:r>
      <w:r>
        <w:rPr>
          <w:rFonts w:ascii="Arial" w:cs="Arial" w:eastAsia="Arial" w:hAnsi="Arial"/>
          <w:sz w:val="19"/>
          <w:szCs w:val="19"/>
          <w:color w:val="auto"/>
        </w:rPr>
        <w:t>strategies for using derivatives, quantitative disclosures about fair value amounts of and gains and losses on derivative instruments, and disclosures about credit-risk-related contingent features in derivative agreements. SFAS 161 is effective for financial statements issued for fiscal years and interim periods beginning after November 15, 2008. The company is in the process of evaluating the effect of this statement on its financial statement disclosures.</w:t>
      </w:r>
    </w:p>
    <w:p>
      <w:pPr>
        <w:spacing w:after="0" w:line="179"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i w:val="1"/>
          <w:iCs w:val="1"/>
          <w:color w:val="auto"/>
        </w:rPr>
        <w:t xml:space="preserve">FASB Staff Position (FSP) FASB Interpretation (FIN) No. 39-1, "Amendment of FASB Interpretation No. 39" (FSP FIN 39-1): </w:t>
      </w:r>
      <w:r>
        <w:rPr>
          <w:rFonts w:ascii="Arial" w:cs="Arial" w:eastAsia="Arial" w:hAnsi="Arial"/>
          <w:sz w:val="18"/>
          <w:szCs w:val="18"/>
          <w:color w:val="auto"/>
        </w:rPr>
        <w:t xml:space="preserve">FSP FIN 39-1 amends FASB Interpretation No. 39, </w:t>
      </w:r>
      <w:r>
        <w:rPr>
          <w:rFonts w:ascii="Arial" w:cs="Arial" w:eastAsia="Arial" w:hAnsi="Arial"/>
          <w:sz w:val="18"/>
          <w:szCs w:val="18"/>
          <w:i w:val="1"/>
          <w:iCs w:val="1"/>
          <w:color w:val="auto"/>
        </w:rPr>
        <w:t>Offsetting of Amounts Related to Certain Contracts</w:t>
      </w:r>
      <w:r>
        <w:rPr>
          <w:rFonts w:ascii="Arial" w:cs="Arial" w:eastAsia="Arial" w:hAnsi="Arial"/>
          <w:sz w:val="18"/>
          <w:szCs w:val="18"/>
          <w:color w:val="auto"/>
        </w:rPr>
        <w:t>, to permit a reporting entity to offset fair value amounts recognized for the right to reclaim or the obligation to return cash collateral against fair value amounts recognized for derivative instruments executed with the same counterparty under the same master netting arrangement. The company adopted FSP FIN 39-1 effective January 1, 2008. The company applied FSP FIN 39-1 as a change in accounting principle through retrospective application. Each consolidated balance sheet herein reflects the offsetting of net derivative positions with fair value amounts for cash collateral with the same counterparty when management believes a legal right of setoff exists. The adoption of FSP FIN 39-1 did not have a material impact on the company's financial statements. Additional disclosure is provided in Note 4.</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OTHER FINANCIAL DATA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and Credit Facilities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Committed Line of Credit</w:t>
      </w:r>
    </w:p>
    <w:p>
      <w:pPr>
        <w:spacing w:after="0" w:line="216"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On August 15, 2008, the company and its affiliate, SDG&amp;E entered into an $800 million, three-year syndicated revolving credit agreement expiring in 2011. JPMorgan Chase Bank serves as administrative agent for the syndicate of 17 lenders. The agreement permits each company to individually borrow up to $600 million, subject to a combined limit of $800 million for both companies. It also provides for the issuance of letters of credit on behalf of each company subject to a combined letter of credit commitment of $200 million for both companies with the amount of borrowings otherwise available under the facility reduced by the amount of outstanding letters of credit.</w:t>
      </w:r>
    </w:p>
    <w:p>
      <w:pPr>
        <w:spacing w:after="0" w:line="196"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Borrowings bear interest at benchmark rates plus a margin that varies with market index rates and the borrowing company's credit rating. The agreement also requires each company to maintain at the end of each quarter a ratio of total indebtedness to total capitalization (as defined in the agreement) of no more than 65%.</w:t>
      </w:r>
    </w:p>
    <w:p>
      <w:pPr>
        <w:spacing w:after="0" w:line="186" w:lineRule="exact"/>
        <w:rPr>
          <w:sz w:val="20"/>
          <w:szCs w:val="20"/>
          <w:color w:val="auto"/>
        </w:rPr>
      </w:pPr>
    </w:p>
    <w:p>
      <w:pPr>
        <w:ind w:right="480"/>
        <w:spacing w:after="0" w:line="287" w:lineRule="auto"/>
        <w:rPr>
          <w:sz w:val="20"/>
          <w:szCs w:val="20"/>
          <w:color w:val="auto"/>
        </w:rPr>
      </w:pPr>
      <w:r>
        <w:rPr>
          <w:rFonts w:ascii="Arial" w:cs="Arial" w:eastAsia="Arial" w:hAnsi="Arial"/>
          <w:sz w:val="19"/>
          <w:szCs w:val="19"/>
          <w:color w:val="auto"/>
        </w:rPr>
        <w:t>Each company’s obligations under the agreement are individual obligations, and a default by one company would not constitute a default or preclude borrowings by, or the issuance of letters of credit on behalf of, the other company.</w:t>
      </w:r>
    </w:p>
    <w:p>
      <w:pPr>
        <w:spacing w:after="0" w:line="153"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Concurrently with the effectiveness of this credit agreement, SDG&amp;E’s and SoCalGas’ combined $600 million revolving credit facility scheduled to expire in August 2010 was terminated.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40"/>
          </w:cols>
          <w:pgMar w:left="240" w:top="555" w:right="919" w:bottom="1440" w:gutter="0" w:footer="0" w:header="0"/>
        </w:sectPr>
      </w:pPr>
    </w:p>
    <w:bookmarkStart w:id="12" w:name="page13"/>
    <w:bookmarkEnd w:id="12"/>
    <w:p>
      <w:pPr>
        <w:ind w:right="240"/>
        <w:spacing w:after="0" w:line="260" w:lineRule="auto"/>
        <w:rPr>
          <w:sz w:val="20"/>
          <w:szCs w:val="20"/>
          <w:color w:val="auto"/>
        </w:rPr>
      </w:pPr>
      <w:r>
        <w:rPr>
          <w:rFonts w:ascii="Arial" w:cs="Arial" w:eastAsia="Arial" w:hAnsi="Arial"/>
          <w:sz w:val="20"/>
          <w:szCs w:val="20"/>
          <w:color w:val="auto"/>
        </w:rPr>
        <w:t>At September 30, 2008, SoCalGas had no outstanding borrowings and no outstanding letters of credit under this facility. The facility provides support for $96 million of commercial paper outstanding at September 30, 2008.</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Weighted Average Interest Rate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weighted average interest rate on the total short-term debt outstanding was 2.95 percent at September 30, 2008.</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and Other Postretirement Benefits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provide the components of benefit costs:</w:t>
      </w:r>
    </w:p>
    <w:p>
      <w:pPr>
        <w:spacing w:after="0" w:line="259" w:lineRule="exact"/>
        <w:rPr>
          <w:sz w:val="20"/>
          <w:szCs w:val="20"/>
          <w:color w:val="auto"/>
        </w:rPr>
      </w:pPr>
    </w:p>
    <w:tbl>
      <w:tblPr>
        <w:tblLayout w:type="fixed"/>
        <w:tblInd w:w="16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color w:val="auto"/>
                <w:w w:val="90"/>
              </w:rPr>
              <w:t>Pension Benefits</w:t>
            </w:r>
          </w:p>
        </w:tc>
        <w:tc>
          <w:tcPr>
            <w:tcW w:w="28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0"/>
              </w:rPr>
              <w:t>Other Postretirement Benefits</w:t>
            </w: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gridSpan w:val="3"/>
          </w:tcPr>
          <w:p>
            <w:pPr>
              <w:jc w:val="center"/>
              <w:ind w:right="510"/>
              <w:spacing w:after="0"/>
              <w:rPr>
                <w:sz w:val="20"/>
                <w:szCs w:val="20"/>
                <w:color w:val="auto"/>
              </w:rPr>
            </w:pPr>
            <w:r>
              <w:rPr>
                <w:rFonts w:ascii="Arial" w:cs="Arial" w:eastAsia="Arial" w:hAnsi="Arial"/>
                <w:sz w:val="18"/>
                <w:szCs w:val="18"/>
                <w:color w:val="auto"/>
                <w:w w:val="89"/>
              </w:rPr>
              <w:t>Three months ended</w:t>
            </w:r>
          </w:p>
        </w:tc>
        <w:tc>
          <w:tcPr>
            <w:tcW w:w="460" w:type="dxa"/>
            <w:vAlign w:val="bottom"/>
          </w:tcPr>
          <w:p>
            <w:pPr>
              <w:spacing w:after="0"/>
              <w:rPr>
                <w:sz w:val="20"/>
                <w:szCs w:val="20"/>
                <w:color w:val="auto"/>
              </w:rPr>
            </w:pPr>
          </w:p>
        </w:tc>
        <w:tc>
          <w:tcPr>
            <w:tcW w:w="2360" w:type="dxa"/>
            <w:vAlign w:val="bottom"/>
            <w:gridSpan w:val="4"/>
          </w:tcPr>
          <w:p>
            <w:pPr>
              <w:jc w:val="center"/>
              <w:ind w:right="540"/>
              <w:spacing w:after="0"/>
              <w:rPr>
                <w:sz w:val="20"/>
                <w:szCs w:val="20"/>
                <w:color w:val="auto"/>
              </w:rPr>
            </w:pPr>
            <w:r>
              <w:rPr>
                <w:rFonts w:ascii="Arial" w:cs="Arial" w:eastAsia="Arial" w:hAnsi="Arial"/>
                <w:sz w:val="18"/>
                <w:szCs w:val="18"/>
                <w:color w:val="auto"/>
                <w:w w:val="87"/>
              </w:rPr>
              <w:t>Three months ended</w:t>
            </w:r>
          </w:p>
        </w:tc>
      </w:tr>
      <w:tr>
        <w:trPr>
          <w:trHeight w:val="249"/>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8"/>
              </w:rPr>
              <w:t>September 30,</w:t>
            </w: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88"/>
              </w:rPr>
              <w:t>September 30,</w:t>
            </w: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37"/>
        </w:trPr>
        <w:tc>
          <w:tcPr>
            <w:tcW w:w="2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2007</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2007</w:t>
            </w:r>
          </w:p>
        </w:tc>
        <w:tc>
          <w:tcPr>
            <w:tcW w:w="20" w:type="dxa"/>
            <w:vAlign w:val="bottom"/>
            <w:tcBorders>
              <w:bottom w:val="single" w:sz="8" w:color="auto"/>
            </w:tcBorders>
          </w:tcPr>
          <w:p>
            <w:pPr>
              <w:spacing w:after="0"/>
              <w:rPr>
                <w:sz w:val="20"/>
                <w:szCs w:val="20"/>
                <w:color w:val="auto"/>
              </w:rPr>
            </w:pPr>
          </w:p>
        </w:tc>
      </w:tr>
      <w:tr>
        <w:trPr>
          <w:trHeight w:val="243"/>
        </w:trPr>
        <w:tc>
          <w:tcPr>
            <w:tcW w:w="2680" w:type="dxa"/>
            <w:vAlign w:val="bottom"/>
            <w:gridSpan w:val="3"/>
            <w:shd w:val="clear" w:color="auto" w:fill="CEF9CE"/>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9CE"/>
          </w:tcPr>
          <w:p>
            <w:pPr>
              <w:jc w:val="right"/>
              <w:ind w:right="19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9CE"/>
          </w:tcPr>
          <w:p>
            <w:pPr>
              <w:jc w:val="right"/>
              <w:ind w:right="21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EF9CE"/>
          </w:tcPr>
          <w:p>
            <w:pPr>
              <w:ind w:lef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9CE"/>
          </w:tcPr>
          <w:p>
            <w:pPr>
              <w:jc w:val="right"/>
              <w:ind w:right="17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EF9CE"/>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3</w:t>
            </w:r>
          </w:p>
        </w:tc>
        <w:tc>
          <w:tcPr>
            <w:tcW w:w="20" w:type="dxa"/>
            <w:vAlign w:val="bottom"/>
            <w:shd w:val="clear" w:color="auto" w:fill="CEF9CE"/>
          </w:tcPr>
          <w:p>
            <w:pPr>
              <w:spacing w:after="0"/>
              <w:rPr>
                <w:sz w:val="21"/>
                <w:szCs w:val="21"/>
                <w:color w:val="auto"/>
              </w:rPr>
            </w:pPr>
          </w:p>
        </w:tc>
      </w:tr>
      <w:tr>
        <w:trPr>
          <w:trHeight w:val="237"/>
        </w:trPr>
        <w:tc>
          <w:tcPr>
            <w:tcW w:w="268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49"/>
        </w:trPr>
        <w:tc>
          <w:tcPr>
            <w:tcW w:w="2680" w:type="dxa"/>
            <w:vAlign w:val="bottom"/>
            <w:gridSpan w:val="3"/>
            <w:shd w:val="clear" w:color="auto" w:fill="CEF9CE"/>
          </w:tcPr>
          <w:p>
            <w:pPr>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EF9CE"/>
          </w:tcPr>
          <w:p>
            <w:pPr>
              <w:spacing w:after="0"/>
              <w:rPr>
                <w:sz w:val="21"/>
                <w:szCs w:val="21"/>
                <w:color w:val="auto"/>
              </w:rPr>
            </w:pPr>
          </w:p>
        </w:tc>
        <w:tc>
          <w:tcPr>
            <w:tcW w:w="1000" w:type="dxa"/>
            <w:vAlign w:val="bottom"/>
            <w:shd w:val="clear" w:color="auto" w:fill="CEF9CE"/>
          </w:tcPr>
          <w:p>
            <w:pPr>
              <w:jc w:val="right"/>
              <w:ind w:right="90"/>
              <w:spacing w:after="0"/>
              <w:rPr>
                <w:sz w:val="20"/>
                <w:szCs w:val="20"/>
                <w:color w:val="auto"/>
              </w:rPr>
            </w:pPr>
            <w:r>
              <w:rPr>
                <w:rFonts w:ascii="Arial" w:cs="Arial" w:eastAsia="Arial" w:hAnsi="Arial"/>
                <w:sz w:val="18"/>
                <w:szCs w:val="18"/>
                <w:color w:val="auto"/>
              </w:rPr>
              <w:t>(26 )</w:t>
            </w:r>
          </w:p>
        </w:tc>
        <w:tc>
          <w:tcPr>
            <w:tcW w:w="520" w:type="dxa"/>
            <w:vAlign w:val="bottom"/>
            <w:shd w:val="clear" w:color="auto" w:fill="CEF9CE"/>
          </w:tcPr>
          <w:p>
            <w:pPr>
              <w:spacing w:after="0"/>
              <w:rPr>
                <w:sz w:val="21"/>
                <w:szCs w:val="21"/>
                <w:color w:val="auto"/>
              </w:rPr>
            </w:pPr>
          </w:p>
        </w:tc>
        <w:tc>
          <w:tcPr>
            <w:tcW w:w="92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(25 )</w:t>
            </w:r>
          </w:p>
        </w:tc>
        <w:tc>
          <w:tcPr>
            <w:tcW w:w="460" w:type="dxa"/>
            <w:vAlign w:val="bottom"/>
            <w:shd w:val="clear" w:color="auto" w:fill="CEF9CE"/>
          </w:tcPr>
          <w:p>
            <w:pPr>
              <w:spacing w:after="0"/>
              <w:rPr>
                <w:sz w:val="21"/>
                <w:szCs w:val="21"/>
                <w:color w:val="auto"/>
              </w:rPr>
            </w:pPr>
          </w:p>
        </w:tc>
        <w:tc>
          <w:tcPr>
            <w:tcW w:w="1000" w:type="dxa"/>
            <w:vAlign w:val="bottom"/>
            <w:shd w:val="clear" w:color="auto" w:fill="CEF9CE"/>
          </w:tcPr>
          <w:p>
            <w:pPr>
              <w:jc w:val="right"/>
              <w:ind w:right="90"/>
              <w:spacing w:after="0"/>
              <w:rPr>
                <w:sz w:val="20"/>
                <w:szCs w:val="20"/>
                <w:color w:val="auto"/>
              </w:rPr>
            </w:pPr>
            <w:r>
              <w:rPr>
                <w:rFonts w:ascii="Arial" w:cs="Arial" w:eastAsia="Arial" w:hAnsi="Arial"/>
                <w:sz w:val="18"/>
                <w:szCs w:val="18"/>
                <w:color w:val="auto"/>
              </w:rPr>
              <w:t>(10 )</w:t>
            </w:r>
          </w:p>
        </w:tc>
        <w:tc>
          <w:tcPr>
            <w:tcW w:w="460" w:type="dxa"/>
            <w:vAlign w:val="bottom"/>
            <w:shd w:val="clear" w:color="auto" w:fill="CEF9CE"/>
          </w:tcPr>
          <w:p>
            <w:pPr>
              <w:spacing w:after="0"/>
              <w:rPr>
                <w:sz w:val="21"/>
                <w:szCs w:val="21"/>
                <w:color w:val="auto"/>
              </w:rPr>
            </w:pPr>
          </w:p>
        </w:tc>
        <w:tc>
          <w:tcPr>
            <w:tcW w:w="88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EF9CE"/>
          </w:tcPr>
          <w:p>
            <w:pPr>
              <w:spacing w:after="0"/>
              <w:rPr>
                <w:sz w:val="21"/>
                <w:szCs w:val="21"/>
                <w:color w:val="auto"/>
              </w:rPr>
            </w:pPr>
          </w:p>
        </w:tc>
      </w:tr>
      <w:tr>
        <w:trPr>
          <w:trHeight w:val="237"/>
        </w:trPr>
        <w:tc>
          <w:tcPr>
            <w:tcW w:w="2680" w:type="dxa"/>
            <w:vAlign w:val="bottom"/>
            <w:gridSpan w:val="3"/>
          </w:tcPr>
          <w:p>
            <w:pPr>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20" w:type="dxa"/>
            <w:vAlign w:val="bottom"/>
            <w:shd w:val="clear" w:color="auto" w:fill="CEF9CE"/>
          </w:tcPr>
          <w:p>
            <w:pPr>
              <w:spacing w:after="0"/>
              <w:rPr>
                <w:sz w:val="21"/>
                <w:szCs w:val="21"/>
                <w:color w:val="auto"/>
              </w:rPr>
            </w:pPr>
          </w:p>
        </w:tc>
        <w:tc>
          <w:tcPr>
            <w:tcW w:w="2660" w:type="dxa"/>
            <w:vAlign w:val="bottom"/>
            <w:gridSpan w:val="2"/>
            <w:shd w:val="clear" w:color="auto" w:fill="CEF9CE"/>
          </w:tcPr>
          <w:p>
            <w:pPr>
              <w:ind w:left="240"/>
              <w:spacing w:after="0"/>
              <w:rPr>
                <w:sz w:val="20"/>
                <w:szCs w:val="20"/>
                <w:color w:val="auto"/>
              </w:rPr>
            </w:pPr>
            <w:r>
              <w:rPr>
                <w:rFonts w:ascii="Arial" w:cs="Arial" w:eastAsia="Arial" w:hAnsi="Arial"/>
                <w:sz w:val="18"/>
                <w:szCs w:val="18"/>
                <w:color w:val="auto"/>
              </w:rPr>
              <w:t>Prior service cost (credit)</w:t>
            </w:r>
          </w:p>
        </w:tc>
        <w:tc>
          <w:tcPr>
            <w:tcW w:w="300" w:type="dxa"/>
            <w:vAlign w:val="bottom"/>
            <w:shd w:val="clear" w:color="auto" w:fill="CEF9CE"/>
          </w:tcPr>
          <w:p>
            <w:pPr>
              <w:spacing w:after="0"/>
              <w:rPr>
                <w:sz w:val="21"/>
                <w:szCs w:val="21"/>
                <w:color w:val="auto"/>
              </w:rPr>
            </w:pPr>
          </w:p>
        </w:tc>
        <w:tc>
          <w:tcPr>
            <w:tcW w:w="1000" w:type="dxa"/>
            <w:vAlign w:val="bottom"/>
            <w:shd w:val="clear" w:color="auto" w:fill="CEF9CE"/>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EF9CE"/>
          </w:tcPr>
          <w:p>
            <w:pPr>
              <w:spacing w:after="0"/>
              <w:rPr>
                <w:sz w:val="21"/>
                <w:szCs w:val="21"/>
                <w:color w:val="auto"/>
              </w:rPr>
            </w:pPr>
          </w:p>
        </w:tc>
        <w:tc>
          <w:tcPr>
            <w:tcW w:w="920" w:type="dxa"/>
            <w:vAlign w:val="bottom"/>
            <w:shd w:val="clear" w:color="auto" w:fill="CEF9CE"/>
          </w:tcPr>
          <w:p>
            <w:pPr>
              <w:jc w:val="right"/>
              <w:ind w:right="21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EF9CE"/>
          </w:tcPr>
          <w:p>
            <w:pPr>
              <w:spacing w:after="0"/>
              <w:rPr>
                <w:sz w:val="21"/>
                <w:szCs w:val="21"/>
                <w:color w:val="auto"/>
              </w:rPr>
            </w:pPr>
          </w:p>
        </w:tc>
        <w:tc>
          <w:tcPr>
            <w:tcW w:w="1000" w:type="dxa"/>
            <w:vAlign w:val="bottom"/>
            <w:shd w:val="clear" w:color="auto" w:fill="CEF9CE"/>
          </w:tcPr>
          <w:p>
            <w:pPr>
              <w:jc w:val="right"/>
              <w:ind w:right="90"/>
              <w:spacing w:after="0"/>
              <w:rPr>
                <w:sz w:val="20"/>
                <w:szCs w:val="20"/>
                <w:color w:val="auto"/>
              </w:rPr>
            </w:pPr>
            <w:r>
              <w:rPr>
                <w:rFonts w:ascii="Arial" w:cs="Arial" w:eastAsia="Arial" w:hAnsi="Arial"/>
                <w:sz w:val="18"/>
                <w:szCs w:val="18"/>
                <w:color w:val="auto"/>
              </w:rPr>
              <w:t>(1 )</w:t>
            </w:r>
          </w:p>
        </w:tc>
        <w:tc>
          <w:tcPr>
            <w:tcW w:w="460" w:type="dxa"/>
            <w:vAlign w:val="bottom"/>
            <w:shd w:val="clear" w:color="auto" w:fill="CEF9CE"/>
          </w:tcPr>
          <w:p>
            <w:pPr>
              <w:spacing w:after="0"/>
              <w:rPr>
                <w:sz w:val="21"/>
                <w:szCs w:val="21"/>
                <w:color w:val="auto"/>
              </w:rPr>
            </w:pPr>
          </w:p>
        </w:tc>
        <w:tc>
          <w:tcPr>
            <w:tcW w:w="88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(1 )</w:t>
            </w:r>
          </w:p>
        </w:tc>
        <w:tc>
          <w:tcPr>
            <w:tcW w:w="20" w:type="dxa"/>
            <w:vAlign w:val="bottom"/>
            <w:shd w:val="clear" w:color="auto" w:fill="CEF9CE"/>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(1 )</w:t>
            </w:r>
          </w:p>
        </w:tc>
        <w:tc>
          <w:tcPr>
            <w:tcW w:w="46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r>
      <w:tr>
        <w:trPr>
          <w:trHeight w:val="249"/>
        </w:trPr>
        <w:tc>
          <w:tcPr>
            <w:tcW w:w="2680" w:type="dxa"/>
            <w:vAlign w:val="bottom"/>
            <w:tcBorders>
              <w:bottom w:val="single" w:sz="8" w:color="CEF9CE"/>
            </w:tcBorders>
            <w:gridSpan w:val="3"/>
            <w:shd w:val="clear" w:color="auto" w:fill="CEF9CE"/>
          </w:tcPr>
          <w:p>
            <w:pPr>
              <w:spacing w:after="0"/>
              <w:rPr>
                <w:sz w:val="20"/>
                <w:szCs w:val="20"/>
                <w:color w:val="auto"/>
              </w:rPr>
            </w:pPr>
            <w:r>
              <w:rPr>
                <w:rFonts w:ascii="Arial" w:cs="Arial" w:eastAsia="Arial" w:hAnsi="Arial"/>
                <w:sz w:val="18"/>
                <w:szCs w:val="18"/>
                <w:color w:val="auto"/>
              </w:rPr>
              <w:t>Regulatory adjustment</w:t>
            </w:r>
          </w:p>
        </w:tc>
        <w:tc>
          <w:tcPr>
            <w:tcW w:w="300" w:type="dxa"/>
            <w:vAlign w:val="bottom"/>
            <w:tcBorders>
              <w:bottom w:val="single" w:sz="8" w:color="auto"/>
            </w:tcBorders>
            <w:shd w:val="clear" w:color="auto" w:fill="CEF9CE"/>
          </w:tcPr>
          <w:p>
            <w:pPr>
              <w:spacing w:after="0"/>
              <w:rPr>
                <w:sz w:val="21"/>
                <w:szCs w:val="21"/>
                <w:color w:val="auto"/>
              </w:rPr>
            </w:pPr>
          </w:p>
        </w:tc>
        <w:tc>
          <w:tcPr>
            <w:tcW w:w="1000" w:type="dxa"/>
            <w:vAlign w:val="bottom"/>
            <w:tcBorders>
              <w:bottom w:val="single" w:sz="8" w:color="auto"/>
            </w:tcBorders>
            <w:shd w:val="clear" w:color="auto" w:fill="CEF9CE"/>
          </w:tcPr>
          <w:p>
            <w:pPr>
              <w:jc w:val="right"/>
              <w:ind w:right="90"/>
              <w:spacing w:after="0"/>
              <w:rPr>
                <w:sz w:val="20"/>
                <w:szCs w:val="20"/>
                <w:color w:val="auto"/>
              </w:rPr>
            </w:pPr>
            <w:r>
              <w:rPr>
                <w:rFonts w:ascii="Arial" w:cs="Arial" w:eastAsia="Arial" w:hAnsi="Arial"/>
                <w:sz w:val="18"/>
                <w:szCs w:val="18"/>
                <w:color w:val="auto"/>
              </w:rPr>
              <w:t>(8 )</w:t>
            </w:r>
          </w:p>
        </w:tc>
        <w:tc>
          <w:tcPr>
            <w:tcW w:w="520" w:type="dxa"/>
            <w:vAlign w:val="bottom"/>
            <w:tcBorders>
              <w:bottom w:val="single" w:sz="8" w:color="auto"/>
            </w:tcBorders>
            <w:shd w:val="clear" w:color="auto" w:fill="CEF9CE"/>
          </w:tcPr>
          <w:p>
            <w:pPr>
              <w:spacing w:after="0"/>
              <w:rPr>
                <w:sz w:val="21"/>
                <w:szCs w:val="21"/>
                <w:color w:val="auto"/>
              </w:rPr>
            </w:pPr>
          </w:p>
        </w:tc>
        <w:tc>
          <w:tcPr>
            <w:tcW w:w="92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(9 )</w:t>
            </w:r>
          </w:p>
        </w:tc>
        <w:tc>
          <w:tcPr>
            <w:tcW w:w="460" w:type="dxa"/>
            <w:vAlign w:val="bottom"/>
            <w:tcBorders>
              <w:bottom w:val="single" w:sz="8" w:color="auto"/>
            </w:tcBorders>
            <w:shd w:val="clear" w:color="auto" w:fill="CEF9CE"/>
          </w:tcPr>
          <w:p>
            <w:pPr>
              <w:spacing w:after="0"/>
              <w:rPr>
                <w:sz w:val="21"/>
                <w:szCs w:val="21"/>
                <w:color w:val="auto"/>
              </w:rPr>
            </w:pPr>
          </w:p>
        </w:tc>
        <w:tc>
          <w:tcPr>
            <w:tcW w:w="1000" w:type="dxa"/>
            <w:vAlign w:val="bottom"/>
            <w:tcBorders>
              <w:bottom w:val="single" w:sz="8" w:color="auto"/>
            </w:tcBorders>
            <w:shd w:val="clear" w:color="auto" w:fill="CEF9CE"/>
          </w:tcPr>
          <w:p>
            <w:pPr>
              <w:jc w:val="right"/>
              <w:ind w:right="90"/>
              <w:spacing w:after="0"/>
              <w:rPr>
                <w:sz w:val="20"/>
                <w:szCs w:val="20"/>
                <w:color w:val="auto"/>
              </w:rPr>
            </w:pPr>
            <w:r>
              <w:rPr>
                <w:rFonts w:ascii="Arial" w:cs="Arial" w:eastAsia="Arial" w:hAnsi="Arial"/>
                <w:sz w:val="18"/>
                <w:szCs w:val="18"/>
                <w:color w:val="auto"/>
              </w:rPr>
              <w:t>(2 )</w:t>
            </w:r>
          </w:p>
        </w:tc>
        <w:tc>
          <w:tcPr>
            <w:tcW w:w="460" w:type="dxa"/>
            <w:vAlign w:val="bottom"/>
            <w:tcBorders>
              <w:bottom w:val="single" w:sz="8" w:color="auto"/>
            </w:tcBorders>
            <w:shd w:val="clear" w:color="auto" w:fill="CEF9CE"/>
          </w:tcPr>
          <w:p>
            <w:pPr>
              <w:spacing w:after="0"/>
              <w:rPr>
                <w:sz w:val="21"/>
                <w:szCs w:val="21"/>
                <w:color w:val="auto"/>
              </w:rPr>
            </w:pPr>
          </w:p>
        </w:tc>
        <w:tc>
          <w:tcPr>
            <w:tcW w:w="88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EF9CE"/>
          </w:tcPr>
          <w:p>
            <w:pPr>
              <w:spacing w:after="0"/>
              <w:rPr>
                <w:sz w:val="21"/>
                <w:szCs w:val="21"/>
                <w:color w:val="auto"/>
              </w:rPr>
            </w:pPr>
          </w:p>
        </w:tc>
      </w:tr>
      <w:tr>
        <w:trPr>
          <w:trHeight w:val="257"/>
        </w:trPr>
        <w:tc>
          <w:tcPr>
            <w:tcW w:w="2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 net periodic benefit cost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Pension Benefits</w:t>
            </w:r>
          </w:p>
        </w:tc>
        <w:tc>
          <w:tcPr>
            <w:tcW w:w="920" w:type="dxa"/>
            <w:vAlign w:val="bottom"/>
          </w:tcPr>
          <w:p>
            <w:pPr>
              <w:spacing w:after="0"/>
              <w:rPr>
                <w:sz w:val="24"/>
                <w:szCs w:val="24"/>
                <w:color w:val="auto"/>
              </w:rPr>
            </w:pPr>
          </w:p>
        </w:tc>
        <w:tc>
          <w:tcPr>
            <w:tcW w:w="2820" w:type="dxa"/>
            <w:vAlign w:val="bottom"/>
            <w:gridSpan w:val="5"/>
          </w:tcPr>
          <w:p>
            <w:pPr>
              <w:ind w:left="260"/>
              <w:spacing w:after="0"/>
              <w:rPr>
                <w:sz w:val="20"/>
                <w:szCs w:val="20"/>
                <w:color w:val="auto"/>
              </w:rPr>
            </w:pPr>
            <w:r>
              <w:rPr>
                <w:rFonts w:ascii="Arial" w:cs="Arial" w:eastAsia="Arial" w:hAnsi="Arial"/>
                <w:sz w:val="18"/>
                <w:szCs w:val="18"/>
                <w:color w:val="auto"/>
              </w:rPr>
              <w:t>Other Postretirement Benefits</w:t>
            </w: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89"/>
              </w:rPr>
              <w:t>Nine months ended</w:t>
            </w:r>
          </w:p>
        </w:tc>
        <w:tc>
          <w:tcPr>
            <w:tcW w:w="46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gridSpan w:val="3"/>
          </w:tcPr>
          <w:p>
            <w:pPr>
              <w:jc w:val="right"/>
              <w:ind w:right="670"/>
              <w:spacing w:after="0"/>
              <w:rPr>
                <w:sz w:val="20"/>
                <w:szCs w:val="20"/>
                <w:color w:val="auto"/>
              </w:rPr>
            </w:pPr>
            <w:r>
              <w:rPr>
                <w:rFonts w:ascii="Arial" w:cs="Arial" w:eastAsia="Arial" w:hAnsi="Arial"/>
                <w:sz w:val="18"/>
                <w:szCs w:val="18"/>
                <w:color w:val="auto"/>
                <w:w w:val="99"/>
              </w:rPr>
              <w:t>Nine months ended</w:t>
            </w:r>
          </w:p>
        </w:tc>
        <w:tc>
          <w:tcPr>
            <w:tcW w:w="2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88"/>
              </w:rPr>
              <w:t>September 30,</w:t>
            </w: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4"/>
              </w:rPr>
              <w:t>2007</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2007</w:t>
            </w: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660" w:type="dxa"/>
            <w:vAlign w:val="bottom"/>
            <w:gridSpan w:val="2"/>
            <w:shd w:val="clear" w:color="auto" w:fill="CEF9CE"/>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EF9CE"/>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9CE"/>
          </w:tcPr>
          <w:p>
            <w:pPr>
              <w:jc w:val="right"/>
              <w:ind w:right="210"/>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EF9CE"/>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EF9CE"/>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9CE"/>
          </w:tcPr>
          <w:p>
            <w:pPr>
              <w:jc w:val="right"/>
              <w:ind w:right="210"/>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EF9CE"/>
          </w:tcPr>
          <w:p>
            <w:pPr>
              <w:jc w:val="right"/>
              <w:ind w:right="15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2660" w:type="dxa"/>
            <w:vAlign w:val="bottom"/>
            <w:gridSpan w:val="2"/>
            <w:shd w:val="clear" w:color="auto" w:fill="CEF9CE"/>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EF9CE"/>
          </w:tcPr>
          <w:p>
            <w:pPr>
              <w:spacing w:after="0"/>
              <w:rPr>
                <w:sz w:val="21"/>
                <w:szCs w:val="21"/>
                <w:color w:val="auto"/>
              </w:rPr>
            </w:pPr>
          </w:p>
        </w:tc>
        <w:tc>
          <w:tcPr>
            <w:tcW w:w="1000" w:type="dxa"/>
            <w:vAlign w:val="bottom"/>
            <w:shd w:val="clear" w:color="auto" w:fill="CEF9CE"/>
          </w:tcPr>
          <w:p>
            <w:pPr>
              <w:jc w:val="right"/>
              <w:ind w:right="130"/>
              <w:spacing w:after="0"/>
              <w:rPr>
                <w:sz w:val="20"/>
                <w:szCs w:val="20"/>
                <w:color w:val="auto"/>
              </w:rPr>
            </w:pPr>
            <w:r>
              <w:rPr>
                <w:rFonts w:ascii="Arial" w:cs="Arial" w:eastAsia="Arial" w:hAnsi="Arial"/>
                <w:sz w:val="18"/>
                <w:szCs w:val="18"/>
                <w:color w:val="auto"/>
              </w:rPr>
              <w:t>(77 )</w:t>
            </w:r>
          </w:p>
        </w:tc>
        <w:tc>
          <w:tcPr>
            <w:tcW w:w="520" w:type="dxa"/>
            <w:vAlign w:val="bottom"/>
            <w:shd w:val="clear" w:color="auto" w:fill="CEF9CE"/>
          </w:tcPr>
          <w:p>
            <w:pPr>
              <w:spacing w:after="0"/>
              <w:rPr>
                <w:sz w:val="21"/>
                <w:szCs w:val="21"/>
                <w:color w:val="auto"/>
              </w:rPr>
            </w:pPr>
          </w:p>
        </w:tc>
        <w:tc>
          <w:tcPr>
            <w:tcW w:w="920" w:type="dxa"/>
            <w:vAlign w:val="bottom"/>
            <w:shd w:val="clear" w:color="auto" w:fill="CEF9CE"/>
          </w:tcPr>
          <w:p>
            <w:pPr>
              <w:jc w:val="right"/>
              <w:ind w:right="150"/>
              <w:spacing w:after="0"/>
              <w:rPr>
                <w:sz w:val="20"/>
                <w:szCs w:val="20"/>
                <w:color w:val="auto"/>
              </w:rPr>
            </w:pPr>
            <w:r>
              <w:rPr>
                <w:rFonts w:ascii="Arial" w:cs="Arial" w:eastAsia="Arial" w:hAnsi="Arial"/>
                <w:sz w:val="18"/>
                <w:szCs w:val="18"/>
                <w:color w:val="auto"/>
              </w:rPr>
              <w:t>(76 )</w:t>
            </w:r>
          </w:p>
        </w:tc>
        <w:tc>
          <w:tcPr>
            <w:tcW w:w="460" w:type="dxa"/>
            <w:vAlign w:val="bottom"/>
            <w:shd w:val="clear" w:color="auto" w:fill="CEF9CE"/>
          </w:tcPr>
          <w:p>
            <w:pPr>
              <w:spacing w:after="0"/>
              <w:rPr>
                <w:sz w:val="21"/>
                <w:szCs w:val="21"/>
                <w:color w:val="auto"/>
              </w:rPr>
            </w:pPr>
          </w:p>
        </w:tc>
        <w:tc>
          <w:tcPr>
            <w:tcW w:w="10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(32 )</w:t>
            </w:r>
          </w:p>
        </w:tc>
        <w:tc>
          <w:tcPr>
            <w:tcW w:w="460" w:type="dxa"/>
            <w:vAlign w:val="bottom"/>
            <w:shd w:val="clear" w:color="auto" w:fill="CEF9CE"/>
          </w:tcPr>
          <w:p>
            <w:pPr>
              <w:spacing w:after="0"/>
              <w:rPr>
                <w:sz w:val="21"/>
                <w:szCs w:val="21"/>
                <w:color w:val="auto"/>
              </w:rPr>
            </w:pPr>
          </w:p>
        </w:tc>
        <w:tc>
          <w:tcPr>
            <w:tcW w:w="88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2660" w:type="dxa"/>
            <w:vAlign w:val="bottom"/>
            <w:gridSpan w:val="2"/>
            <w:shd w:val="clear" w:color="auto" w:fill="CEF9CE"/>
          </w:tcPr>
          <w:p>
            <w:pPr>
              <w:ind w:left="280"/>
              <w:spacing w:after="0"/>
              <w:rPr>
                <w:sz w:val="20"/>
                <w:szCs w:val="20"/>
                <w:color w:val="auto"/>
              </w:rPr>
            </w:pPr>
            <w:r>
              <w:rPr>
                <w:rFonts w:ascii="Arial" w:cs="Arial" w:eastAsia="Arial" w:hAnsi="Arial"/>
                <w:sz w:val="18"/>
                <w:szCs w:val="18"/>
                <w:color w:val="auto"/>
              </w:rPr>
              <w:t>Prior service cost (credit)</w:t>
            </w:r>
          </w:p>
        </w:tc>
        <w:tc>
          <w:tcPr>
            <w:tcW w:w="300" w:type="dxa"/>
            <w:vAlign w:val="bottom"/>
            <w:shd w:val="clear" w:color="auto" w:fill="CEF9CE"/>
          </w:tcPr>
          <w:p>
            <w:pPr>
              <w:spacing w:after="0"/>
              <w:rPr>
                <w:sz w:val="21"/>
                <w:szCs w:val="21"/>
                <w:color w:val="auto"/>
              </w:rPr>
            </w:pPr>
          </w:p>
        </w:tc>
        <w:tc>
          <w:tcPr>
            <w:tcW w:w="1000" w:type="dxa"/>
            <w:vAlign w:val="bottom"/>
            <w:shd w:val="clear" w:color="auto" w:fill="CEF9CE"/>
          </w:tcPr>
          <w:p>
            <w:pPr>
              <w:jc w:val="right"/>
              <w:ind w:right="21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EF9CE"/>
          </w:tcPr>
          <w:p>
            <w:pPr>
              <w:spacing w:after="0"/>
              <w:rPr>
                <w:sz w:val="21"/>
                <w:szCs w:val="21"/>
                <w:color w:val="auto"/>
              </w:rPr>
            </w:pPr>
          </w:p>
        </w:tc>
        <w:tc>
          <w:tcPr>
            <w:tcW w:w="920" w:type="dxa"/>
            <w:vAlign w:val="bottom"/>
            <w:shd w:val="clear" w:color="auto" w:fill="CEF9CE"/>
          </w:tcPr>
          <w:p>
            <w:pPr>
              <w:jc w:val="right"/>
              <w:ind w:right="25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EF9CE"/>
          </w:tcPr>
          <w:p>
            <w:pPr>
              <w:spacing w:after="0"/>
              <w:rPr>
                <w:sz w:val="21"/>
                <w:szCs w:val="21"/>
                <w:color w:val="auto"/>
              </w:rPr>
            </w:pPr>
          </w:p>
        </w:tc>
        <w:tc>
          <w:tcPr>
            <w:tcW w:w="10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(3 )</w:t>
            </w:r>
          </w:p>
        </w:tc>
        <w:tc>
          <w:tcPr>
            <w:tcW w:w="460" w:type="dxa"/>
            <w:vAlign w:val="bottom"/>
            <w:shd w:val="clear" w:color="auto" w:fill="CEF9CE"/>
          </w:tcPr>
          <w:p>
            <w:pPr>
              <w:spacing w:after="0"/>
              <w:rPr>
                <w:sz w:val="21"/>
                <w:szCs w:val="21"/>
                <w:color w:val="auto"/>
              </w:rPr>
            </w:pPr>
          </w:p>
        </w:tc>
        <w:tc>
          <w:tcPr>
            <w:tcW w:w="88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660" w:type="dxa"/>
            <w:vAlign w:val="bottom"/>
            <w:gridSpan w:val="2"/>
          </w:tcPr>
          <w:p>
            <w:pPr>
              <w:ind w:left="280"/>
              <w:spacing w:after="0"/>
              <w:rPr>
                <w:sz w:val="20"/>
                <w:szCs w:val="20"/>
                <w:color w:val="auto"/>
              </w:rPr>
            </w:pPr>
            <w:r>
              <w:rPr>
                <w:rFonts w:ascii="Arial" w:cs="Arial" w:eastAsia="Arial" w:hAnsi="Arial"/>
                <w:sz w:val="18"/>
                <w:szCs w:val="18"/>
                <w:color w:val="auto"/>
              </w:rPr>
              <w:t>Actuarial loss</w:t>
            </w:r>
          </w:p>
        </w:tc>
        <w:tc>
          <w:tcPr>
            <w:tcW w:w="3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2640" w:type="dxa"/>
            <w:vAlign w:val="bottom"/>
            <w:tcBorders>
              <w:bottom w:val="single" w:sz="8" w:color="CEF9CE"/>
            </w:tcBorders>
            <w:shd w:val="clear" w:color="auto" w:fill="CEF9CE"/>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tcBorders>
              <w:bottom w:val="single" w:sz="8" w:color="auto"/>
            </w:tcBorders>
            <w:shd w:val="clear" w:color="auto" w:fill="CEF9CE"/>
          </w:tcPr>
          <w:p>
            <w:pPr>
              <w:spacing w:after="0"/>
              <w:rPr>
                <w:sz w:val="21"/>
                <w:szCs w:val="21"/>
                <w:color w:val="auto"/>
              </w:rPr>
            </w:pPr>
          </w:p>
        </w:tc>
        <w:tc>
          <w:tcPr>
            <w:tcW w:w="300" w:type="dxa"/>
            <w:vAlign w:val="bottom"/>
            <w:tcBorders>
              <w:bottom w:val="single" w:sz="8" w:color="auto"/>
            </w:tcBorders>
            <w:shd w:val="clear" w:color="auto" w:fill="CEF9CE"/>
          </w:tcPr>
          <w:p>
            <w:pPr>
              <w:spacing w:after="0"/>
              <w:rPr>
                <w:sz w:val="21"/>
                <w:szCs w:val="21"/>
                <w:color w:val="auto"/>
              </w:rPr>
            </w:pPr>
          </w:p>
        </w:tc>
        <w:tc>
          <w:tcPr>
            <w:tcW w:w="1000" w:type="dxa"/>
            <w:vAlign w:val="bottom"/>
            <w:tcBorders>
              <w:bottom w:val="single" w:sz="8" w:color="auto"/>
            </w:tcBorders>
            <w:shd w:val="clear" w:color="auto" w:fill="CEF9CE"/>
          </w:tcPr>
          <w:p>
            <w:pPr>
              <w:jc w:val="right"/>
              <w:ind w:right="130"/>
              <w:spacing w:after="0"/>
              <w:rPr>
                <w:sz w:val="20"/>
                <w:szCs w:val="20"/>
                <w:color w:val="auto"/>
              </w:rPr>
            </w:pPr>
            <w:r>
              <w:rPr>
                <w:rFonts w:ascii="Arial" w:cs="Arial" w:eastAsia="Arial" w:hAnsi="Arial"/>
                <w:sz w:val="18"/>
                <w:szCs w:val="18"/>
                <w:color w:val="auto"/>
              </w:rPr>
              <w:t>(26 )</w:t>
            </w:r>
          </w:p>
        </w:tc>
        <w:tc>
          <w:tcPr>
            <w:tcW w:w="520" w:type="dxa"/>
            <w:vAlign w:val="bottom"/>
            <w:tcBorders>
              <w:bottom w:val="single" w:sz="8" w:color="auto"/>
            </w:tcBorders>
            <w:shd w:val="clear" w:color="auto" w:fill="CEF9CE"/>
          </w:tcPr>
          <w:p>
            <w:pPr>
              <w:spacing w:after="0"/>
              <w:rPr>
                <w:sz w:val="21"/>
                <w:szCs w:val="21"/>
                <w:color w:val="auto"/>
              </w:rPr>
            </w:pPr>
          </w:p>
        </w:tc>
        <w:tc>
          <w:tcPr>
            <w:tcW w:w="920" w:type="dxa"/>
            <w:vAlign w:val="bottom"/>
            <w:tcBorders>
              <w:bottom w:val="single" w:sz="8" w:color="auto"/>
            </w:tcBorders>
            <w:shd w:val="clear" w:color="auto" w:fill="CEF9CE"/>
          </w:tcPr>
          <w:p>
            <w:pPr>
              <w:jc w:val="right"/>
              <w:ind w:right="150"/>
              <w:spacing w:after="0"/>
              <w:rPr>
                <w:sz w:val="20"/>
                <w:szCs w:val="20"/>
                <w:color w:val="auto"/>
              </w:rPr>
            </w:pPr>
            <w:r>
              <w:rPr>
                <w:rFonts w:ascii="Arial" w:cs="Arial" w:eastAsia="Arial" w:hAnsi="Arial"/>
                <w:sz w:val="18"/>
                <w:szCs w:val="18"/>
                <w:color w:val="auto"/>
              </w:rPr>
              <w:t>(27 )</w:t>
            </w:r>
          </w:p>
        </w:tc>
        <w:tc>
          <w:tcPr>
            <w:tcW w:w="460" w:type="dxa"/>
            <w:vAlign w:val="bottom"/>
            <w:tcBorders>
              <w:bottom w:val="single" w:sz="8" w:color="auto"/>
            </w:tcBorders>
            <w:shd w:val="clear" w:color="auto" w:fill="CEF9CE"/>
          </w:tcPr>
          <w:p>
            <w:pPr>
              <w:spacing w:after="0"/>
              <w:rPr>
                <w:sz w:val="21"/>
                <w:szCs w:val="21"/>
                <w:color w:val="auto"/>
              </w:rPr>
            </w:pPr>
          </w:p>
        </w:tc>
        <w:tc>
          <w:tcPr>
            <w:tcW w:w="1000" w:type="dxa"/>
            <w:vAlign w:val="bottom"/>
            <w:tcBorders>
              <w:bottom w:val="single" w:sz="8" w:color="auto"/>
            </w:tcBorders>
            <w:shd w:val="clear" w:color="auto" w:fill="CEF9CE"/>
          </w:tcPr>
          <w:p>
            <w:pPr>
              <w:jc w:val="right"/>
              <w:ind w:right="21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EF9CE"/>
          </w:tcPr>
          <w:p>
            <w:pPr>
              <w:spacing w:after="0"/>
              <w:rPr>
                <w:sz w:val="21"/>
                <w:szCs w:val="21"/>
                <w:color w:val="auto"/>
              </w:rPr>
            </w:pPr>
          </w:p>
        </w:tc>
        <w:tc>
          <w:tcPr>
            <w:tcW w:w="880" w:type="dxa"/>
            <w:vAlign w:val="bottom"/>
            <w:tcBorders>
              <w:bottom w:val="single" w:sz="8" w:color="auto"/>
            </w:tcBorders>
            <w:shd w:val="clear" w:color="auto" w:fill="CEF9CE"/>
          </w:tcPr>
          <w:p>
            <w:pPr>
              <w:jc w:val="right"/>
              <w:ind w:right="15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2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net periodic benefit cost</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2"/>
                <w:szCs w:val="22"/>
                <w:color w:val="auto"/>
              </w:rPr>
            </w:pPr>
          </w:p>
        </w:tc>
      </w:tr>
    </w:tbl>
    <w:p>
      <w:pPr>
        <w:spacing w:after="0" w:line="19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 expects to contribute $3 million to its pension plan and $22 million to its other postretirement benefit plans in 2008. For the nine months ended September 30, 2008, the company made contributions of $1 million and $9 million to the pension plan and other postretirement benefit plans, respectively, including $1 million and a negligible amount, respectively, for the three months ended September 30, 2008.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740"/>
          </w:cols>
          <w:pgMar w:left="240" w:top="555" w:right="91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Capitalized Interest</w:t>
      </w:r>
    </w:p>
    <w:p>
      <w:pPr>
        <w:spacing w:after="0" w:line="22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company recorded a negligible amount and $2 million of capitalized interest for the three months and nine months ended September 30, 2008, respectively, including primarily the debt-related portion of allowance for funds used during construction. The company recorded a negligible amount and $1 million of capitalized interest for the three months and nine months ended September 30, 2007, respectively, including primarily the debt-related portion of allowance for funds used during construction.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reconciliation of net income to comprehensive income for PE:</w:t>
      </w:r>
    </w:p>
    <w:p>
      <w:pPr>
        <w:spacing w:after="0" w:line="259"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3"/>
          </w:tcPr>
          <w:p>
            <w:pPr>
              <w:jc w:val="right"/>
              <w:ind w:right="430"/>
              <w:spacing w:after="0"/>
              <w:rPr>
                <w:sz w:val="20"/>
                <w:szCs w:val="20"/>
                <w:color w:val="auto"/>
              </w:rPr>
            </w:pPr>
            <w:r>
              <w:rPr>
                <w:rFonts w:ascii="Arial" w:cs="Arial" w:eastAsia="Arial" w:hAnsi="Arial"/>
                <w:sz w:val="18"/>
                <w:szCs w:val="18"/>
                <w:color w:val="auto"/>
                <w:w w:val="93"/>
              </w:rPr>
              <w:t>Three months ended</w:t>
            </w:r>
          </w:p>
        </w:tc>
        <w:tc>
          <w:tcPr>
            <w:tcW w:w="560" w:type="dxa"/>
            <w:vAlign w:val="bottom"/>
          </w:tcPr>
          <w:p>
            <w:pPr>
              <w:spacing w:after="0"/>
              <w:rPr>
                <w:sz w:val="20"/>
                <w:szCs w:val="20"/>
                <w:color w:val="auto"/>
              </w:rPr>
            </w:pPr>
          </w:p>
        </w:tc>
        <w:tc>
          <w:tcPr>
            <w:tcW w:w="1920" w:type="dxa"/>
            <w:vAlign w:val="bottom"/>
            <w:gridSpan w:val="3"/>
          </w:tcPr>
          <w:p>
            <w:pPr>
              <w:jc w:val="right"/>
              <w:ind w:right="290"/>
              <w:spacing w:after="0"/>
              <w:rPr>
                <w:sz w:val="20"/>
                <w:szCs w:val="20"/>
                <w:color w:val="auto"/>
              </w:rPr>
            </w:pPr>
            <w:r>
              <w:rPr>
                <w:rFonts w:ascii="Arial" w:cs="Arial" w:eastAsia="Arial" w:hAnsi="Arial"/>
                <w:sz w:val="18"/>
                <w:szCs w:val="18"/>
                <w:color w:val="auto"/>
                <w:w w:val="97"/>
              </w:rPr>
              <w:t>Nine months ended</w:t>
            </w:r>
          </w:p>
        </w:tc>
      </w:tr>
      <w:tr>
        <w:trPr>
          <w:trHeight w:val="250"/>
        </w:trPr>
        <w:tc>
          <w:tcPr>
            <w:tcW w:w="3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September 30,</w:t>
            </w:r>
          </w:p>
        </w:tc>
        <w:tc>
          <w:tcPr>
            <w:tcW w:w="5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37"/>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2008</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2007</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2008</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2007</w:t>
            </w:r>
          </w:p>
        </w:tc>
      </w:tr>
      <w:tr>
        <w:trPr>
          <w:trHeight w:val="243"/>
        </w:trPr>
        <w:tc>
          <w:tcPr>
            <w:tcW w:w="3940" w:type="dxa"/>
            <w:vAlign w:val="bottom"/>
            <w:shd w:val="clear" w:color="auto" w:fill="CEF9CE"/>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9CE"/>
          </w:tcPr>
          <w:p>
            <w:pPr>
              <w:jc w:val="right"/>
              <w:ind w:right="270"/>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EF9CE"/>
          </w:tcPr>
          <w:p>
            <w:pPr>
              <w:jc w:val="right"/>
              <w:ind w:right="330"/>
              <w:spacing w:after="0"/>
              <w:rPr>
                <w:sz w:val="20"/>
                <w:szCs w:val="20"/>
                <w:color w:val="auto"/>
              </w:rPr>
            </w:pPr>
            <w:r>
              <w:rPr>
                <w:rFonts w:ascii="Arial" w:cs="Arial" w:eastAsia="Arial" w:hAnsi="Arial"/>
                <w:sz w:val="18"/>
                <w:szCs w:val="18"/>
                <w:color w:val="auto"/>
              </w:rPr>
              <w:t>66</w:t>
            </w:r>
          </w:p>
        </w:tc>
        <w:tc>
          <w:tcPr>
            <w:tcW w:w="56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9CE"/>
          </w:tcPr>
          <w:p>
            <w:pPr>
              <w:jc w:val="right"/>
              <w:ind w:right="270"/>
              <w:spacing w:after="0"/>
              <w:rPr>
                <w:sz w:val="20"/>
                <w:szCs w:val="20"/>
                <w:color w:val="auto"/>
              </w:rPr>
            </w:pPr>
            <w:r>
              <w:rPr>
                <w:rFonts w:ascii="Arial" w:cs="Arial" w:eastAsia="Arial" w:hAnsi="Arial"/>
                <w:sz w:val="18"/>
                <w:szCs w:val="18"/>
                <w:color w:val="auto"/>
              </w:rPr>
              <w:t>195</w:t>
            </w:r>
          </w:p>
        </w:tc>
        <w:tc>
          <w:tcPr>
            <w:tcW w:w="42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EF9CE"/>
          </w:tcPr>
          <w:p>
            <w:pPr>
              <w:jc w:val="right"/>
              <w:ind w:right="150"/>
              <w:spacing w:after="0"/>
              <w:rPr>
                <w:sz w:val="20"/>
                <w:szCs w:val="20"/>
                <w:color w:val="auto"/>
              </w:rPr>
            </w:pPr>
            <w:r>
              <w:rPr>
                <w:rFonts w:ascii="Arial" w:cs="Arial" w:eastAsia="Arial" w:hAnsi="Arial"/>
                <w:sz w:val="18"/>
                <w:szCs w:val="18"/>
                <w:color w:val="auto"/>
              </w:rPr>
              <w:t>180</w:t>
            </w:r>
          </w:p>
        </w:tc>
      </w:tr>
      <w:tr>
        <w:trPr>
          <w:trHeight w:val="237"/>
        </w:trPr>
        <w:tc>
          <w:tcPr>
            <w:tcW w:w="3940" w:type="dxa"/>
            <w:vAlign w:val="bottom"/>
            <w:tcBorders>
              <w:bottom w:val="single" w:sz="8" w:color="CEF9CE"/>
            </w:tcBorders>
          </w:tcPr>
          <w:p>
            <w:pPr>
              <w:spacing w:after="0"/>
              <w:rPr>
                <w:sz w:val="20"/>
                <w:szCs w:val="20"/>
                <w:color w:val="auto"/>
              </w:rPr>
            </w:pPr>
            <w:r>
              <w:rPr>
                <w:rFonts w:ascii="Arial" w:cs="Arial" w:eastAsia="Arial" w:hAnsi="Arial"/>
                <w:sz w:val="18"/>
                <w:szCs w:val="18"/>
                <w:color w:val="auto"/>
              </w:rPr>
              <w:t>Financial instruments*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(6 )</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(6 )</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63"/>
        </w:trPr>
        <w:tc>
          <w:tcPr>
            <w:tcW w:w="3940" w:type="dxa"/>
            <w:vAlign w:val="bottom"/>
            <w:tcBorders>
              <w:bottom w:val="single" w:sz="8" w:color="auto"/>
            </w:tcBorders>
            <w:shd w:val="clear" w:color="auto" w:fill="CEF9CE"/>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9CE"/>
          </w:tcPr>
          <w:p>
            <w:pPr>
              <w:jc w:val="right"/>
              <w:ind w:right="270"/>
              <w:spacing w:after="0"/>
              <w:rPr>
                <w:sz w:val="20"/>
                <w:szCs w:val="20"/>
                <w:color w:val="auto"/>
              </w:rPr>
            </w:pPr>
            <w:r>
              <w:rPr>
                <w:rFonts w:ascii="Arial" w:cs="Arial" w:eastAsia="Arial" w:hAnsi="Arial"/>
                <w:sz w:val="18"/>
                <w:szCs w:val="18"/>
                <w:color w:val="auto"/>
              </w:rPr>
              <w:t>74</w:t>
            </w:r>
          </w:p>
        </w:tc>
        <w:tc>
          <w:tcPr>
            <w:tcW w:w="42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9CE"/>
          </w:tcPr>
          <w:p>
            <w:pPr>
              <w:jc w:val="right"/>
              <w:ind w:right="330"/>
              <w:spacing w:after="0"/>
              <w:rPr>
                <w:sz w:val="20"/>
                <w:szCs w:val="20"/>
                <w:color w:val="auto"/>
              </w:rPr>
            </w:pPr>
            <w:r>
              <w:rPr>
                <w:rFonts w:ascii="Arial" w:cs="Arial" w:eastAsia="Arial" w:hAnsi="Arial"/>
                <w:sz w:val="18"/>
                <w:szCs w:val="18"/>
                <w:color w:val="auto"/>
              </w:rPr>
              <w:t>66</w:t>
            </w:r>
          </w:p>
        </w:tc>
        <w:tc>
          <w:tcPr>
            <w:tcW w:w="56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9CE"/>
          </w:tcPr>
          <w:p>
            <w:pPr>
              <w:jc w:val="right"/>
              <w:ind w:right="270"/>
              <w:spacing w:after="0"/>
              <w:rPr>
                <w:sz w:val="20"/>
                <w:szCs w:val="20"/>
                <w:color w:val="auto"/>
              </w:rPr>
            </w:pPr>
            <w:r>
              <w:rPr>
                <w:rFonts w:ascii="Arial" w:cs="Arial" w:eastAsia="Arial" w:hAnsi="Arial"/>
                <w:sz w:val="18"/>
                <w:szCs w:val="18"/>
                <w:color w:val="auto"/>
              </w:rPr>
              <w:t>189</w:t>
            </w:r>
          </w:p>
        </w:tc>
        <w:tc>
          <w:tcPr>
            <w:tcW w:w="42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EF9CE"/>
          </w:tcPr>
          <w:p>
            <w:pPr>
              <w:jc w:val="right"/>
              <w:ind w:right="150"/>
              <w:spacing w:after="0"/>
              <w:rPr>
                <w:sz w:val="20"/>
                <w:szCs w:val="20"/>
                <w:color w:val="auto"/>
              </w:rPr>
            </w:pPr>
            <w:r>
              <w:rPr>
                <w:rFonts w:ascii="Arial" w:cs="Arial" w:eastAsia="Arial" w:hAnsi="Arial"/>
                <w:sz w:val="18"/>
                <w:szCs w:val="18"/>
                <w:color w:val="auto"/>
              </w:rPr>
              <w:t>180</w:t>
            </w:r>
          </w:p>
        </w:tc>
      </w:tr>
    </w:tbl>
    <w:p>
      <w:pPr>
        <w:ind w:left="1340"/>
        <w:spacing w:after="0"/>
        <w:rPr>
          <w:sz w:val="20"/>
          <w:szCs w:val="20"/>
          <w:color w:val="auto"/>
        </w:rPr>
      </w:pPr>
      <w:r>
        <w:rPr>
          <w:rFonts w:ascii="Arial" w:cs="Arial" w:eastAsia="Arial" w:hAnsi="Arial"/>
          <w:sz w:val="18"/>
          <w:szCs w:val="18"/>
          <w:color w:val="auto"/>
        </w:rPr>
        <w:t>* Net of income tax benefit of $4 million for both the three and nine months ended September 30, 2008.</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reconciliation of net income to comprehensive income for SoCalGas:</w:t>
      </w:r>
    </w:p>
    <w:p>
      <w:pPr>
        <w:spacing w:after="0" w:line="259"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3"/>
          </w:tcPr>
          <w:p>
            <w:pPr>
              <w:jc w:val="right"/>
              <w:ind w:right="430"/>
              <w:spacing w:after="0"/>
              <w:rPr>
                <w:sz w:val="20"/>
                <w:szCs w:val="20"/>
                <w:color w:val="auto"/>
              </w:rPr>
            </w:pPr>
            <w:r>
              <w:rPr>
                <w:rFonts w:ascii="Arial" w:cs="Arial" w:eastAsia="Arial" w:hAnsi="Arial"/>
                <w:sz w:val="18"/>
                <w:szCs w:val="18"/>
                <w:color w:val="auto"/>
                <w:w w:val="93"/>
              </w:rPr>
              <w:t>Three months ended</w:t>
            </w:r>
          </w:p>
        </w:tc>
        <w:tc>
          <w:tcPr>
            <w:tcW w:w="560" w:type="dxa"/>
            <w:vAlign w:val="bottom"/>
          </w:tcPr>
          <w:p>
            <w:pPr>
              <w:spacing w:after="0"/>
              <w:rPr>
                <w:sz w:val="20"/>
                <w:szCs w:val="20"/>
                <w:color w:val="auto"/>
              </w:rPr>
            </w:pPr>
          </w:p>
        </w:tc>
        <w:tc>
          <w:tcPr>
            <w:tcW w:w="1920" w:type="dxa"/>
            <w:vAlign w:val="bottom"/>
            <w:gridSpan w:val="3"/>
          </w:tcPr>
          <w:p>
            <w:pPr>
              <w:jc w:val="right"/>
              <w:ind w:right="290"/>
              <w:spacing w:after="0"/>
              <w:rPr>
                <w:sz w:val="20"/>
                <w:szCs w:val="20"/>
                <w:color w:val="auto"/>
              </w:rPr>
            </w:pPr>
            <w:r>
              <w:rPr>
                <w:rFonts w:ascii="Arial" w:cs="Arial" w:eastAsia="Arial" w:hAnsi="Arial"/>
                <w:sz w:val="18"/>
                <w:szCs w:val="18"/>
                <w:color w:val="auto"/>
                <w:w w:val="97"/>
              </w:rPr>
              <w:t>Nine months ended</w:t>
            </w:r>
          </w:p>
        </w:tc>
      </w:tr>
      <w:tr>
        <w:trPr>
          <w:trHeight w:val="250"/>
        </w:trPr>
        <w:tc>
          <w:tcPr>
            <w:tcW w:w="3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September 30,</w:t>
            </w:r>
          </w:p>
        </w:tc>
        <w:tc>
          <w:tcPr>
            <w:tcW w:w="5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37"/>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2008</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2007</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2008</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2007</w:t>
            </w:r>
          </w:p>
        </w:tc>
      </w:tr>
      <w:tr>
        <w:trPr>
          <w:trHeight w:val="243"/>
        </w:trPr>
        <w:tc>
          <w:tcPr>
            <w:tcW w:w="3940" w:type="dxa"/>
            <w:vAlign w:val="bottom"/>
            <w:shd w:val="clear" w:color="auto" w:fill="CEF9CE"/>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9CE"/>
          </w:tcPr>
          <w:p>
            <w:pPr>
              <w:jc w:val="right"/>
              <w:ind w:right="270"/>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EF9CE"/>
          </w:tcPr>
          <w:p>
            <w:pPr>
              <w:jc w:val="right"/>
              <w:ind w:right="330"/>
              <w:spacing w:after="0"/>
              <w:rPr>
                <w:sz w:val="20"/>
                <w:szCs w:val="20"/>
                <w:color w:val="auto"/>
              </w:rPr>
            </w:pPr>
            <w:r>
              <w:rPr>
                <w:rFonts w:ascii="Arial" w:cs="Arial" w:eastAsia="Arial" w:hAnsi="Arial"/>
                <w:sz w:val="18"/>
                <w:szCs w:val="18"/>
                <w:color w:val="auto"/>
              </w:rPr>
              <w:t>63</w:t>
            </w:r>
          </w:p>
        </w:tc>
        <w:tc>
          <w:tcPr>
            <w:tcW w:w="56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9CE"/>
          </w:tcPr>
          <w:p>
            <w:pPr>
              <w:jc w:val="right"/>
              <w:ind w:right="270"/>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EF9CE"/>
          </w:tcPr>
          <w:p>
            <w:pPr>
              <w:jc w:val="right"/>
              <w:ind w:right="150"/>
              <w:spacing w:after="0"/>
              <w:rPr>
                <w:sz w:val="20"/>
                <w:szCs w:val="20"/>
                <w:color w:val="auto"/>
              </w:rPr>
            </w:pPr>
            <w:r>
              <w:rPr>
                <w:rFonts w:ascii="Arial" w:cs="Arial" w:eastAsia="Arial" w:hAnsi="Arial"/>
                <w:sz w:val="18"/>
                <w:szCs w:val="18"/>
                <w:color w:val="auto"/>
              </w:rPr>
              <w:t>173</w:t>
            </w:r>
          </w:p>
        </w:tc>
      </w:tr>
      <w:tr>
        <w:trPr>
          <w:trHeight w:val="237"/>
        </w:trPr>
        <w:tc>
          <w:tcPr>
            <w:tcW w:w="3940" w:type="dxa"/>
            <w:vAlign w:val="bottom"/>
            <w:tcBorders>
              <w:bottom w:val="single" w:sz="8" w:color="CEF9CE"/>
            </w:tcBorders>
          </w:tcPr>
          <w:p>
            <w:pPr>
              <w:spacing w:after="0"/>
              <w:rPr>
                <w:sz w:val="20"/>
                <w:szCs w:val="20"/>
                <w:color w:val="auto"/>
              </w:rPr>
            </w:pPr>
            <w:r>
              <w:rPr>
                <w:rFonts w:ascii="Arial" w:cs="Arial" w:eastAsia="Arial" w:hAnsi="Arial"/>
                <w:sz w:val="18"/>
                <w:szCs w:val="18"/>
                <w:color w:val="auto"/>
              </w:rPr>
              <w:t>Financial instruments*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(6 )</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(6 )</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63"/>
        </w:trPr>
        <w:tc>
          <w:tcPr>
            <w:tcW w:w="3940" w:type="dxa"/>
            <w:vAlign w:val="bottom"/>
            <w:tcBorders>
              <w:bottom w:val="single" w:sz="8" w:color="auto"/>
            </w:tcBorders>
            <w:shd w:val="clear" w:color="auto" w:fill="CEF9CE"/>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9CE"/>
          </w:tcPr>
          <w:p>
            <w:pPr>
              <w:jc w:val="right"/>
              <w:ind w:right="270"/>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9CE"/>
          </w:tcPr>
          <w:p>
            <w:pPr>
              <w:jc w:val="right"/>
              <w:ind w:right="330"/>
              <w:spacing w:after="0"/>
              <w:rPr>
                <w:sz w:val="20"/>
                <w:szCs w:val="20"/>
                <w:color w:val="auto"/>
              </w:rPr>
            </w:pPr>
            <w:r>
              <w:rPr>
                <w:rFonts w:ascii="Arial" w:cs="Arial" w:eastAsia="Arial" w:hAnsi="Arial"/>
                <w:sz w:val="18"/>
                <w:szCs w:val="18"/>
                <w:color w:val="auto"/>
              </w:rPr>
              <w:t>63</w:t>
            </w:r>
          </w:p>
        </w:tc>
        <w:tc>
          <w:tcPr>
            <w:tcW w:w="56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9CE"/>
          </w:tcPr>
          <w:p>
            <w:pPr>
              <w:jc w:val="right"/>
              <w:ind w:right="270"/>
              <w:spacing w:after="0"/>
              <w:rPr>
                <w:sz w:val="20"/>
                <w:szCs w:val="20"/>
                <w:color w:val="auto"/>
              </w:rPr>
            </w:pPr>
            <w:r>
              <w:rPr>
                <w:rFonts w:ascii="Arial" w:cs="Arial" w:eastAsia="Arial" w:hAnsi="Arial"/>
                <w:sz w:val="18"/>
                <w:szCs w:val="18"/>
                <w:color w:val="auto"/>
              </w:rPr>
              <w:t>185</w:t>
            </w:r>
          </w:p>
        </w:tc>
        <w:tc>
          <w:tcPr>
            <w:tcW w:w="42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EF9CE"/>
          </w:tcPr>
          <w:p>
            <w:pPr>
              <w:jc w:val="right"/>
              <w:ind w:right="150"/>
              <w:spacing w:after="0"/>
              <w:rPr>
                <w:sz w:val="20"/>
                <w:szCs w:val="20"/>
                <w:color w:val="auto"/>
              </w:rPr>
            </w:pPr>
            <w:r>
              <w:rPr>
                <w:rFonts w:ascii="Arial" w:cs="Arial" w:eastAsia="Arial" w:hAnsi="Arial"/>
                <w:sz w:val="18"/>
                <w:szCs w:val="18"/>
                <w:color w:val="auto"/>
              </w:rPr>
              <w:t>173</w:t>
            </w:r>
          </w:p>
        </w:tc>
      </w:tr>
    </w:tbl>
    <w:p>
      <w:pPr>
        <w:ind w:left="1340"/>
        <w:spacing w:after="0"/>
        <w:rPr>
          <w:sz w:val="20"/>
          <w:szCs w:val="20"/>
          <w:color w:val="auto"/>
        </w:rPr>
      </w:pPr>
      <w:r>
        <w:rPr>
          <w:rFonts w:ascii="Arial" w:cs="Arial" w:eastAsia="Arial" w:hAnsi="Arial"/>
          <w:sz w:val="18"/>
          <w:szCs w:val="18"/>
          <w:color w:val="auto"/>
        </w:rPr>
        <w:t>* Net of income tax benefit of $4 million for both the three and nine months ended September 30, 2008.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Other Income (Expense), Net consists of the following:</w:t>
      </w:r>
    </w:p>
    <w:p>
      <w:pPr>
        <w:spacing w:after="0" w:line="259"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3"/>
          </w:tcPr>
          <w:p>
            <w:pPr>
              <w:jc w:val="right"/>
              <w:ind w:right="490"/>
              <w:spacing w:after="0"/>
              <w:rPr>
                <w:sz w:val="20"/>
                <w:szCs w:val="20"/>
                <w:color w:val="auto"/>
              </w:rPr>
            </w:pPr>
            <w:r>
              <w:rPr>
                <w:rFonts w:ascii="Arial" w:cs="Arial" w:eastAsia="Arial" w:hAnsi="Arial"/>
                <w:sz w:val="18"/>
                <w:szCs w:val="18"/>
                <w:color w:val="auto"/>
                <w:w w:val="93"/>
              </w:rPr>
              <w:t>Three months ended</w:t>
            </w:r>
          </w:p>
        </w:tc>
        <w:tc>
          <w:tcPr>
            <w:tcW w:w="500" w:type="dxa"/>
            <w:vAlign w:val="bottom"/>
          </w:tcPr>
          <w:p>
            <w:pPr>
              <w:spacing w:after="0"/>
              <w:rPr>
                <w:sz w:val="20"/>
                <w:szCs w:val="20"/>
                <w:color w:val="auto"/>
              </w:rPr>
            </w:pPr>
          </w:p>
        </w:tc>
        <w:tc>
          <w:tcPr>
            <w:tcW w:w="1940" w:type="dxa"/>
            <w:vAlign w:val="bottom"/>
            <w:gridSpan w:val="3"/>
          </w:tcPr>
          <w:p>
            <w:pPr>
              <w:jc w:val="right"/>
              <w:ind w:right="310"/>
              <w:spacing w:after="0"/>
              <w:rPr>
                <w:sz w:val="20"/>
                <w:szCs w:val="20"/>
                <w:color w:val="auto"/>
              </w:rPr>
            </w:pPr>
            <w:r>
              <w:rPr>
                <w:rFonts w:ascii="Arial" w:cs="Arial" w:eastAsia="Arial" w:hAnsi="Arial"/>
                <w:sz w:val="18"/>
                <w:szCs w:val="18"/>
                <w:color w:val="auto"/>
                <w:w w:val="97"/>
              </w:rPr>
              <w:t>Nine months ended</w:t>
            </w:r>
          </w:p>
        </w:tc>
      </w:tr>
      <w:tr>
        <w:trPr>
          <w:trHeight w:val="250"/>
        </w:trPr>
        <w:tc>
          <w:tcPr>
            <w:tcW w:w="3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September 30,</w:t>
            </w:r>
          </w:p>
        </w:tc>
        <w:tc>
          <w:tcPr>
            <w:tcW w:w="5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September 30,</w:t>
            </w:r>
          </w:p>
        </w:tc>
      </w:tr>
      <w:tr>
        <w:trPr>
          <w:trHeight w:val="237"/>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2008</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2007</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2008</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2007</w:t>
            </w: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w w:val="94"/>
              </w:rPr>
              <w:t>Allowance for equity funds used during construction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4</w:t>
            </w:r>
          </w:p>
        </w:tc>
      </w:tr>
      <w:tr>
        <w:trPr>
          <w:trHeight w:val="249"/>
        </w:trPr>
        <w:tc>
          <w:tcPr>
            <w:tcW w:w="3920" w:type="dxa"/>
            <w:vAlign w:val="bottom"/>
            <w:shd w:val="clear" w:color="auto" w:fill="CEF9CE"/>
          </w:tcPr>
          <w:p>
            <w:pPr>
              <w:ind w:left="20"/>
              <w:spacing w:after="0"/>
              <w:rPr>
                <w:sz w:val="20"/>
                <w:szCs w:val="20"/>
                <w:color w:val="auto"/>
              </w:rPr>
            </w:pPr>
            <w:r>
              <w:rPr>
                <w:rFonts w:ascii="Arial" w:cs="Arial" w:eastAsia="Arial" w:hAnsi="Arial"/>
                <w:sz w:val="18"/>
                <w:szCs w:val="18"/>
                <w:color w:val="auto"/>
              </w:rPr>
              <w:t>Regulatory interest, net</w:t>
            </w:r>
          </w:p>
        </w:tc>
        <w:tc>
          <w:tcPr>
            <w:tcW w:w="240" w:type="dxa"/>
            <w:vAlign w:val="bottom"/>
            <w:shd w:val="clear" w:color="auto" w:fill="CEF9CE"/>
          </w:tcPr>
          <w:p>
            <w:pPr>
              <w:spacing w:after="0"/>
              <w:rPr>
                <w:sz w:val="21"/>
                <w:szCs w:val="21"/>
                <w:color w:val="auto"/>
              </w:rPr>
            </w:pPr>
          </w:p>
        </w:tc>
        <w:tc>
          <w:tcPr>
            <w:tcW w:w="820" w:type="dxa"/>
            <w:vAlign w:val="bottom"/>
            <w:shd w:val="clear" w:color="auto" w:fill="CEF9CE"/>
          </w:tcPr>
          <w:p>
            <w:pPr>
              <w:jc w:val="right"/>
              <w:ind w:right="190"/>
              <w:spacing w:after="0"/>
              <w:rPr>
                <w:sz w:val="20"/>
                <w:szCs w:val="20"/>
                <w:color w:val="auto"/>
              </w:rPr>
            </w:pPr>
            <w:r>
              <w:rPr>
                <w:rFonts w:ascii="Arial" w:cs="Arial" w:eastAsia="Arial" w:hAnsi="Arial"/>
                <w:sz w:val="18"/>
                <w:szCs w:val="18"/>
                <w:color w:val="auto"/>
              </w:rPr>
              <w:t>(2 )</w:t>
            </w:r>
          </w:p>
        </w:tc>
        <w:tc>
          <w:tcPr>
            <w:tcW w:w="420" w:type="dxa"/>
            <w:vAlign w:val="bottom"/>
            <w:shd w:val="clear" w:color="auto" w:fill="CEF9CE"/>
          </w:tcPr>
          <w:p>
            <w:pPr>
              <w:spacing w:after="0"/>
              <w:rPr>
                <w:sz w:val="21"/>
                <w:szCs w:val="21"/>
                <w:color w:val="auto"/>
              </w:rPr>
            </w:pPr>
          </w:p>
        </w:tc>
        <w:tc>
          <w:tcPr>
            <w:tcW w:w="920" w:type="dxa"/>
            <w:vAlign w:val="bottom"/>
            <w:shd w:val="clear" w:color="auto" w:fill="CEF9CE"/>
          </w:tcPr>
          <w:p>
            <w:pPr>
              <w:jc w:val="right"/>
              <w:ind w:right="290"/>
              <w:spacing w:after="0"/>
              <w:rPr>
                <w:sz w:val="20"/>
                <w:szCs w:val="20"/>
                <w:color w:val="auto"/>
              </w:rPr>
            </w:pPr>
            <w:r>
              <w:rPr>
                <w:rFonts w:ascii="Arial" w:cs="Arial" w:eastAsia="Arial" w:hAnsi="Arial"/>
                <w:sz w:val="18"/>
                <w:szCs w:val="18"/>
                <w:color w:val="auto"/>
              </w:rPr>
              <w:t>(1 )</w:t>
            </w:r>
          </w:p>
        </w:tc>
        <w:tc>
          <w:tcPr>
            <w:tcW w:w="500" w:type="dxa"/>
            <w:vAlign w:val="bottom"/>
            <w:shd w:val="clear" w:color="auto" w:fill="CEF9CE"/>
          </w:tcPr>
          <w:p>
            <w:pPr>
              <w:spacing w:after="0"/>
              <w:rPr>
                <w:sz w:val="21"/>
                <w:szCs w:val="21"/>
                <w:color w:val="auto"/>
              </w:rPr>
            </w:pPr>
          </w:p>
        </w:tc>
        <w:tc>
          <w:tcPr>
            <w:tcW w:w="820" w:type="dxa"/>
            <w:vAlign w:val="bottom"/>
            <w:shd w:val="clear" w:color="auto" w:fill="CEF9CE"/>
          </w:tcPr>
          <w:p>
            <w:pPr>
              <w:jc w:val="right"/>
              <w:ind w:right="190"/>
              <w:spacing w:after="0"/>
              <w:rPr>
                <w:sz w:val="20"/>
                <w:szCs w:val="20"/>
                <w:color w:val="auto"/>
              </w:rPr>
            </w:pPr>
            <w:r>
              <w:rPr>
                <w:rFonts w:ascii="Arial" w:cs="Arial" w:eastAsia="Arial" w:hAnsi="Arial"/>
                <w:sz w:val="18"/>
                <w:szCs w:val="18"/>
                <w:color w:val="auto"/>
              </w:rPr>
              <w:t>(4 )</w:t>
            </w:r>
          </w:p>
        </w:tc>
        <w:tc>
          <w:tcPr>
            <w:tcW w:w="420" w:type="dxa"/>
            <w:vAlign w:val="bottom"/>
            <w:shd w:val="clear" w:color="auto" w:fill="CEF9CE"/>
          </w:tcPr>
          <w:p>
            <w:pPr>
              <w:spacing w:after="0"/>
              <w:rPr>
                <w:sz w:val="21"/>
                <w:szCs w:val="21"/>
                <w:color w:val="auto"/>
              </w:rPr>
            </w:pPr>
          </w:p>
        </w:tc>
        <w:tc>
          <w:tcPr>
            <w:tcW w:w="70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(6 )</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Sundry, net</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(1 )</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(1 )</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(1 )</w:t>
            </w: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(2 )</w:t>
            </w:r>
          </w:p>
        </w:tc>
      </w:tr>
      <w:tr>
        <w:trPr>
          <w:trHeight w:val="237"/>
        </w:trPr>
        <w:tc>
          <w:tcPr>
            <w:tcW w:w="3920" w:type="dxa"/>
            <w:vAlign w:val="bottom"/>
            <w:shd w:val="clear" w:color="auto" w:fill="CEF9CE"/>
          </w:tcPr>
          <w:p>
            <w:pPr>
              <w:ind w:left="400"/>
              <w:spacing w:after="0"/>
              <w:rPr>
                <w:sz w:val="20"/>
                <w:szCs w:val="20"/>
                <w:color w:val="auto"/>
              </w:rPr>
            </w:pPr>
            <w:r>
              <w:rPr>
                <w:rFonts w:ascii="Arial" w:cs="Arial" w:eastAsia="Arial" w:hAnsi="Arial"/>
                <w:sz w:val="18"/>
                <w:szCs w:val="18"/>
                <w:color w:val="auto"/>
              </w:rPr>
              <w:t>Total at SoCalGas</w:t>
            </w:r>
          </w:p>
        </w:tc>
        <w:tc>
          <w:tcPr>
            <w:tcW w:w="240" w:type="dxa"/>
            <w:vAlign w:val="bottom"/>
            <w:shd w:val="clear" w:color="auto" w:fill="CEF9CE"/>
          </w:tcPr>
          <w:p>
            <w:pPr>
              <w:spacing w:after="0"/>
              <w:rPr>
                <w:sz w:val="20"/>
                <w:szCs w:val="20"/>
                <w:color w:val="auto"/>
              </w:rPr>
            </w:pPr>
          </w:p>
        </w:tc>
        <w:tc>
          <w:tcPr>
            <w:tcW w:w="820" w:type="dxa"/>
            <w:vAlign w:val="bottom"/>
            <w:shd w:val="clear" w:color="auto" w:fill="CEF9CE"/>
          </w:tcPr>
          <w:p>
            <w:pPr>
              <w:jc w:val="right"/>
              <w:ind w:right="190"/>
              <w:spacing w:after="0"/>
              <w:rPr>
                <w:sz w:val="20"/>
                <w:szCs w:val="20"/>
                <w:color w:val="auto"/>
              </w:rPr>
            </w:pPr>
            <w:r>
              <w:rPr>
                <w:rFonts w:ascii="Arial" w:cs="Arial" w:eastAsia="Arial" w:hAnsi="Arial"/>
                <w:sz w:val="18"/>
                <w:szCs w:val="18"/>
                <w:color w:val="auto"/>
              </w:rPr>
              <w:t>(1 )</w:t>
            </w:r>
          </w:p>
        </w:tc>
        <w:tc>
          <w:tcPr>
            <w:tcW w:w="420" w:type="dxa"/>
            <w:vAlign w:val="bottom"/>
            <w:shd w:val="clear" w:color="auto" w:fill="CEF9CE"/>
          </w:tcPr>
          <w:p>
            <w:pPr>
              <w:spacing w:after="0"/>
              <w:rPr>
                <w:sz w:val="20"/>
                <w:szCs w:val="20"/>
                <w:color w:val="auto"/>
              </w:rPr>
            </w:pPr>
          </w:p>
        </w:tc>
        <w:tc>
          <w:tcPr>
            <w:tcW w:w="920" w:type="dxa"/>
            <w:vAlign w:val="bottom"/>
            <w:shd w:val="clear" w:color="auto" w:fill="CEF9CE"/>
          </w:tcPr>
          <w:p>
            <w:pPr>
              <w:jc w:val="right"/>
              <w:ind w:right="3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EF9CE"/>
          </w:tcPr>
          <w:p>
            <w:pPr>
              <w:spacing w:after="0"/>
              <w:rPr>
                <w:sz w:val="20"/>
                <w:szCs w:val="20"/>
                <w:color w:val="auto"/>
              </w:rPr>
            </w:pPr>
          </w:p>
        </w:tc>
        <w:tc>
          <w:tcPr>
            <w:tcW w:w="820" w:type="dxa"/>
            <w:vAlign w:val="bottom"/>
            <w:shd w:val="clear" w:color="auto" w:fill="CEF9CE"/>
          </w:tcPr>
          <w:p>
            <w:pPr>
              <w:jc w:val="right"/>
              <w:ind w:right="27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EF9CE"/>
          </w:tcPr>
          <w:p>
            <w:pPr>
              <w:spacing w:after="0"/>
              <w:rPr>
                <w:sz w:val="20"/>
                <w:szCs w:val="20"/>
                <w:color w:val="auto"/>
              </w:rPr>
            </w:pPr>
          </w:p>
        </w:tc>
        <w:tc>
          <w:tcPr>
            <w:tcW w:w="70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(4 )</w:t>
            </w: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Additional at Pacific Enterprises: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9"/>
        </w:trPr>
        <w:tc>
          <w:tcPr>
            <w:tcW w:w="3920" w:type="dxa"/>
            <w:vAlign w:val="bottom"/>
            <w:shd w:val="clear" w:color="auto" w:fill="CEF9CE"/>
          </w:tcPr>
          <w:p>
            <w:pPr>
              <w:ind w:left="140"/>
              <w:spacing w:after="0"/>
              <w:rPr>
                <w:sz w:val="20"/>
                <w:szCs w:val="20"/>
                <w:color w:val="auto"/>
              </w:rPr>
            </w:pPr>
            <w:r>
              <w:rPr>
                <w:rFonts w:ascii="Arial" w:cs="Arial" w:eastAsia="Arial" w:hAnsi="Arial"/>
                <w:sz w:val="18"/>
                <w:szCs w:val="18"/>
                <w:color w:val="auto"/>
              </w:rPr>
              <w:t>Preferred dividends of subsidiary</w:t>
            </w:r>
          </w:p>
        </w:tc>
        <w:tc>
          <w:tcPr>
            <w:tcW w:w="240" w:type="dxa"/>
            <w:vAlign w:val="bottom"/>
            <w:shd w:val="clear" w:color="auto" w:fill="CEF9CE"/>
          </w:tcPr>
          <w:p>
            <w:pPr>
              <w:spacing w:after="0"/>
              <w:rPr>
                <w:sz w:val="21"/>
                <w:szCs w:val="21"/>
                <w:color w:val="auto"/>
              </w:rPr>
            </w:pPr>
          </w:p>
        </w:tc>
        <w:tc>
          <w:tcPr>
            <w:tcW w:w="820" w:type="dxa"/>
            <w:vAlign w:val="bottom"/>
            <w:shd w:val="clear" w:color="auto" w:fill="CEF9CE"/>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EF9CE"/>
          </w:tcPr>
          <w:p>
            <w:pPr>
              <w:spacing w:after="0"/>
              <w:rPr>
                <w:sz w:val="21"/>
                <w:szCs w:val="21"/>
                <w:color w:val="auto"/>
              </w:rPr>
            </w:pPr>
          </w:p>
        </w:tc>
        <w:tc>
          <w:tcPr>
            <w:tcW w:w="920" w:type="dxa"/>
            <w:vAlign w:val="bottom"/>
            <w:shd w:val="clear" w:color="auto" w:fill="CEF9CE"/>
          </w:tcPr>
          <w:p>
            <w:pPr>
              <w:jc w:val="right"/>
              <w:ind w:right="3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EF9CE"/>
          </w:tcPr>
          <w:p>
            <w:pPr>
              <w:spacing w:after="0"/>
              <w:rPr>
                <w:sz w:val="21"/>
                <w:szCs w:val="21"/>
                <w:color w:val="auto"/>
              </w:rPr>
            </w:pPr>
          </w:p>
        </w:tc>
        <w:tc>
          <w:tcPr>
            <w:tcW w:w="820" w:type="dxa"/>
            <w:vAlign w:val="bottom"/>
            <w:shd w:val="clear" w:color="auto" w:fill="CEF9CE"/>
          </w:tcPr>
          <w:p>
            <w:pPr>
              <w:jc w:val="right"/>
              <w:ind w:right="190"/>
              <w:spacing w:after="0"/>
              <w:rPr>
                <w:sz w:val="20"/>
                <w:szCs w:val="20"/>
                <w:color w:val="auto"/>
              </w:rPr>
            </w:pPr>
            <w:r>
              <w:rPr>
                <w:rFonts w:ascii="Arial" w:cs="Arial" w:eastAsia="Arial" w:hAnsi="Arial"/>
                <w:sz w:val="18"/>
                <w:szCs w:val="18"/>
                <w:color w:val="auto"/>
              </w:rPr>
              <w:t>(1 )</w:t>
            </w:r>
          </w:p>
        </w:tc>
        <w:tc>
          <w:tcPr>
            <w:tcW w:w="420" w:type="dxa"/>
            <w:vAlign w:val="bottom"/>
            <w:shd w:val="clear" w:color="auto" w:fill="CEF9CE"/>
          </w:tcPr>
          <w:p>
            <w:pPr>
              <w:spacing w:after="0"/>
              <w:rPr>
                <w:sz w:val="21"/>
                <w:szCs w:val="21"/>
                <w:color w:val="auto"/>
              </w:rPr>
            </w:pPr>
          </w:p>
        </w:tc>
        <w:tc>
          <w:tcPr>
            <w:tcW w:w="70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(1 )</w:t>
            </w:r>
          </w:p>
        </w:tc>
      </w:tr>
      <w:tr>
        <w:trPr>
          <w:trHeight w:val="243"/>
        </w:trPr>
        <w:tc>
          <w:tcPr>
            <w:tcW w:w="3920" w:type="dxa"/>
            <w:vAlign w:val="bottom"/>
          </w:tcPr>
          <w:p>
            <w:pPr>
              <w:ind w:left="140"/>
              <w:spacing w:after="0"/>
              <w:rPr>
                <w:sz w:val="20"/>
                <w:szCs w:val="20"/>
                <w:color w:val="auto"/>
              </w:rPr>
            </w:pPr>
            <w:r>
              <w:rPr>
                <w:rFonts w:ascii="Arial" w:cs="Arial" w:eastAsia="Arial" w:hAnsi="Arial"/>
                <w:sz w:val="18"/>
                <w:szCs w:val="18"/>
                <w:color w:val="auto"/>
              </w:rPr>
              <w:t>Sundry, net</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(1 )</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r>
      <w:tr>
        <w:trPr>
          <w:trHeight w:val="257"/>
        </w:trPr>
        <w:tc>
          <w:tcPr>
            <w:tcW w:w="3920" w:type="dxa"/>
            <w:vAlign w:val="bottom"/>
            <w:tcBorders>
              <w:bottom w:val="single" w:sz="8" w:color="auto"/>
            </w:tcBorders>
            <w:shd w:val="clear" w:color="auto" w:fill="CEF9CE"/>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9CE"/>
          </w:tcPr>
          <w:p>
            <w:pPr>
              <w:jc w:val="right"/>
              <w:ind w:right="27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9CE"/>
          </w:tcPr>
          <w:p>
            <w:pPr>
              <w:jc w:val="right"/>
              <w:ind w:right="290"/>
              <w:spacing w:after="0"/>
              <w:rPr>
                <w:sz w:val="20"/>
                <w:szCs w:val="20"/>
                <w:color w:val="auto"/>
              </w:rPr>
            </w:pPr>
            <w:r>
              <w:rPr>
                <w:rFonts w:ascii="Arial" w:cs="Arial" w:eastAsia="Arial" w:hAnsi="Arial"/>
                <w:sz w:val="18"/>
                <w:szCs w:val="18"/>
                <w:color w:val="auto"/>
              </w:rPr>
              <w:t>(1 )</w:t>
            </w:r>
          </w:p>
        </w:tc>
        <w:tc>
          <w:tcPr>
            <w:tcW w:w="50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9CE"/>
          </w:tcPr>
          <w:p>
            <w:pPr>
              <w:jc w:val="right"/>
              <w:ind w:right="27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EF9CE"/>
          </w:tcPr>
          <w:p>
            <w:pPr>
              <w:jc w:val="right"/>
              <w:ind w:right="70"/>
              <w:spacing w:after="0"/>
              <w:rPr>
                <w:sz w:val="20"/>
                <w:szCs w:val="20"/>
                <w:color w:val="auto"/>
              </w:rPr>
            </w:pPr>
            <w:r>
              <w:rPr>
                <w:rFonts w:ascii="Arial" w:cs="Arial" w:eastAsia="Arial" w:hAnsi="Arial"/>
                <w:sz w:val="18"/>
                <w:szCs w:val="18"/>
                <w:color w:val="auto"/>
              </w:rPr>
              <w:t>(4 )</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FINANCIAL INSTRUMENTS</w:t>
      </w:r>
    </w:p>
    <w:p>
      <w:pPr>
        <w:spacing w:after="0" w:line="22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company periodically uses commodity derivative instruments and interest-rate swap agreements to moderate its exposure to commodity-price and interest-rate changes and to lower its overall cost of borrowing.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480"/>
          </w:cols>
          <w:pgMar w:left="240" w:top="549" w:right="117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Fair Value Hedges</w:t>
      </w:r>
    </w:p>
    <w:p>
      <w:pPr>
        <w:spacing w:after="0" w:line="222"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As of September 30, 2008 and December 31, 2007, the company has a fair value hedge for a notional amount of debt totaling $150 million. The fair value hedge balances were an asset of $3 million and $2 million at September 30, 2008 and December 31, 2007, respectively. The hedge expires in 2011.</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Market value adjustments since inception of the hedge were recorded as an increase in fixed-price contracts and other derivatives (in noncurrent assets as Sundry or in Deferred Credits and Other) and as a corresponding increase or decrease in Long-Term Debt without affecting net income or other comprehensive income. There has been no hedge ineffectiveness on this swap.</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Hedges</w:t>
      </w:r>
    </w:p>
    <w:p>
      <w:pPr>
        <w:spacing w:after="0" w:line="222"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As of September 30, 2008 and December 31, 2007, the company had established a cash flow interest-rate swap hedge for a notional amount of debt totaling $183 million. The swap expires in 2038. There has been no hedge ineffectiveness on this swap.</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Contracts</w:t>
      </w:r>
    </w:p>
    <w:p>
      <w:pPr>
        <w:spacing w:after="0" w:line="222"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use of derivative instruments is subject to certain limitations imposed by company policy and regulatory requirements. These instruments enable the company to estimate with greater certainty natural gas prices to be received by the company and the corresponding prices to be charged to its customers. The company records realized gains or losses on derivative instruments associated with transactions for natural gas contracts in Cost of Natural Gas on the Statements of Consolidated Income. On the Consolidated Balance Sheets, the company records corresponding regulatory assets and liabilities related to unrealized gains and losses from these derivative instruments to the extent derivative gains and losses associated with these derivative instruments will be payable or recoverable in future rates.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FSP FIN 39-1</w:t>
      </w:r>
    </w:p>
    <w:p>
      <w:pPr>
        <w:spacing w:after="0" w:line="222"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The company adopted FSP FIN 39-1 effective January 1, 2008, which requires retroactive application. Each Consolidated Balance Sheet reflects the offsetting of net derivative positions with fair value amounts for cash collateral with the same counterparty when management believes a legal right of setoff exists. As of September 30, 2008, the company offset fair value cash collateral receivables against net derivative positions of $16 million. As of December 31, 2007, the application of FSP FIN 39-1 had no impact on the Consolidated Balance Sheet. The fair value of cash collateral that was not offset in the Consolidated Balance Sheets as of September 30, 2008 and December 31, 2007 was $16 million and $7 million, respectively. The fair value of commodity derivative assets and liabilities as of September 30, 2008 and December 31, 2007, determined in accordance with the company's netting policy, is presented below.</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Hierarchy</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The company’s valuation techniques used to measure fair value and the definition of the three levels of the fair value hierarchy, as defined in SFAS 157, </w:t>
      </w:r>
      <w:r>
        <w:rPr>
          <w:rFonts w:ascii="Arial" w:cs="Arial" w:eastAsia="Arial" w:hAnsi="Arial"/>
          <w:sz w:val="20"/>
          <w:szCs w:val="20"/>
          <w:i w:val="1"/>
          <w:iCs w:val="1"/>
          <w:color w:val="auto"/>
        </w:rPr>
        <w:t>Fair Value Measurements</w:t>
      </w:r>
      <w:r>
        <w:rPr>
          <w:rFonts w:ascii="Arial" w:cs="Arial" w:eastAsia="Arial" w:hAnsi="Arial"/>
          <w:sz w:val="20"/>
          <w:szCs w:val="20"/>
          <w:color w:val="auto"/>
        </w:rPr>
        <w:t xml:space="preserve"> (SFAS 157), are discussed in Note 7 of the Notes to Consolidated Financial Statements in the Annual Report.</w:t>
      </w:r>
    </w:p>
    <w:p>
      <w:pPr>
        <w:spacing w:after="0" w:line="18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following tables set forth by level within the fair value hierarchy the company's financial assets and liabilities that were accounted for at fair value on a recurring basis as of September 30,</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40"/>
          </w:cols>
          <w:pgMar w:left="240" w:top="549" w:right="919" w:bottom="1440" w:gutter="0" w:footer="0" w:header="0"/>
        </w:sectPr>
      </w:pPr>
    </w:p>
    <w:bookmarkStart w:id="15" w:name="page16"/>
    <w:bookmarkEnd w:id="15"/>
    <w:p>
      <w:pPr>
        <w:ind w:right="380"/>
        <w:spacing w:after="0" w:line="246" w:lineRule="auto"/>
        <w:rPr>
          <w:sz w:val="20"/>
          <w:szCs w:val="20"/>
          <w:color w:val="auto"/>
        </w:rPr>
      </w:pPr>
      <w:r>
        <w:rPr>
          <w:rFonts w:ascii="Arial" w:cs="Arial" w:eastAsia="Arial" w:hAnsi="Arial"/>
          <w:sz w:val="20"/>
          <w:szCs w:val="20"/>
          <w:color w:val="auto"/>
        </w:rPr>
        <w:t>2008 and December 31, 2007.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235" w:lineRule="exact"/>
        <w:rPr>
          <w:sz w:val="20"/>
          <w:szCs w:val="20"/>
          <w:color w:val="auto"/>
        </w:rPr>
      </w:pPr>
    </w:p>
    <w:tbl>
      <w:tblPr>
        <w:tblLayout w:type="fixed"/>
        <w:tblInd w:w="1420" w:type="dxa"/>
        <w:tblCellMar>
          <w:top w:w="0" w:type="dxa"/>
          <w:left w:w="0" w:type="dxa"/>
          <w:bottom w:w="0" w:type="dxa"/>
          <w:right w:w="0" w:type="dxa"/>
        </w:tblCellMar>
      </w:tblPr>
      <w:tr>
        <w:trPr>
          <w:trHeight w:val="244"/>
        </w:trPr>
        <w:tc>
          <w:tcPr>
            <w:tcW w:w="3760" w:type="dxa"/>
            <w:vAlign w:val="bottom"/>
          </w:tcPr>
          <w:p>
            <w:pPr>
              <w:spacing w:after="0"/>
              <w:rPr>
                <w:sz w:val="20"/>
                <w:szCs w:val="20"/>
                <w:color w:val="auto"/>
              </w:rPr>
            </w:pPr>
            <w:r>
              <w:rPr>
                <w:rFonts w:ascii="Arial" w:cs="Arial" w:eastAsia="Arial" w:hAnsi="Arial"/>
                <w:sz w:val="18"/>
                <w:szCs w:val="18"/>
                <w:color w:val="auto"/>
              </w:rPr>
              <w:t>Recurring Fair Value Measures</w:t>
            </w:r>
          </w:p>
        </w:tc>
        <w:tc>
          <w:tcPr>
            <w:tcW w:w="34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At fair value as of September 30, 2008</w:t>
            </w:r>
          </w:p>
        </w:tc>
        <w:tc>
          <w:tcPr>
            <w:tcW w:w="760" w:type="dxa"/>
            <w:vAlign w:val="bottom"/>
            <w:tcBorders>
              <w:bottom w:val="single" w:sz="8" w:color="auto"/>
            </w:tcBorders>
          </w:tcPr>
          <w:p>
            <w:pPr>
              <w:spacing w:after="0"/>
              <w:rPr>
                <w:sz w:val="21"/>
                <w:szCs w:val="21"/>
                <w:color w:val="auto"/>
              </w:rPr>
            </w:pPr>
          </w:p>
        </w:tc>
      </w:tr>
      <w:tr>
        <w:trPr>
          <w:trHeight w:val="230"/>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Level 1</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9"/>
        </w:trPr>
        <w:tc>
          <w:tcPr>
            <w:tcW w:w="3760" w:type="dxa"/>
            <w:vAlign w:val="bottom"/>
            <w:shd w:val="clear" w:color="auto" w:fill="CEF9CE"/>
          </w:tcPr>
          <w:p>
            <w:pPr>
              <w:ind w:left="260"/>
              <w:spacing w:after="0"/>
              <w:rPr>
                <w:sz w:val="20"/>
                <w:szCs w:val="20"/>
                <w:color w:val="auto"/>
              </w:rPr>
            </w:pPr>
            <w:r>
              <w:rPr>
                <w:rFonts w:ascii="Arial" w:cs="Arial" w:eastAsia="Arial" w:hAnsi="Arial"/>
                <w:sz w:val="18"/>
                <w:szCs w:val="18"/>
                <w:color w:val="auto"/>
              </w:rPr>
              <w:t>Commodity derivatives</w:t>
            </w:r>
          </w:p>
        </w:tc>
        <w:tc>
          <w:tcPr>
            <w:tcW w:w="340" w:type="dxa"/>
            <w:vAlign w:val="bottom"/>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9CE"/>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9CE"/>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Other derivatives</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3760" w:type="dxa"/>
            <w:vAlign w:val="bottom"/>
            <w:tcBorders>
              <w:bottom w:val="single" w:sz="8" w:color="CEF9CE"/>
            </w:tcBorders>
            <w:shd w:val="clear" w:color="auto" w:fill="CEF9CE"/>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3760" w:type="dxa"/>
            <w:vAlign w:val="bottom"/>
            <w:shd w:val="clear" w:color="auto" w:fill="CEF9CE"/>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EF9CE"/>
          </w:tcPr>
          <w:p>
            <w:pPr>
              <w:spacing w:after="0"/>
              <w:rPr>
                <w:sz w:val="21"/>
                <w:szCs w:val="21"/>
                <w:color w:val="auto"/>
              </w:rPr>
            </w:pPr>
          </w:p>
        </w:tc>
        <w:tc>
          <w:tcPr>
            <w:tcW w:w="820" w:type="dxa"/>
            <w:vAlign w:val="bottom"/>
            <w:shd w:val="clear" w:color="auto" w:fill="CEF9CE"/>
          </w:tcPr>
          <w:p>
            <w:pPr>
              <w:spacing w:after="0"/>
              <w:rPr>
                <w:sz w:val="21"/>
                <w:szCs w:val="21"/>
                <w:color w:val="auto"/>
              </w:rPr>
            </w:pPr>
          </w:p>
        </w:tc>
        <w:tc>
          <w:tcPr>
            <w:tcW w:w="420" w:type="dxa"/>
            <w:vAlign w:val="bottom"/>
            <w:shd w:val="clear" w:color="auto" w:fill="CEF9CE"/>
          </w:tcPr>
          <w:p>
            <w:pPr>
              <w:spacing w:after="0"/>
              <w:rPr>
                <w:sz w:val="21"/>
                <w:szCs w:val="21"/>
                <w:color w:val="auto"/>
              </w:rPr>
            </w:pPr>
          </w:p>
        </w:tc>
        <w:tc>
          <w:tcPr>
            <w:tcW w:w="920" w:type="dxa"/>
            <w:vAlign w:val="bottom"/>
            <w:shd w:val="clear" w:color="auto" w:fill="CEF9CE"/>
          </w:tcPr>
          <w:p>
            <w:pPr>
              <w:spacing w:after="0"/>
              <w:rPr>
                <w:sz w:val="21"/>
                <w:szCs w:val="21"/>
                <w:color w:val="auto"/>
              </w:rPr>
            </w:pPr>
          </w:p>
        </w:tc>
        <w:tc>
          <w:tcPr>
            <w:tcW w:w="300" w:type="dxa"/>
            <w:vAlign w:val="bottom"/>
            <w:shd w:val="clear" w:color="auto" w:fill="CEF9CE"/>
          </w:tcPr>
          <w:p>
            <w:pPr>
              <w:spacing w:after="0"/>
              <w:rPr>
                <w:sz w:val="21"/>
                <w:szCs w:val="21"/>
                <w:color w:val="auto"/>
              </w:rPr>
            </w:pPr>
          </w:p>
        </w:tc>
        <w:tc>
          <w:tcPr>
            <w:tcW w:w="920" w:type="dxa"/>
            <w:vAlign w:val="bottom"/>
            <w:shd w:val="clear" w:color="auto" w:fill="CEF9CE"/>
          </w:tcPr>
          <w:p>
            <w:pPr>
              <w:spacing w:after="0"/>
              <w:rPr>
                <w:sz w:val="21"/>
                <w:szCs w:val="21"/>
                <w:color w:val="auto"/>
              </w:rPr>
            </w:pPr>
          </w:p>
        </w:tc>
        <w:tc>
          <w:tcPr>
            <w:tcW w:w="360" w:type="dxa"/>
            <w:vAlign w:val="bottom"/>
            <w:shd w:val="clear" w:color="auto" w:fill="CEF9CE"/>
          </w:tcPr>
          <w:p>
            <w:pPr>
              <w:spacing w:after="0"/>
              <w:rPr>
                <w:sz w:val="21"/>
                <w:szCs w:val="21"/>
                <w:color w:val="auto"/>
              </w:rPr>
            </w:pPr>
          </w:p>
        </w:tc>
        <w:tc>
          <w:tcPr>
            <w:tcW w:w="760" w:type="dxa"/>
            <w:vAlign w:val="bottom"/>
            <w:shd w:val="clear" w:color="auto" w:fill="CEF9CE"/>
          </w:tcPr>
          <w:p>
            <w:pPr>
              <w:spacing w:after="0"/>
              <w:rPr>
                <w:sz w:val="21"/>
                <w:szCs w:val="21"/>
                <w:color w:val="auto"/>
              </w:rPr>
            </w:pPr>
          </w:p>
        </w:tc>
      </w:tr>
      <w:tr>
        <w:trPr>
          <w:trHeight w:val="264"/>
        </w:trPr>
        <w:tc>
          <w:tcPr>
            <w:tcW w:w="3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derivatives</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486"/>
        </w:trPr>
        <w:tc>
          <w:tcPr>
            <w:tcW w:w="3760" w:type="dxa"/>
            <w:vAlign w:val="bottom"/>
          </w:tcPr>
          <w:p>
            <w:pPr>
              <w:spacing w:after="0"/>
              <w:rPr>
                <w:sz w:val="20"/>
                <w:szCs w:val="20"/>
                <w:color w:val="auto"/>
              </w:rPr>
            </w:pPr>
            <w:r>
              <w:rPr>
                <w:rFonts w:ascii="Arial" w:cs="Arial" w:eastAsia="Arial" w:hAnsi="Arial"/>
                <w:sz w:val="18"/>
                <w:szCs w:val="18"/>
                <w:color w:val="auto"/>
              </w:rPr>
              <w:t>Recurring Fair Value Measures</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color w:val="auto"/>
                <w:w w:val="90"/>
              </w:rPr>
              <w:t>At fair value as of December 31, 2007</w:t>
            </w:r>
          </w:p>
        </w:tc>
        <w:tc>
          <w:tcPr>
            <w:tcW w:w="760" w:type="dxa"/>
            <w:vAlign w:val="bottom"/>
            <w:tcBorders>
              <w:bottom w:val="single" w:sz="8" w:color="auto"/>
            </w:tcBorders>
          </w:tcPr>
          <w:p>
            <w:pPr>
              <w:spacing w:after="0"/>
              <w:rPr>
                <w:sz w:val="24"/>
                <w:szCs w:val="24"/>
                <w:color w:val="auto"/>
              </w:rPr>
            </w:pPr>
          </w:p>
        </w:tc>
      </w:tr>
      <w:tr>
        <w:trPr>
          <w:trHeight w:val="230"/>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Level 1</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9"/>
        </w:trPr>
        <w:tc>
          <w:tcPr>
            <w:tcW w:w="3760" w:type="dxa"/>
            <w:vAlign w:val="bottom"/>
            <w:shd w:val="clear" w:color="auto" w:fill="CEF9CE"/>
          </w:tcPr>
          <w:p>
            <w:pPr>
              <w:ind w:left="260"/>
              <w:spacing w:after="0"/>
              <w:rPr>
                <w:sz w:val="20"/>
                <w:szCs w:val="20"/>
                <w:color w:val="auto"/>
              </w:rPr>
            </w:pPr>
            <w:r>
              <w:rPr>
                <w:rFonts w:ascii="Arial" w:cs="Arial" w:eastAsia="Arial" w:hAnsi="Arial"/>
                <w:sz w:val="18"/>
                <w:szCs w:val="18"/>
                <w:color w:val="auto"/>
              </w:rPr>
              <w:t>Commodity derivatives</w:t>
            </w:r>
          </w:p>
        </w:tc>
        <w:tc>
          <w:tcPr>
            <w:tcW w:w="340" w:type="dxa"/>
            <w:vAlign w:val="bottom"/>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9CE"/>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9CE"/>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Other derivatives</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3760" w:type="dxa"/>
            <w:vAlign w:val="bottom"/>
            <w:tcBorders>
              <w:bottom w:val="single" w:sz="8" w:color="auto"/>
            </w:tcBorders>
            <w:shd w:val="clear" w:color="auto" w:fill="CEF9CE"/>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shd w:val="clear" w:color="auto" w:fill="CEF9C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9CE"/>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EF9CE"/>
          </w:tcPr>
          <w:p>
            <w:pPr>
              <w:jc w:val="right"/>
              <w:spacing w:after="0"/>
              <w:rPr>
                <w:sz w:val="20"/>
                <w:szCs w:val="20"/>
                <w:color w:val="auto"/>
              </w:rPr>
            </w:pPr>
            <w:r>
              <w:rPr>
                <w:rFonts w:ascii="Arial" w:cs="Arial" w:eastAsia="Arial" w:hAnsi="Arial"/>
                <w:sz w:val="18"/>
                <w:szCs w:val="18"/>
                <w:color w:val="auto"/>
              </w:rPr>
              <w:t>13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REGULATORY MATTERS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Rate Case (GRC)</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July 2008, the California Public Utilities Commission (CPUC) issued a final decision in the company’s 2008 general rate case (2008 GRC). The decision adopted the test-year 2008 revenue requirements, effective retroactive to January 1, 2008, and the post-test year revenue requirements that were included in the settlement agreement filed with the CPUC. The decision provides an increase in the annual revenue requirement in 2008, as compared to 2007, of $59 million, and provides average annual increases of approximately $52 million, or three percent, in each of the post-test years' revenue requirements. The decision also establishes a GRC period of four years (2008-2011) and does not impose a cap on the company’s earnings.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Since the final decision was not issued by June 30, 2008, the company's reported net income for the first six months of 2008 was based on the 2007 authorized revenue requirement as established by the CPUC’s 2004 Cost of Service decision. As the 2008 GRC decision is retroactive, the company recognized additional net income for the period January 1 through June 30, 2008 of approximately $7 million in the third quarter of 2008.</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Utility Ratemaking Incentive Awards</w:t>
      </w:r>
    </w:p>
    <w:p>
      <w:pPr>
        <w:spacing w:after="0" w:line="23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Performance-Based Regulation (PBR) consists of a series of measures of utility performance. Generally, if performance is outside of a band of specified benchmarks, the utility is subject to financial rewards or penalties. The three areas that are eligible for incentive awards or penalties are operational incentives, energy efficiency awards based on the effectiveness of the energy efficiency programs and natural gas procurement awards or penalties.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Incentive awards are not included in the company's earnings until CPUC approval of the award is received.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720"/>
          </w:cols>
          <w:pgMar w:left="240" w:top="555" w:right="939" w:bottom="1440" w:gutter="0" w:footer="0" w:header="0"/>
        </w:sectPr>
      </w:pPr>
    </w:p>
    <w:bookmarkStart w:id="16" w:name="page17"/>
    <w:bookmarkEnd w:id="16"/>
    <w:p>
      <w:pPr>
        <w:spacing w:after="0"/>
        <w:rPr>
          <w:sz w:val="20"/>
          <w:szCs w:val="20"/>
          <w:color w:val="auto"/>
        </w:rPr>
      </w:pPr>
      <w:r>
        <w:rPr>
          <w:rFonts w:ascii="Arial" w:cs="Arial" w:eastAsia="Arial" w:hAnsi="Arial"/>
          <w:sz w:val="20"/>
          <w:szCs w:val="20"/>
          <w:i w:val="1"/>
          <w:iCs w:val="1"/>
          <w:color w:val="auto"/>
        </w:rPr>
        <w:t>Operational Incentives</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Operational incentives and the associated benchmarks are determined as a component of a general rate case or cost of service decision. The operational PBR incentives to be in effect for fiscal year 2008 through 2011 were established as part of the CPUC's final decision in the 2008 GRC, which adopted modified PBR measures for customer satisfaction and employee safety. The company reviewed these modified PBR measures and filed its response in regard to these measures in September 2008, accepting the safety performance measure but rejecting the customer satisfaction measure, as allowed by the GRC decision. As a result, the company is no longer entitled to operational PBR awards for customer satisfaction after 2007.</w:t>
      </w:r>
    </w:p>
    <w:p>
      <w:pPr>
        <w:spacing w:after="0" w:line="179"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During the second quarter of 2008, the company received CPUC approval for its 2007 Operational PBR incentive award of $2 million (pretax). The company plans to submit its employee safety results and incentive award claim in May 2009 for performance in 2008.</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Energy Efficiency</w:t>
      </w:r>
    </w:p>
    <w:p>
      <w:pPr>
        <w:spacing w:after="0" w:line="21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Energy efficiency awards are determined under an incentive mechanism established by the CPUC in September 2007, which was subsequently modified in January 2008. This incentive award mechanism applies to the utilities' performance over a three-year energy efficiency program period. In accordance with this mechanism, the company submitted its initial report on its 2006 and 2007 energy efficiency results, as compared to the company's goals, with the CPUC in the first quarter of 2008. The CPUC is currently reviewing these results with a verification report not expected to be issued until sometime in 2009.</w:t>
      </w:r>
    </w:p>
    <w:p>
      <w:pPr>
        <w:spacing w:after="0" w:line="181"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A joint petition was filed in August 2008 by SDG&amp;E, SoCalGas, Pacific Gas and Electric Company, and Southern California Edison seeking modification of the CPUC's energy efficiency incentive mechanism decisions due to the delay in the issuance of the verification report from its original, expected timeframe. The petition proposed certain procedures that would be triggered if the CPUC's Energy Division were unable to complete its review of the utilities' results on time. The joint petition also requested approval of each utility's awards claim for 2006 - 2007, including $9.6 million for SoCalGas.</w:t>
      </w:r>
    </w:p>
    <w:p>
      <w:pPr>
        <w:spacing w:after="0" w:line="181"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 draft Administrative Law Judge (ALJ) decision and a draft Commissioner’s alternate decision were issued by the CPUC on November 4, 2008. The ALJ decision would deny the joint petition and retain the CPUC’s current performance review and award process. The alternate decision grants the joint petition in part but increases the interim award holdback from 35% to 50% and approves an interim award for SoCalGas, net of the holdback amount, of $7.4 million. SoCalGas expects that a final decision could be adopted by the CPUC in December 2008.</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Procurement</w:t>
      </w:r>
    </w:p>
    <w:p>
      <w:pPr>
        <w:spacing w:after="0" w:line="21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In January 2008, the CPUC approved a SoCalGas natural gas cost incentive mechanism (GCIM) award of $9 million (pretax) for its core natural gas procurement activities for the 12-month period ended March 31, 2007 (Year 13). The award was recorded in the first quarter of 2008. In June 2008, SoCalGas filed its GCIM application for core natural gas procurement activities in the 12-month period ended March 31, 2008 (Year 14), seeking a $6.5 million (pretax) award. A final decision is expected in the first quarter of 2009.</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780"/>
          </w:cols>
          <w:pgMar w:left="240" w:top="771" w:right="879" w:bottom="1440" w:gutter="0" w:footer="0" w:header="0"/>
        </w:sectPr>
      </w:pPr>
    </w:p>
    <w:bookmarkStart w:id="17" w:name="page18"/>
    <w:bookmarkEnd w:id="17"/>
    <w:p>
      <w:pPr>
        <w:ind w:right="80"/>
        <w:spacing w:after="0" w:line="250" w:lineRule="auto"/>
        <w:rPr>
          <w:sz w:val="20"/>
          <w:szCs w:val="20"/>
          <w:color w:val="auto"/>
        </w:rPr>
      </w:pPr>
      <w:r>
        <w:rPr>
          <w:rFonts w:ascii="Arial" w:cs="Arial" w:eastAsia="Arial" w:hAnsi="Arial"/>
          <w:sz w:val="20"/>
          <w:szCs w:val="20"/>
          <w:color w:val="auto"/>
        </w:rPr>
        <w:t>As of April 1, 2008, the SDG&amp;E and SoCalGas core natural gas supply portfolios were combined, and SoCalGas now procures natural gas for SDG&amp;E's requirements. Also effective as of April 1, 2008, SoCalGas' GCIM award is based on the natural gas procured on a combined portfolio basis.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2009 Biennial Cost Allocation Proceeding (BCAP)</w:t>
      </w:r>
    </w:p>
    <w:p>
      <w:pPr>
        <w:spacing w:after="0" w:line="22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In August 2006, SoCalGas, SDG&amp;E and Southern California Edison jointly filed an application with the CPUC seeking its approval of a series of revisions to the natural gas operations and service offerings of the Sempra Utilities. The CPUC issued a final decision in December 2007 approving some, but not all, of the proposals and deferring a number of issues, including the incentive mechanism for SoCalGas' natural gas storage program, to the Sempra Utilities’ BCAP where they could be addressed more fully. A settlement agreement on a majority of the storage-related issues was reached with the parties, and a draft ALJ decision was issued on November 4, 2008, recommending approval of the settlement without modification. A final decision on the uncontested settlement is expected by year-end 2008.</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Effective January 1, 2008, and until such time as a resolution is achieved in the BCAP, the storage revenues and costs that were previously shared between ratepayers and shareholders are being deferred pending a regulatory decision on this matter. The settlement, if approved, would resolve the incentive mechanism for the natural gas storage program for 2008, but the shareholder amount would depend on the actual storage revenues for the calendar year.</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If approved as submitted, the settlement agreement would be in effect for a six-year period (2009 through 2014) and would allow SoCalGas to invest in certain storage replacement and expansion projects that ultimately would add an estimated 145 million cubic feet per day (MMcfd) of storage injection capacity and approximately 7 billion cubic feet (Bcf) of inventory capacity. The cost of these storage investments is estimated at $250 million, would be incremental to the capital provided in the 2008 GRC and would be treated like existing storage assets, providing additional earnings through the resulting increase in rate base. The agreement also provides that the annual net revenues (revenues less allocated embedded cost) from the unbundled storage and system operator hub services programs be split between ratepayers and shareholders on a graduated basis. The first $15 million of net revenue would be shared 90/10 (ratepayer/shareholder), the next $15 million shared 75/25, and all additional net revenues shared 50/50, up to a total annual shareholder cap of $20 million (pretax). The prior mechanism provided a 50/50 split of the net revenues (2007 and prior).</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Advanced Metering Infrastructure</w:t>
      </w:r>
    </w:p>
    <w:p>
      <w:pPr>
        <w:spacing w:after="0" w:line="222"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In September 2008, SoCalGas filed an application with the CPUC for approval to upgrade approximately six million natural gas meters with an advanced metering system at an estimated cost of $1.1 billion (including approximately $900 million in capital investment). The company has requested a CPUC decision by mid-2009. If timely approved, installation of the meters is expected to begin in 2011 and continue through 2015.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Market OIR</w:t>
      </w:r>
    </w:p>
    <w:p>
      <w:pPr>
        <w:spacing w:after="0" w:line="222"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The CPUC considered natural gas market issues, including market design and infrastructure requirements, as part of its Natural Gas Market Order Instituting Rulemaking (OIR). A final decision in Phase II of this proceeding was issued in September 2006, reaffirming the adequacy of the capacity of the SoCalGas and SDG&amp;E systems to meet then-current and forecasted</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780"/>
          </w:cols>
          <w:pgMar w:left="240" w:top="555" w:right="879" w:bottom="1440" w:gutter="0" w:footer="0" w:header="0"/>
        </w:sectPr>
      </w:pPr>
    </w:p>
    <w:bookmarkStart w:id="18" w:name="page19"/>
    <w:bookmarkEnd w:id="18"/>
    <w:p>
      <w:pPr>
        <w:spacing w:after="0" w:line="273" w:lineRule="auto"/>
        <w:rPr>
          <w:sz w:val="20"/>
          <w:szCs w:val="20"/>
          <w:color w:val="auto"/>
        </w:rPr>
      </w:pPr>
      <w:r>
        <w:rPr>
          <w:rFonts w:ascii="Arial" w:cs="Arial" w:eastAsia="Arial" w:hAnsi="Arial"/>
          <w:sz w:val="18"/>
          <w:szCs w:val="18"/>
          <w:color w:val="auto"/>
        </w:rPr>
        <w:t>demand. Among other things, this decision established revised natural gas quality standards that apply to all natural gas supplies entering the SoCalGas and SDG&amp;E systems, including new supplies of regasified liquefied natural gas. The South Coast Air Quality Management District and the City of San Diego (jointly with Ratepayers for Affordable Clean Energy) filed petitions for review in the California Court of Appeal and the California Supreme Court challenging the CPUC's September 2006 decision and contending that the CPUC was required to prepare an environmental impact statement under the California Environmental Quality Act evaluating the environmental impacts that might result from the changes in natural gas quality standards approved by the CPUC. In November 2007, the Court of Appeal determined that the California Supreme Court had exclusive jurisdiction over the petitions for review. In July 2008, the California Supreme Court denied the petitions for review, thereby affirming the CPUC’s decision in all respects.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22"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At September 30, 2008, the company's reserves related to unresolved litigation matters were $1 million. The uncertainties that exist in complex legal proceedings make it difficult to estimate with reasonable certainty the costs and effects of resolving legal matters. Accordingly, actual costs incurred may differ materially from estimated costs and could materially adversely affect the company's business, cash flows,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Cases</w:t>
      </w:r>
    </w:p>
    <w:p>
      <w:pPr>
        <w:spacing w:after="0" w:line="216" w:lineRule="exact"/>
        <w:rPr>
          <w:sz w:val="20"/>
          <w:szCs w:val="20"/>
          <w:color w:val="auto"/>
        </w:rPr>
      </w:pPr>
    </w:p>
    <w:p>
      <w:pPr>
        <w:ind w:right="420"/>
        <w:spacing w:after="0" w:line="273" w:lineRule="auto"/>
        <w:rPr>
          <w:sz w:val="20"/>
          <w:szCs w:val="20"/>
          <w:color w:val="auto"/>
        </w:rPr>
      </w:pPr>
      <w:r>
        <w:rPr>
          <w:rFonts w:ascii="Arial" w:cs="Arial" w:eastAsia="Arial" w:hAnsi="Arial"/>
          <w:sz w:val="18"/>
          <w:szCs w:val="18"/>
          <w:color w:val="auto"/>
        </w:rPr>
        <w:t>In April 2003, Sierra Pacific Resources and its utility subsidiary Nevada Power filed a lawsuit in the U.S. District Court in Nevada against major natural gas suppliers, including Sempra Energy, the Sempra Utilities and Sempra Commodities, a business unit of Sempra Energy, seeking recovery of damages alleged to total more than $150 million (before trebling). The lawsuit claims that the defendants conspired to manipulate and inflate the prices that Nevada Power had to pay for its natural gas by preventing the construction of natural gas pipelines to serve Nevada and other Western states, and reporting artificially inflated prices to trade publications. The U.S. District Court dismissed the case in November 2004, determining that the Federal Energy Regulatory Commission (FERC) had exclusive jurisdiction to resolve the claims. In September 2007, the U.S. Court of Appeals for the Ninth Circuit (Ninth Circuit Court of Appeals) reversed the dismissal and returned the case to the District Court for further proceedings.</w:t>
      </w:r>
    </w:p>
    <w:p>
      <w:pPr>
        <w:spacing w:after="0" w:line="169"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Five cases against Sempra Energy, Sempra Commodities, the Sempra Utilities and various other companies are pending in the U.S. District Court in Nevada. Plaintiffs claim that energy prices were unlawfully manipulated by the reporting of artificially inflated natural gas prices to trade publications and by entering into deceptive transactions such as wash trades and churning transactions. Four of the cases also include conspiracy allegations similar to those made in the Continental Forge litigation discussed below. The court dismissed four of these actions in 2005, determining that the FERC had exclusive jurisdiction to resolve the claims. The remaining case, which includes conspiracy allegations, was stayed. In September 2007, the Ninth Circuit Court of Appeals reversed the dismissal and returned the cases to the District Court for further proceedings.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760"/>
          </w:cols>
          <w:pgMar w:left="240" w:top="555" w:right="899" w:bottom="1440" w:gutter="0" w:footer="0" w:header="0"/>
        </w:sectPr>
      </w:pPr>
    </w:p>
    <w:bookmarkStart w:id="19" w:name="page20"/>
    <w:bookmarkEnd w:id="19"/>
    <w:p>
      <w:pPr>
        <w:spacing w:after="0"/>
        <w:rPr>
          <w:sz w:val="20"/>
          <w:szCs w:val="20"/>
          <w:color w:val="auto"/>
        </w:rPr>
      </w:pPr>
      <w:r>
        <w:rPr>
          <w:rFonts w:ascii="Arial" w:cs="Arial" w:eastAsia="Arial" w:hAnsi="Arial"/>
          <w:sz w:val="20"/>
          <w:szCs w:val="20"/>
          <w:i w:val="1"/>
          <w:iCs w:val="1"/>
          <w:color w:val="auto"/>
        </w:rPr>
        <w:t>Other Litigation</w:t>
      </w:r>
    </w:p>
    <w:p>
      <w:pPr>
        <w:spacing w:after="0" w:line="216"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color w:val="auto"/>
        </w:rPr>
        <w:t>In 1998, SoCalGas converted its traditional pension plan for non-union employees to a cash balance plan. In July 2005, a lawsuit was filed against the company in the U.S. District Court for the Central District of California alleging that the conversion unlawfully discriminated against older employees and failed to provide required disclosure of a reduction in benefits. In October 2005, the court dismissed three of the four causes of action and, in March 2006, dismissed the remaining cause of action. Plaintiffs appealed to the Ninth Circuit Court of Appeals and, in August 2008, the court affirmed the dismissal of three of the four causes of action and reversed the District Court’s dismissal of the remaining cause of action. Plaintiffs have petitioned the Ninth Circuit Court of Appeals for a rehearing of two of the three affirmed cause of action dismissals. Briefs have been filed on the petition.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Resolved Matters</w:t>
      </w:r>
    </w:p>
    <w:p>
      <w:pPr>
        <w:spacing w:after="0" w:line="216" w:lineRule="exact"/>
        <w:rPr>
          <w:sz w:val="20"/>
          <w:szCs w:val="20"/>
          <w:color w:val="auto"/>
        </w:rPr>
      </w:pPr>
    </w:p>
    <w:p>
      <w:pPr>
        <w:ind w:right="840"/>
        <w:spacing w:after="0" w:line="260" w:lineRule="auto"/>
        <w:rPr>
          <w:sz w:val="20"/>
          <w:szCs w:val="20"/>
          <w:color w:val="auto"/>
        </w:rPr>
      </w:pPr>
      <w:r>
        <w:rPr>
          <w:rFonts w:ascii="Arial" w:cs="Arial" w:eastAsia="Arial" w:hAnsi="Arial"/>
          <w:sz w:val="20"/>
          <w:szCs w:val="20"/>
          <w:color w:val="auto"/>
        </w:rPr>
        <w:t>The company has accrued liabilities for resolved matters of $69 million, including $63 million for settlements related to certain litigation arising out of the 2000 - 2001 California energy crisis.</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The litigation that is the subject of these settlements and accrued liabilities is frequently referred to as the Continental Forge litigation, although the settlements also include other cases. The terms of these settlements were reported previously. In July 2008, the California Attorney General and the DWR dismissed their appeal of the final order, and the settlements became final in August 2008. The reserves recorded for the settlements by Sempra Energy, including SoCalGas, in 2005 fully provide for the present value of both the cash amounts to be paid in the settlements and the price discount to be provided on electricity to be delivered under the DWR contract by Sempra Generation, a business unit of Sempra Energy.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SUBSEQUENT EVENT</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On November 6, 2008, a Tulare County Superior Court jury found SoCalGas liable in the amount of $12.3 million in compensatory and punitive damages payable to two plumbers who were injured in a natural gas explosion when they tried to ignite a water heater pilot light. SoCalGas intends to appeal.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920"/>
          </w:cols>
          <w:pgMar w:left="240" w:top="555" w:right="7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ITEM 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59"/>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16"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The following discussion should be read in conjunction with the financial statements contained in this Form 10-Q, "Management's Discussion and Analysis of Financial Condition and Results of Operations" contained in the company's 2007 Annual Report on Form 10-K (Annual Report), and "Risk Factors" contained in the company's 2007 Annual Report and Part II of this Form 10-Q.</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 and Cost of Sales</w:t>
      </w:r>
    </w:p>
    <w:p>
      <w:pPr>
        <w:spacing w:after="0" w:line="216" w:lineRule="exact"/>
        <w:rPr>
          <w:sz w:val="20"/>
          <w:szCs w:val="20"/>
          <w:color w:val="auto"/>
        </w:rPr>
      </w:pPr>
    </w:p>
    <w:p>
      <w:pPr>
        <w:ind w:right="660"/>
        <w:spacing w:after="0" w:line="316" w:lineRule="auto"/>
        <w:rPr>
          <w:sz w:val="20"/>
          <w:szCs w:val="20"/>
          <w:color w:val="auto"/>
        </w:rPr>
      </w:pPr>
      <w:r>
        <w:rPr>
          <w:rFonts w:ascii="Arial" w:cs="Arial" w:eastAsia="Arial" w:hAnsi="Arial"/>
          <w:sz w:val="18"/>
          <w:szCs w:val="18"/>
          <w:color w:val="auto"/>
        </w:rPr>
        <w:t>During the three months and nine months ended September 30, 2008, natural gas revenues and the cost of natural gas increased compared to the corresponding periods in 2007, primarily as a result of higher natural gas prices and volumes.</w:t>
      </w:r>
    </w:p>
    <w:p>
      <w:pPr>
        <w:spacing w:after="0" w:line="130"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Since the final decision in the 2008 General Rate Case (GRC) was not issued by the California Public Utilities Commission (CPUC) by June 30, 2008, revenues for the first six months of 2008 associated with CPUC-regulated operations were based on the 2007 CPUC-authorized revenue established by the 2004 Cost of Service decision. An adjustment was made in the third quarter of 2008 to reflect the authorized revenue established in the 2008 GRC for the period of January 1 through June 30, 2008. Further discussion is provided in Note 5 of the Notes to Condensed Consolidated Financial Statements herein.</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Although the current regulatory framework provides that the cost of natural gas purchased for core customers be passed through to the customers on a substantially concurrent basis, SoCalGas' Gas Cost Incentive Mechanism (GCIM) allows SoCalGas to share in the savings or costs from buying natural gas for its customers below or above monthly market-based benchmarks. The GCIM permits full recovery of all costs within a tolerance band around the benchmark price. The costs or savings outside the tolerance band are shared between customers and shareholders. Further discussion is provided in Note 5 of the Notes to Condensed Consolidated Financial Statements herein and in Notes 1 and 9 of the Notes to Consolidated Financial Statements in the Annual Report.</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740"/>
          </w:cols>
          <w:pgMar w:left="240" w:top="549" w:right="9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table below summarizes natural gas volumes and revenues by customer class for the nine-month periods ended September 30.</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Natural Gas Sales, Transportation and Exchange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billion cubic feet, dollars in millions)</w:t>
      </w:r>
    </w:p>
    <w:p>
      <w:pPr>
        <w:spacing w:after="0" w:line="24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8"/>
                <w:szCs w:val="18"/>
                <w:color w:val="auto"/>
              </w:rPr>
              <w:t>Transportation and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7"/>
        </w:trPr>
        <w:tc>
          <w:tcPr>
            <w:tcW w:w="2960" w:type="dxa"/>
            <w:vAlign w:val="bottom"/>
          </w:tcPr>
          <w:p>
            <w:pPr>
              <w:spacing w:after="0"/>
              <w:rPr>
                <w:sz w:val="20"/>
                <w:szCs w:val="20"/>
                <w:color w:val="auto"/>
              </w:rPr>
            </w:pPr>
          </w:p>
        </w:tc>
        <w:tc>
          <w:tcPr>
            <w:tcW w:w="21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Natural Gas Sales</w:t>
            </w:r>
          </w:p>
        </w:tc>
        <w:tc>
          <w:tcPr>
            <w:tcW w:w="8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Exchange</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spacing w:after="0"/>
              <w:rPr>
                <w:sz w:val="20"/>
                <w:szCs w:val="20"/>
                <w:color w:val="auto"/>
              </w:rPr>
            </w:pPr>
          </w:p>
        </w:tc>
      </w:tr>
      <w:tr>
        <w:trPr>
          <w:trHeight w:val="237"/>
        </w:trPr>
        <w:tc>
          <w:tcPr>
            <w:tcW w:w="29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Volumes</w:t>
            </w:r>
          </w:p>
        </w:tc>
        <w:tc>
          <w:tcPr>
            <w:tcW w:w="12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Revenue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Volumes</w:t>
            </w:r>
          </w:p>
        </w:tc>
        <w:tc>
          <w:tcPr>
            <w:tcW w:w="1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Revenue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Volumes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Revenue</w:t>
            </w: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2008:</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9"/>
        </w:trPr>
        <w:tc>
          <w:tcPr>
            <w:tcW w:w="2960" w:type="dxa"/>
            <w:vAlign w:val="bottom"/>
            <w:shd w:val="clear" w:color="auto" w:fill="CEF9CE"/>
          </w:tcPr>
          <w:p>
            <w:pPr>
              <w:ind w:left="1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CEF9CE"/>
          </w:tcPr>
          <w:p>
            <w:pPr>
              <w:jc w:val="right"/>
              <w:ind w:right="230"/>
              <w:spacing w:after="0"/>
              <w:rPr>
                <w:sz w:val="20"/>
                <w:szCs w:val="20"/>
                <w:color w:val="auto"/>
              </w:rPr>
            </w:pPr>
            <w:r>
              <w:rPr>
                <w:rFonts w:ascii="Arial" w:cs="Arial" w:eastAsia="Arial" w:hAnsi="Arial"/>
                <w:sz w:val="18"/>
                <w:szCs w:val="18"/>
                <w:color w:val="auto"/>
              </w:rPr>
              <w:t>174</w:t>
            </w:r>
          </w:p>
        </w:tc>
        <w:tc>
          <w:tcPr>
            <w:tcW w:w="46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2,307</w:t>
            </w:r>
          </w:p>
        </w:tc>
        <w:tc>
          <w:tcPr>
            <w:tcW w:w="82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EF9CE"/>
          </w:tcPr>
          <w:p>
            <w:pPr>
              <w:jc w:val="right"/>
              <w:ind w:right="2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3</w:t>
            </w:r>
          </w:p>
        </w:tc>
        <w:tc>
          <w:tcPr>
            <w:tcW w:w="9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175</w:t>
            </w:r>
          </w:p>
        </w:tc>
        <w:tc>
          <w:tcPr>
            <w:tcW w:w="600" w:type="dxa"/>
            <w:vAlign w:val="bottom"/>
            <w:gridSpan w:val="2"/>
            <w:shd w:val="clear" w:color="auto" w:fill="CEF9CE"/>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EF9CE"/>
          </w:tcPr>
          <w:p>
            <w:pPr>
              <w:jc w:val="right"/>
              <w:ind w:right="90"/>
              <w:spacing w:after="0"/>
              <w:rPr>
                <w:sz w:val="20"/>
                <w:szCs w:val="20"/>
                <w:color w:val="auto"/>
              </w:rPr>
            </w:pPr>
            <w:r>
              <w:rPr>
                <w:rFonts w:ascii="Arial" w:cs="Arial" w:eastAsia="Arial" w:hAnsi="Arial"/>
                <w:sz w:val="18"/>
                <w:szCs w:val="18"/>
                <w:color w:val="auto"/>
              </w:rPr>
              <w:t>2,310</w:t>
            </w:r>
          </w:p>
        </w:tc>
      </w:tr>
      <w:tr>
        <w:trPr>
          <w:trHeight w:val="237"/>
        </w:trPr>
        <w:tc>
          <w:tcPr>
            <w:tcW w:w="296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924</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82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130</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1,054</w:t>
            </w:r>
          </w:p>
        </w:tc>
      </w:tr>
      <w:tr>
        <w:trPr>
          <w:trHeight w:val="249"/>
        </w:trPr>
        <w:tc>
          <w:tcPr>
            <w:tcW w:w="2960" w:type="dxa"/>
            <w:vAlign w:val="bottom"/>
            <w:shd w:val="clear" w:color="auto" w:fill="CEF9CE"/>
          </w:tcPr>
          <w:p>
            <w:pPr>
              <w:ind w:left="120"/>
              <w:spacing w:after="0"/>
              <w:rPr>
                <w:sz w:val="20"/>
                <w:szCs w:val="20"/>
                <w:color w:val="auto"/>
              </w:rPr>
            </w:pPr>
            <w:r>
              <w:rPr>
                <w:rFonts w:ascii="Arial" w:cs="Arial" w:eastAsia="Arial" w:hAnsi="Arial"/>
                <w:sz w:val="18"/>
                <w:szCs w:val="18"/>
                <w:color w:val="auto"/>
              </w:rPr>
              <w:t>Electric generation plants</w:t>
            </w:r>
          </w:p>
        </w:tc>
        <w:tc>
          <w:tcPr>
            <w:tcW w:w="880" w:type="dxa"/>
            <w:vAlign w:val="bottom"/>
            <w:shd w:val="clear" w:color="auto" w:fill="CEF9CE"/>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EF9CE"/>
          </w:tcPr>
          <w:p>
            <w:pPr>
              <w:spacing w:after="0"/>
              <w:rPr>
                <w:sz w:val="21"/>
                <w:szCs w:val="21"/>
                <w:color w:val="auto"/>
              </w:rPr>
            </w:pPr>
          </w:p>
        </w:tc>
        <w:tc>
          <w:tcPr>
            <w:tcW w:w="76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170</w:t>
            </w:r>
          </w:p>
        </w:tc>
        <w:tc>
          <w:tcPr>
            <w:tcW w:w="820" w:type="dxa"/>
            <w:vAlign w:val="bottom"/>
            <w:shd w:val="clear" w:color="auto" w:fill="CEF9CE"/>
          </w:tcPr>
          <w:p>
            <w:pPr>
              <w:spacing w:after="0"/>
              <w:rPr>
                <w:sz w:val="21"/>
                <w:szCs w:val="21"/>
                <w:color w:val="auto"/>
              </w:rPr>
            </w:pPr>
          </w:p>
        </w:tc>
        <w:tc>
          <w:tcPr>
            <w:tcW w:w="6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61</w:t>
            </w:r>
          </w:p>
        </w:tc>
        <w:tc>
          <w:tcPr>
            <w:tcW w:w="9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EF9CE"/>
          </w:tcPr>
          <w:p>
            <w:pPr>
              <w:spacing w:after="0"/>
              <w:rPr>
                <w:sz w:val="21"/>
                <w:szCs w:val="21"/>
                <w:color w:val="auto"/>
              </w:rPr>
            </w:pPr>
          </w:p>
        </w:tc>
        <w:tc>
          <w:tcPr>
            <w:tcW w:w="460" w:type="dxa"/>
            <w:vAlign w:val="bottom"/>
            <w:shd w:val="clear" w:color="auto" w:fill="CEF9CE"/>
          </w:tcPr>
          <w:p>
            <w:pPr>
              <w:spacing w:after="0"/>
              <w:rPr>
                <w:sz w:val="21"/>
                <w:szCs w:val="21"/>
                <w:color w:val="auto"/>
              </w:rPr>
            </w:pPr>
          </w:p>
        </w:tc>
        <w:tc>
          <w:tcPr>
            <w:tcW w:w="720" w:type="dxa"/>
            <w:vAlign w:val="bottom"/>
            <w:shd w:val="clear" w:color="auto" w:fill="CEF9CE"/>
          </w:tcPr>
          <w:p>
            <w:pPr>
              <w:jc w:val="right"/>
              <w:ind w:right="90"/>
              <w:spacing w:after="0"/>
              <w:rPr>
                <w:sz w:val="20"/>
                <w:szCs w:val="20"/>
                <w:color w:val="auto"/>
              </w:rPr>
            </w:pPr>
            <w:r>
              <w:rPr>
                <w:rFonts w:ascii="Arial" w:cs="Arial" w:eastAsia="Arial" w:hAnsi="Arial"/>
                <w:sz w:val="18"/>
                <w:szCs w:val="18"/>
                <w:color w:val="auto"/>
              </w:rPr>
              <w:t>61</w:t>
            </w:r>
          </w:p>
        </w:tc>
      </w:tr>
      <w:tr>
        <w:trPr>
          <w:trHeight w:val="243"/>
        </w:trPr>
        <w:tc>
          <w:tcPr>
            <w:tcW w:w="2960" w:type="dxa"/>
            <w:vAlign w:val="bottom"/>
          </w:tcPr>
          <w:p>
            <w:pPr>
              <w:ind w:left="120"/>
              <w:spacing w:after="0"/>
              <w:rPr>
                <w:sz w:val="20"/>
                <w:szCs w:val="20"/>
                <w:color w:val="auto"/>
              </w:rPr>
            </w:pPr>
            <w:r>
              <w:rPr>
                <w:rFonts w:ascii="Arial" w:cs="Arial" w:eastAsia="Arial" w:hAnsi="Arial"/>
                <w:sz w:val="18"/>
                <w:szCs w:val="18"/>
                <w:color w:val="auto"/>
              </w:rPr>
              <w:t>Wholesale</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8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r>
      <w:tr>
        <w:trPr>
          <w:trHeight w:val="237"/>
        </w:trPr>
        <w:tc>
          <w:tcPr>
            <w:tcW w:w="2960" w:type="dxa"/>
            <w:vAlign w:val="bottom"/>
            <w:shd w:val="clear" w:color="auto" w:fill="CEF9CE"/>
          </w:tcPr>
          <w:p>
            <w:pPr>
              <w:spacing w:after="0"/>
              <w:rPr>
                <w:sz w:val="20"/>
                <w:szCs w:val="20"/>
                <w:color w:val="auto"/>
              </w:rPr>
            </w:pPr>
          </w:p>
        </w:tc>
        <w:tc>
          <w:tcPr>
            <w:tcW w:w="880" w:type="dxa"/>
            <w:vAlign w:val="bottom"/>
            <w:shd w:val="clear" w:color="auto" w:fill="CEF9CE"/>
          </w:tcPr>
          <w:p>
            <w:pPr>
              <w:jc w:val="right"/>
              <w:ind w:right="230"/>
              <w:spacing w:after="0"/>
              <w:rPr>
                <w:sz w:val="20"/>
                <w:szCs w:val="20"/>
                <w:color w:val="auto"/>
              </w:rPr>
            </w:pPr>
            <w:r>
              <w:rPr>
                <w:rFonts w:ascii="Arial" w:cs="Arial" w:eastAsia="Arial" w:hAnsi="Arial"/>
                <w:sz w:val="18"/>
                <w:szCs w:val="18"/>
                <w:color w:val="auto"/>
              </w:rPr>
              <w:t>251</w:t>
            </w:r>
          </w:p>
        </w:tc>
        <w:tc>
          <w:tcPr>
            <w:tcW w:w="46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3,231</w:t>
            </w:r>
          </w:p>
        </w:tc>
        <w:tc>
          <w:tcPr>
            <w:tcW w:w="82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484</w:t>
            </w:r>
          </w:p>
        </w:tc>
        <w:tc>
          <w:tcPr>
            <w:tcW w:w="820" w:type="dxa"/>
            <w:vAlign w:val="bottom"/>
            <w:shd w:val="clear" w:color="auto" w:fill="CEF9CE"/>
          </w:tcPr>
          <w:p>
            <w:pPr>
              <w:jc w:val="right"/>
              <w:ind w:right="2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210</w:t>
            </w:r>
          </w:p>
        </w:tc>
        <w:tc>
          <w:tcPr>
            <w:tcW w:w="9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EF9CE"/>
          </w:tcPr>
          <w:p>
            <w:pPr>
              <w:spacing w:after="0"/>
              <w:rPr>
                <w:sz w:val="20"/>
                <w:szCs w:val="20"/>
                <w:color w:val="auto"/>
              </w:rPr>
            </w:pPr>
          </w:p>
        </w:tc>
        <w:tc>
          <w:tcPr>
            <w:tcW w:w="460" w:type="dxa"/>
            <w:vAlign w:val="bottom"/>
            <w:shd w:val="clear" w:color="auto" w:fill="CEF9CE"/>
          </w:tcPr>
          <w:p>
            <w:pPr>
              <w:spacing w:after="0"/>
              <w:rPr>
                <w:sz w:val="20"/>
                <w:szCs w:val="20"/>
                <w:color w:val="auto"/>
              </w:rPr>
            </w:pPr>
          </w:p>
        </w:tc>
        <w:tc>
          <w:tcPr>
            <w:tcW w:w="720" w:type="dxa"/>
            <w:vAlign w:val="bottom"/>
            <w:shd w:val="clear" w:color="auto" w:fill="CEF9CE"/>
          </w:tcPr>
          <w:p>
            <w:pPr>
              <w:jc w:val="right"/>
              <w:ind w:right="90"/>
              <w:spacing w:after="0"/>
              <w:rPr>
                <w:sz w:val="20"/>
                <w:szCs w:val="20"/>
                <w:color w:val="auto"/>
              </w:rPr>
            </w:pPr>
            <w:r>
              <w:rPr>
                <w:rFonts w:ascii="Arial" w:cs="Arial" w:eastAsia="Arial" w:hAnsi="Arial"/>
                <w:sz w:val="18"/>
                <w:szCs w:val="18"/>
                <w:color w:val="auto"/>
              </w:rPr>
              <w:t>3,441</w:t>
            </w:r>
          </w:p>
        </w:tc>
      </w:tr>
      <w:tr>
        <w:trPr>
          <w:trHeight w:val="243"/>
        </w:trPr>
        <w:tc>
          <w:tcPr>
            <w:tcW w:w="2960" w:type="dxa"/>
            <w:vAlign w:val="bottom"/>
          </w:tcPr>
          <w:p>
            <w:pPr>
              <w:ind w:left="140"/>
              <w:spacing w:after="0"/>
              <w:rPr>
                <w:sz w:val="20"/>
                <w:szCs w:val="20"/>
                <w:color w:val="auto"/>
              </w:rPr>
            </w:pPr>
            <w:r>
              <w:rPr>
                <w:rFonts w:ascii="Arial" w:cs="Arial" w:eastAsia="Arial" w:hAnsi="Arial"/>
                <w:sz w:val="18"/>
                <w:szCs w:val="18"/>
                <w:color w:val="auto"/>
              </w:rPr>
              <w:t>Balancing accounts and other</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335</w:t>
            </w:r>
          </w:p>
        </w:tc>
      </w:tr>
      <w:tr>
        <w:trPr>
          <w:trHeight w:val="257"/>
        </w:trPr>
        <w:tc>
          <w:tcPr>
            <w:tcW w:w="2960" w:type="dxa"/>
            <w:vAlign w:val="bottom"/>
            <w:tcBorders>
              <w:bottom w:val="single" w:sz="8" w:color="auto"/>
            </w:tcBorders>
            <w:shd w:val="clear" w:color="auto" w:fill="CEF9CE"/>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EF9CE"/>
          </w:tcPr>
          <w:p>
            <w:pPr>
              <w:spacing w:after="0"/>
              <w:rPr>
                <w:sz w:val="22"/>
                <w:szCs w:val="22"/>
                <w:color w:val="auto"/>
              </w:rPr>
            </w:pPr>
          </w:p>
        </w:tc>
        <w:tc>
          <w:tcPr>
            <w:tcW w:w="460" w:type="dxa"/>
            <w:vAlign w:val="bottom"/>
            <w:tcBorders>
              <w:bottom w:val="single" w:sz="8" w:color="auto"/>
            </w:tcBorders>
            <w:shd w:val="clear" w:color="auto" w:fill="CEF9CE"/>
          </w:tcPr>
          <w:p>
            <w:pPr>
              <w:spacing w:after="0"/>
              <w:rPr>
                <w:sz w:val="22"/>
                <w:szCs w:val="22"/>
                <w:color w:val="auto"/>
              </w:rPr>
            </w:pPr>
          </w:p>
        </w:tc>
        <w:tc>
          <w:tcPr>
            <w:tcW w:w="760" w:type="dxa"/>
            <w:vAlign w:val="bottom"/>
            <w:tcBorders>
              <w:bottom w:val="single" w:sz="8" w:color="auto"/>
            </w:tcBorders>
            <w:shd w:val="clear" w:color="auto" w:fill="CEF9CE"/>
          </w:tcPr>
          <w:p>
            <w:pPr>
              <w:spacing w:after="0"/>
              <w:rPr>
                <w:sz w:val="22"/>
                <w:szCs w:val="22"/>
                <w:color w:val="auto"/>
              </w:rPr>
            </w:pPr>
          </w:p>
        </w:tc>
        <w:tc>
          <w:tcPr>
            <w:tcW w:w="820" w:type="dxa"/>
            <w:vAlign w:val="bottom"/>
            <w:tcBorders>
              <w:bottom w:val="single" w:sz="8" w:color="auto"/>
            </w:tcBorders>
            <w:shd w:val="clear" w:color="auto" w:fill="CEF9CE"/>
          </w:tcPr>
          <w:p>
            <w:pPr>
              <w:spacing w:after="0"/>
              <w:rPr>
                <w:sz w:val="22"/>
                <w:szCs w:val="22"/>
                <w:color w:val="auto"/>
              </w:rPr>
            </w:pPr>
          </w:p>
        </w:tc>
        <w:tc>
          <w:tcPr>
            <w:tcW w:w="820" w:type="dxa"/>
            <w:vAlign w:val="bottom"/>
            <w:tcBorders>
              <w:bottom w:val="single" w:sz="8" w:color="auto"/>
            </w:tcBorders>
            <w:shd w:val="clear" w:color="auto" w:fill="CEF9CE"/>
          </w:tcPr>
          <w:p>
            <w:pPr>
              <w:spacing w:after="0"/>
              <w:rPr>
                <w:sz w:val="22"/>
                <w:szCs w:val="22"/>
                <w:color w:val="auto"/>
              </w:rPr>
            </w:pPr>
          </w:p>
        </w:tc>
        <w:tc>
          <w:tcPr>
            <w:tcW w:w="600" w:type="dxa"/>
            <w:vAlign w:val="bottom"/>
            <w:tcBorders>
              <w:bottom w:val="single" w:sz="8" w:color="auto"/>
            </w:tcBorders>
            <w:shd w:val="clear" w:color="auto" w:fill="CEF9CE"/>
          </w:tcPr>
          <w:p>
            <w:pPr>
              <w:spacing w:after="0"/>
              <w:rPr>
                <w:sz w:val="22"/>
                <w:szCs w:val="22"/>
                <w:color w:val="auto"/>
              </w:rPr>
            </w:pPr>
          </w:p>
        </w:tc>
        <w:tc>
          <w:tcPr>
            <w:tcW w:w="900" w:type="dxa"/>
            <w:vAlign w:val="bottom"/>
            <w:tcBorders>
              <w:bottom w:val="single" w:sz="8" w:color="auto"/>
            </w:tcBorders>
            <w:shd w:val="clear" w:color="auto" w:fill="CEF9CE"/>
          </w:tcPr>
          <w:p>
            <w:pPr>
              <w:spacing w:after="0"/>
              <w:rPr>
                <w:sz w:val="22"/>
                <w:szCs w:val="22"/>
                <w:color w:val="auto"/>
              </w:rPr>
            </w:pPr>
          </w:p>
        </w:tc>
        <w:tc>
          <w:tcPr>
            <w:tcW w:w="600" w:type="dxa"/>
            <w:vAlign w:val="bottom"/>
            <w:tcBorders>
              <w:bottom w:val="single" w:sz="8" w:color="auto"/>
            </w:tcBorders>
            <w:gridSpan w:val="2"/>
            <w:shd w:val="clear" w:color="auto" w:fill="CEF9CE"/>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EF9CE"/>
          </w:tcPr>
          <w:p>
            <w:pPr>
              <w:jc w:val="right"/>
              <w:ind w:right="90"/>
              <w:spacing w:after="0"/>
              <w:rPr>
                <w:sz w:val="20"/>
                <w:szCs w:val="20"/>
                <w:color w:val="auto"/>
              </w:rPr>
            </w:pPr>
            <w:r>
              <w:rPr>
                <w:rFonts w:ascii="Arial" w:cs="Arial" w:eastAsia="Arial" w:hAnsi="Arial"/>
                <w:sz w:val="18"/>
                <w:szCs w:val="18"/>
                <w:color w:val="auto"/>
              </w:rPr>
              <w:t>3,776</w:t>
            </w: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2007:</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9"/>
        </w:trPr>
        <w:tc>
          <w:tcPr>
            <w:tcW w:w="2960" w:type="dxa"/>
            <w:vAlign w:val="bottom"/>
            <w:shd w:val="clear" w:color="auto" w:fill="CEF9CE"/>
          </w:tcPr>
          <w:p>
            <w:pPr>
              <w:ind w:left="1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CEF9CE"/>
          </w:tcPr>
          <w:p>
            <w:pPr>
              <w:jc w:val="right"/>
              <w:ind w:right="230"/>
              <w:spacing w:after="0"/>
              <w:rPr>
                <w:sz w:val="20"/>
                <w:szCs w:val="20"/>
                <w:color w:val="auto"/>
              </w:rPr>
            </w:pPr>
            <w:r>
              <w:rPr>
                <w:rFonts w:ascii="Arial" w:cs="Arial" w:eastAsia="Arial" w:hAnsi="Arial"/>
                <w:sz w:val="18"/>
                <w:szCs w:val="18"/>
                <w:color w:val="auto"/>
              </w:rPr>
              <w:t>173</w:t>
            </w:r>
          </w:p>
        </w:tc>
        <w:tc>
          <w:tcPr>
            <w:tcW w:w="46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1,915</w:t>
            </w:r>
          </w:p>
        </w:tc>
        <w:tc>
          <w:tcPr>
            <w:tcW w:w="82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EF9CE"/>
          </w:tcPr>
          <w:p>
            <w:pPr>
              <w:jc w:val="right"/>
              <w:ind w:right="2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3</w:t>
            </w:r>
          </w:p>
        </w:tc>
        <w:tc>
          <w:tcPr>
            <w:tcW w:w="9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174</w:t>
            </w:r>
          </w:p>
        </w:tc>
        <w:tc>
          <w:tcPr>
            <w:tcW w:w="600" w:type="dxa"/>
            <w:vAlign w:val="bottom"/>
            <w:gridSpan w:val="2"/>
            <w:shd w:val="clear" w:color="auto" w:fill="CEF9CE"/>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EF9CE"/>
          </w:tcPr>
          <w:p>
            <w:pPr>
              <w:jc w:val="right"/>
              <w:ind w:right="90"/>
              <w:spacing w:after="0"/>
              <w:rPr>
                <w:sz w:val="20"/>
                <w:szCs w:val="20"/>
                <w:color w:val="auto"/>
              </w:rPr>
            </w:pPr>
            <w:r>
              <w:rPr>
                <w:rFonts w:ascii="Arial" w:cs="Arial" w:eastAsia="Arial" w:hAnsi="Arial"/>
                <w:sz w:val="18"/>
                <w:szCs w:val="18"/>
                <w:color w:val="auto"/>
              </w:rPr>
              <w:t>1,918</w:t>
            </w:r>
          </w:p>
        </w:tc>
      </w:tr>
      <w:tr>
        <w:trPr>
          <w:trHeight w:val="237"/>
        </w:trPr>
        <w:tc>
          <w:tcPr>
            <w:tcW w:w="296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729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82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879</w:t>
            </w:r>
          </w:p>
        </w:tc>
      </w:tr>
      <w:tr>
        <w:trPr>
          <w:trHeight w:val="249"/>
        </w:trPr>
        <w:tc>
          <w:tcPr>
            <w:tcW w:w="2960" w:type="dxa"/>
            <w:vAlign w:val="bottom"/>
            <w:shd w:val="clear" w:color="auto" w:fill="CEF9CE"/>
          </w:tcPr>
          <w:p>
            <w:pPr>
              <w:ind w:left="120"/>
              <w:spacing w:after="0"/>
              <w:rPr>
                <w:sz w:val="20"/>
                <w:szCs w:val="20"/>
                <w:color w:val="auto"/>
              </w:rPr>
            </w:pPr>
            <w:r>
              <w:rPr>
                <w:rFonts w:ascii="Arial" w:cs="Arial" w:eastAsia="Arial" w:hAnsi="Arial"/>
                <w:sz w:val="18"/>
                <w:szCs w:val="18"/>
                <w:color w:val="auto"/>
              </w:rPr>
              <w:t>Electric generation plants</w:t>
            </w:r>
          </w:p>
        </w:tc>
        <w:tc>
          <w:tcPr>
            <w:tcW w:w="880" w:type="dxa"/>
            <w:vAlign w:val="bottom"/>
            <w:shd w:val="clear" w:color="auto" w:fill="CEF9CE"/>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EF9CE"/>
          </w:tcPr>
          <w:p>
            <w:pPr>
              <w:spacing w:after="0"/>
              <w:rPr>
                <w:sz w:val="21"/>
                <w:szCs w:val="21"/>
                <w:color w:val="auto"/>
              </w:rPr>
            </w:pPr>
          </w:p>
        </w:tc>
        <w:tc>
          <w:tcPr>
            <w:tcW w:w="76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158</w:t>
            </w:r>
          </w:p>
        </w:tc>
        <w:tc>
          <w:tcPr>
            <w:tcW w:w="820" w:type="dxa"/>
            <w:vAlign w:val="bottom"/>
            <w:shd w:val="clear" w:color="auto" w:fill="CEF9CE"/>
          </w:tcPr>
          <w:p>
            <w:pPr>
              <w:spacing w:after="0"/>
              <w:rPr>
                <w:sz w:val="21"/>
                <w:szCs w:val="21"/>
                <w:color w:val="auto"/>
              </w:rPr>
            </w:pPr>
          </w:p>
        </w:tc>
        <w:tc>
          <w:tcPr>
            <w:tcW w:w="6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56</w:t>
            </w:r>
          </w:p>
        </w:tc>
        <w:tc>
          <w:tcPr>
            <w:tcW w:w="9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EF9CE"/>
          </w:tcPr>
          <w:p>
            <w:pPr>
              <w:spacing w:after="0"/>
              <w:rPr>
                <w:sz w:val="21"/>
                <w:szCs w:val="21"/>
                <w:color w:val="auto"/>
              </w:rPr>
            </w:pPr>
          </w:p>
        </w:tc>
        <w:tc>
          <w:tcPr>
            <w:tcW w:w="460" w:type="dxa"/>
            <w:vAlign w:val="bottom"/>
            <w:shd w:val="clear" w:color="auto" w:fill="CEF9CE"/>
          </w:tcPr>
          <w:p>
            <w:pPr>
              <w:spacing w:after="0"/>
              <w:rPr>
                <w:sz w:val="21"/>
                <w:szCs w:val="21"/>
                <w:color w:val="auto"/>
              </w:rPr>
            </w:pPr>
          </w:p>
        </w:tc>
        <w:tc>
          <w:tcPr>
            <w:tcW w:w="720" w:type="dxa"/>
            <w:vAlign w:val="bottom"/>
            <w:shd w:val="clear" w:color="auto" w:fill="CEF9CE"/>
          </w:tcPr>
          <w:p>
            <w:pPr>
              <w:jc w:val="right"/>
              <w:ind w:right="90"/>
              <w:spacing w:after="0"/>
              <w:rPr>
                <w:sz w:val="20"/>
                <w:szCs w:val="20"/>
                <w:color w:val="auto"/>
              </w:rPr>
            </w:pPr>
            <w:r>
              <w:rPr>
                <w:rFonts w:ascii="Arial" w:cs="Arial" w:eastAsia="Arial" w:hAnsi="Arial"/>
                <w:sz w:val="18"/>
                <w:szCs w:val="18"/>
                <w:color w:val="auto"/>
              </w:rPr>
              <w:t>56</w:t>
            </w:r>
          </w:p>
        </w:tc>
      </w:tr>
      <w:tr>
        <w:trPr>
          <w:trHeight w:val="243"/>
        </w:trPr>
        <w:tc>
          <w:tcPr>
            <w:tcW w:w="2960" w:type="dxa"/>
            <w:vAlign w:val="bottom"/>
          </w:tcPr>
          <w:p>
            <w:pPr>
              <w:ind w:left="120"/>
              <w:spacing w:after="0"/>
              <w:rPr>
                <w:sz w:val="20"/>
                <w:szCs w:val="20"/>
                <w:color w:val="auto"/>
              </w:rPr>
            </w:pPr>
            <w:r>
              <w:rPr>
                <w:rFonts w:ascii="Arial" w:cs="Arial" w:eastAsia="Arial" w:hAnsi="Arial"/>
                <w:sz w:val="18"/>
                <w:szCs w:val="18"/>
                <w:color w:val="auto"/>
              </w:rPr>
              <w:t>Wholesale</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c>
          <w:tcPr>
            <w:tcW w:w="8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r>
      <w:tr>
        <w:trPr>
          <w:trHeight w:val="237"/>
        </w:trPr>
        <w:tc>
          <w:tcPr>
            <w:tcW w:w="2960" w:type="dxa"/>
            <w:vAlign w:val="bottom"/>
            <w:shd w:val="clear" w:color="auto" w:fill="CEF9CE"/>
          </w:tcPr>
          <w:p>
            <w:pPr>
              <w:spacing w:after="0"/>
              <w:rPr>
                <w:sz w:val="20"/>
                <w:szCs w:val="20"/>
                <w:color w:val="auto"/>
              </w:rPr>
            </w:pPr>
          </w:p>
        </w:tc>
        <w:tc>
          <w:tcPr>
            <w:tcW w:w="880" w:type="dxa"/>
            <w:vAlign w:val="bottom"/>
            <w:shd w:val="clear" w:color="auto" w:fill="CEF9CE"/>
          </w:tcPr>
          <w:p>
            <w:pPr>
              <w:jc w:val="right"/>
              <w:ind w:right="230"/>
              <w:spacing w:after="0"/>
              <w:rPr>
                <w:sz w:val="20"/>
                <w:szCs w:val="20"/>
                <w:color w:val="auto"/>
              </w:rPr>
            </w:pPr>
            <w:r>
              <w:rPr>
                <w:rFonts w:ascii="Arial" w:cs="Arial" w:eastAsia="Arial" w:hAnsi="Arial"/>
                <w:sz w:val="18"/>
                <w:szCs w:val="18"/>
                <w:color w:val="auto"/>
              </w:rPr>
              <w:t>252</w:t>
            </w:r>
          </w:p>
        </w:tc>
        <w:tc>
          <w:tcPr>
            <w:tcW w:w="460" w:type="dxa"/>
            <w:vAlign w:val="bottom"/>
            <w:shd w:val="clear" w:color="auto" w:fill="CEF9CE"/>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2,644</w:t>
            </w:r>
          </w:p>
        </w:tc>
        <w:tc>
          <w:tcPr>
            <w:tcW w:w="820" w:type="dxa"/>
            <w:vAlign w:val="bottom"/>
            <w:shd w:val="clear" w:color="auto" w:fill="CEF9CE"/>
          </w:tcPr>
          <w:p>
            <w:pPr>
              <w:jc w:val="right"/>
              <w:ind w:right="30"/>
              <w:spacing w:after="0"/>
              <w:rPr>
                <w:sz w:val="20"/>
                <w:szCs w:val="20"/>
                <w:color w:val="auto"/>
              </w:rPr>
            </w:pPr>
            <w:r>
              <w:rPr>
                <w:rFonts w:ascii="Arial" w:cs="Arial" w:eastAsia="Arial" w:hAnsi="Arial"/>
                <w:sz w:val="18"/>
                <w:szCs w:val="18"/>
                <w:color w:val="auto"/>
              </w:rPr>
              <w:t>462</w:t>
            </w:r>
          </w:p>
        </w:tc>
        <w:tc>
          <w:tcPr>
            <w:tcW w:w="820" w:type="dxa"/>
            <w:vAlign w:val="bottom"/>
            <w:shd w:val="clear" w:color="auto" w:fill="CEF9CE"/>
          </w:tcPr>
          <w:p>
            <w:pPr>
              <w:jc w:val="right"/>
              <w:ind w:right="2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251</w:t>
            </w:r>
          </w:p>
        </w:tc>
        <w:tc>
          <w:tcPr>
            <w:tcW w:w="900" w:type="dxa"/>
            <w:vAlign w:val="bottom"/>
            <w:shd w:val="clear" w:color="auto" w:fill="CEF9CE"/>
          </w:tcPr>
          <w:p>
            <w:pPr>
              <w:jc w:val="right"/>
              <w:ind w:right="110"/>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EF9CE"/>
          </w:tcPr>
          <w:p>
            <w:pPr>
              <w:spacing w:after="0"/>
              <w:rPr>
                <w:sz w:val="20"/>
                <w:szCs w:val="20"/>
                <w:color w:val="auto"/>
              </w:rPr>
            </w:pPr>
          </w:p>
        </w:tc>
        <w:tc>
          <w:tcPr>
            <w:tcW w:w="460" w:type="dxa"/>
            <w:vAlign w:val="bottom"/>
            <w:shd w:val="clear" w:color="auto" w:fill="CEF9CE"/>
          </w:tcPr>
          <w:p>
            <w:pPr>
              <w:spacing w:after="0"/>
              <w:rPr>
                <w:sz w:val="20"/>
                <w:szCs w:val="20"/>
                <w:color w:val="auto"/>
              </w:rPr>
            </w:pPr>
          </w:p>
        </w:tc>
        <w:tc>
          <w:tcPr>
            <w:tcW w:w="720" w:type="dxa"/>
            <w:vAlign w:val="bottom"/>
            <w:shd w:val="clear" w:color="auto" w:fill="CEF9CE"/>
          </w:tcPr>
          <w:p>
            <w:pPr>
              <w:jc w:val="right"/>
              <w:ind w:right="90"/>
              <w:spacing w:after="0"/>
              <w:rPr>
                <w:sz w:val="20"/>
                <w:szCs w:val="20"/>
                <w:color w:val="auto"/>
              </w:rPr>
            </w:pPr>
            <w:r>
              <w:rPr>
                <w:rFonts w:ascii="Arial" w:cs="Arial" w:eastAsia="Arial" w:hAnsi="Arial"/>
                <w:sz w:val="18"/>
                <w:szCs w:val="18"/>
                <w:color w:val="auto"/>
              </w:rPr>
              <w:t>2,895</w:t>
            </w:r>
          </w:p>
        </w:tc>
      </w:tr>
      <w:tr>
        <w:trPr>
          <w:trHeight w:val="243"/>
        </w:trPr>
        <w:tc>
          <w:tcPr>
            <w:tcW w:w="2960" w:type="dxa"/>
            <w:vAlign w:val="bottom"/>
          </w:tcPr>
          <w:p>
            <w:pPr>
              <w:ind w:left="140"/>
              <w:spacing w:after="0"/>
              <w:rPr>
                <w:sz w:val="20"/>
                <w:szCs w:val="20"/>
                <w:color w:val="auto"/>
              </w:rPr>
            </w:pPr>
            <w:r>
              <w:rPr>
                <w:rFonts w:ascii="Arial" w:cs="Arial" w:eastAsia="Arial" w:hAnsi="Arial"/>
                <w:sz w:val="18"/>
                <w:szCs w:val="18"/>
                <w:color w:val="auto"/>
              </w:rPr>
              <w:t>Balancing accounts and other</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273</w:t>
            </w:r>
          </w:p>
        </w:tc>
      </w:tr>
      <w:tr>
        <w:trPr>
          <w:trHeight w:val="257"/>
        </w:trPr>
        <w:tc>
          <w:tcPr>
            <w:tcW w:w="2960" w:type="dxa"/>
            <w:vAlign w:val="bottom"/>
            <w:tcBorders>
              <w:bottom w:val="single" w:sz="8" w:color="auto"/>
            </w:tcBorders>
            <w:shd w:val="clear" w:color="auto" w:fill="CEF9CE"/>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EF9CE"/>
          </w:tcPr>
          <w:p>
            <w:pPr>
              <w:spacing w:after="0"/>
              <w:rPr>
                <w:sz w:val="22"/>
                <w:szCs w:val="22"/>
                <w:color w:val="auto"/>
              </w:rPr>
            </w:pPr>
          </w:p>
        </w:tc>
        <w:tc>
          <w:tcPr>
            <w:tcW w:w="460" w:type="dxa"/>
            <w:vAlign w:val="bottom"/>
            <w:tcBorders>
              <w:bottom w:val="single" w:sz="8" w:color="auto"/>
            </w:tcBorders>
            <w:shd w:val="clear" w:color="auto" w:fill="CEF9CE"/>
          </w:tcPr>
          <w:p>
            <w:pPr>
              <w:spacing w:after="0"/>
              <w:rPr>
                <w:sz w:val="22"/>
                <w:szCs w:val="22"/>
                <w:color w:val="auto"/>
              </w:rPr>
            </w:pPr>
          </w:p>
        </w:tc>
        <w:tc>
          <w:tcPr>
            <w:tcW w:w="760" w:type="dxa"/>
            <w:vAlign w:val="bottom"/>
            <w:tcBorders>
              <w:bottom w:val="single" w:sz="8" w:color="auto"/>
            </w:tcBorders>
            <w:shd w:val="clear" w:color="auto" w:fill="CEF9CE"/>
          </w:tcPr>
          <w:p>
            <w:pPr>
              <w:spacing w:after="0"/>
              <w:rPr>
                <w:sz w:val="22"/>
                <w:szCs w:val="22"/>
                <w:color w:val="auto"/>
              </w:rPr>
            </w:pPr>
          </w:p>
        </w:tc>
        <w:tc>
          <w:tcPr>
            <w:tcW w:w="820" w:type="dxa"/>
            <w:vAlign w:val="bottom"/>
            <w:tcBorders>
              <w:bottom w:val="single" w:sz="8" w:color="auto"/>
            </w:tcBorders>
            <w:shd w:val="clear" w:color="auto" w:fill="CEF9CE"/>
          </w:tcPr>
          <w:p>
            <w:pPr>
              <w:spacing w:after="0"/>
              <w:rPr>
                <w:sz w:val="22"/>
                <w:szCs w:val="22"/>
                <w:color w:val="auto"/>
              </w:rPr>
            </w:pPr>
          </w:p>
        </w:tc>
        <w:tc>
          <w:tcPr>
            <w:tcW w:w="820" w:type="dxa"/>
            <w:vAlign w:val="bottom"/>
            <w:tcBorders>
              <w:bottom w:val="single" w:sz="8" w:color="auto"/>
            </w:tcBorders>
            <w:shd w:val="clear" w:color="auto" w:fill="CEF9CE"/>
          </w:tcPr>
          <w:p>
            <w:pPr>
              <w:spacing w:after="0"/>
              <w:rPr>
                <w:sz w:val="22"/>
                <w:szCs w:val="22"/>
                <w:color w:val="auto"/>
              </w:rPr>
            </w:pPr>
          </w:p>
        </w:tc>
        <w:tc>
          <w:tcPr>
            <w:tcW w:w="600" w:type="dxa"/>
            <w:vAlign w:val="bottom"/>
            <w:tcBorders>
              <w:bottom w:val="single" w:sz="8" w:color="auto"/>
            </w:tcBorders>
            <w:shd w:val="clear" w:color="auto" w:fill="CEF9CE"/>
          </w:tcPr>
          <w:p>
            <w:pPr>
              <w:spacing w:after="0"/>
              <w:rPr>
                <w:sz w:val="22"/>
                <w:szCs w:val="22"/>
                <w:color w:val="auto"/>
              </w:rPr>
            </w:pPr>
          </w:p>
        </w:tc>
        <w:tc>
          <w:tcPr>
            <w:tcW w:w="900" w:type="dxa"/>
            <w:vAlign w:val="bottom"/>
            <w:tcBorders>
              <w:bottom w:val="single" w:sz="8" w:color="auto"/>
            </w:tcBorders>
            <w:shd w:val="clear" w:color="auto" w:fill="CEF9CE"/>
          </w:tcPr>
          <w:p>
            <w:pPr>
              <w:spacing w:after="0"/>
              <w:rPr>
                <w:sz w:val="22"/>
                <w:szCs w:val="22"/>
                <w:color w:val="auto"/>
              </w:rPr>
            </w:pPr>
          </w:p>
        </w:tc>
        <w:tc>
          <w:tcPr>
            <w:tcW w:w="600" w:type="dxa"/>
            <w:vAlign w:val="bottom"/>
            <w:tcBorders>
              <w:bottom w:val="single" w:sz="8" w:color="auto"/>
            </w:tcBorders>
            <w:gridSpan w:val="2"/>
            <w:shd w:val="clear" w:color="auto" w:fill="CEF9CE"/>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EF9CE"/>
          </w:tcPr>
          <w:p>
            <w:pPr>
              <w:jc w:val="right"/>
              <w:ind w:right="90"/>
              <w:spacing w:after="0"/>
              <w:rPr>
                <w:sz w:val="20"/>
                <w:szCs w:val="20"/>
                <w:color w:val="auto"/>
              </w:rPr>
            </w:pPr>
            <w:r>
              <w:rPr>
                <w:rFonts w:ascii="Arial" w:cs="Arial" w:eastAsia="Arial" w:hAnsi="Arial"/>
                <w:sz w:val="18"/>
                <w:szCs w:val="18"/>
                <w:color w:val="auto"/>
              </w:rPr>
              <w:t>3,168</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1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Income tax expense was $119 million and $128 million ($117 million and $122 million for SoCalGas) for the nine months ended September 30, 2008 and 2007, respectively, and the effective income tax rates for the company were 38 percent and 42 percent (38 percent and 41 percent at SoCalGas), respectively. Income tax expense was $42 million and $46 million ($41 million and $44 million for SoCalGas) for the three months ended September 30, 2008 and 2007, respectively, and the effective income tax rates for the company were 34 percent and 41 percent (35 percent and 41 percent at SoCalGas), respectively.</w:t>
      </w:r>
    </w:p>
    <w:p>
      <w:pPr>
        <w:spacing w:after="0" w:line="165" w:lineRule="exact"/>
        <w:rPr>
          <w:sz w:val="20"/>
          <w:szCs w:val="20"/>
          <w:color w:val="auto"/>
        </w:rPr>
      </w:pPr>
    </w:p>
    <w:p>
      <w:pPr>
        <w:ind w:right="300"/>
        <w:spacing w:after="0" w:line="386" w:lineRule="auto"/>
        <w:rPr>
          <w:sz w:val="20"/>
          <w:szCs w:val="20"/>
          <w:color w:val="auto"/>
        </w:rPr>
      </w:pPr>
      <w:r>
        <w:rPr>
          <w:rFonts w:ascii="Arial" w:cs="Arial" w:eastAsia="Arial" w:hAnsi="Arial"/>
          <w:sz w:val="16"/>
          <w:szCs w:val="16"/>
          <w:color w:val="auto"/>
        </w:rPr>
        <w:t>The decrease in income tax expense for the three months and nine months ended September 30, 2008 was due primarily to larger permanent tax deductions allowed for regulatory purposes and higher favorable resolution of prior years' income tax issues in 2008.</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216"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Net income for SoCalGas increased by $18 million (10%) in the nine months ended September 30, 2008 to $191 million and by $14 million (22%) in the three months ended September 30, 2008 to $77 million. The increase in the nine months was primarily attributable to $11 million in higher authorized margin in 2008, net of higher operating expenses, associated with CPUC-regulated operations, $6 million in higher regulatory awards ($7 million in 2008 compared to $1 million in 2007) and $5 million as a result of a lower effective tax rate (excluding the effect of the resolution of prior years' income tax matters), offset by $12 million lower earnings from non-core natural gas storage in accordance with the Omnibus Gas Settlements, as discussed in Note 5 of the Notes to Condensed Consolidated Financial Statements herein and Note 9 of the Notes to Consolidated Financial Statements in the Annual Report. In addition to these factors, the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740"/>
          </w:cols>
          <w:pgMar w:left="240" w:top="555" w:right="919" w:bottom="1440" w:gutter="0" w:footer="0" w:header="0"/>
        </w:sectPr>
      </w:pPr>
    </w:p>
    <w:bookmarkStart w:id="22" w:name="page23"/>
    <w:bookmarkEnd w:id="22"/>
    <w:p>
      <w:pPr>
        <w:ind w:right="40"/>
        <w:spacing w:after="0" w:line="291" w:lineRule="auto"/>
        <w:rPr>
          <w:sz w:val="20"/>
          <w:szCs w:val="20"/>
          <w:color w:val="auto"/>
        </w:rPr>
      </w:pPr>
      <w:r>
        <w:rPr>
          <w:rFonts w:ascii="Arial" w:cs="Arial" w:eastAsia="Arial" w:hAnsi="Arial"/>
          <w:sz w:val="18"/>
          <w:szCs w:val="18"/>
          <w:color w:val="auto"/>
        </w:rPr>
        <w:t>comparative nine-month results were favorably impacted by $7 million from the favorable resolution of a regulatory matter in 2008 and $5 million from the higher favorable resolution of prior years' income tax issues ($4 million favorable in 2008 compared to $1 million unfavorable in 2007), partially offset by $5 million higher expense in 2008 for potential uncollectible customer receivables.</w:t>
      </w:r>
    </w:p>
    <w:p>
      <w:pPr>
        <w:spacing w:after="0" w:line="15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increase in the three months ended September 30, 2008 included a benefit of $3 million as a result of a lower effective income tax rate (excluding the effect of the resolution of prior years' income tax issues), offset by $4 million in lower earnings from non-core natural gas storage. In addition to these factors, the three-month comparative net income was favorably impacted by $7 million from the favorable resolution of a regulatory matter in 2008, $7 million retroactive impact of the 2008 GRC decision for January 1 through June 30, 2008, and a $5 million increase from the favorable resolution of prior years' income tax issues ($4 million favorable in 2008 compared to $1 million unfavorable in 2007), partially offset by $4 million higher expense in 2008 associated with potential uncollectible customer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222" w:lineRule="exact"/>
        <w:rPr>
          <w:sz w:val="20"/>
          <w:szCs w:val="20"/>
          <w:color w:val="auto"/>
        </w:rPr>
      </w:pPr>
    </w:p>
    <w:p>
      <w:pPr>
        <w:ind w:right="760"/>
        <w:spacing w:after="0" w:line="316" w:lineRule="auto"/>
        <w:rPr>
          <w:sz w:val="20"/>
          <w:szCs w:val="20"/>
          <w:color w:val="auto"/>
        </w:rPr>
      </w:pPr>
      <w:r>
        <w:rPr>
          <w:rFonts w:ascii="Arial" w:cs="Arial" w:eastAsia="Arial" w:hAnsi="Arial"/>
          <w:sz w:val="18"/>
          <w:szCs w:val="18"/>
          <w:color w:val="auto"/>
        </w:rPr>
        <w:t>SoCalGas’ utility operations generally are the major source of liquidity. In addition, cash requirements may be met through the issuance of short-term and long-term debt. Cash requirements primarily consist of capital expenditures for utility plant.</w:t>
      </w:r>
    </w:p>
    <w:p>
      <w:pPr>
        <w:spacing w:after="0" w:line="130" w:lineRule="exact"/>
        <w:rPr>
          <w:sz w:val="20"/>
          <w:szCs w:val="20"/>
          <w:color w:val="auto"/>
        </w:rPr>
      </w:pPr>
    </w:p>
    <w:p>
      <w:pPr>
        <w:ind w:right="240"/>
        <w:spacing w:after="0" w:line="291" w:lineRule="auto"/>
        <w:rPr>
          <w:sz w:val="20"/>
          <w:szCs w:val="20"/>
          <w:color w:val="auto"/>
        </w:rPr>
      </w:pPr>
      <w:r>
        <w:rPr>
          <w:rFonts w:ascii="Arial" w:cs="Arial" w:eastAsia="Arial" w:hAnsi="Arial"/>
          <w:sz w:val="18"/>
          <w:szCs w:val="18"/>
          <w:color w:val="auto"/>
        </w:rPr>
        <w:t>At September 30, 2008, the company had $38 million in unrestricted cash and cash equivalents, and $504 million in available unused credit on its committed line at SoCalGas, which is shared with SDG&amp;E and is discussed more fully in Note 3 of the Notes to Condensed Consolidated Financial Statements herein. The line expires in August 2011 and is syndicated with 17 different banks.</w:t>
      </w:r>
    </w:p>
    <w:p>
      <w:pPr>
        <w:spacing w:after="0" w:line="152"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The recent global credit crisis has severely affected the availability and cost of both short-term and long-term financing. If cash flows from operations were to be significantly reduced or the company were to be unable to borrow under acceptable terms, the company would reduce or postpone discretionary capital expenditures. Management continues to regularly monitor SoCalGas' ability to finance the needs of its operating, investing and financing activities in a manner consistent with its intention to maintain strong, investment-quality credit ratings.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16"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Net cash provided by PE's operating activities decreased by $143 million (32%) to $304 million for 2008 due to the decrease in net cash provided by SoCalGas’ operating activities, which decreased by $137 million (31%) to $298 million for 2008. The changes were primarily due to a $143 million higher increase in inventory at SoCalGas and a $15 million increase in net amounts due from affiliates in 2008 compared to a $41 million decrease in 2007, offset by a $65 million increase ($64 million at SoCalGas) in net income (adjusted for noncash items). Net amounts due from affiliates at SoCalGas increased by $20 million in 2008 compared to a $35 million decrease in 2007.</w:t>
      </w:r>
    </w:p>
    <w:p>
      <w:pPr>
        <w:spacing w:after="0" w:line="197"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For the nine months ended September 30, 2008, the company made contributions of $1 million and $9 million to the pension plan and other postretirement benefit plans, respectively. If equity and bond markets remain at approximately the same levels as the end of October, the company expects qualified pension contributions to be approximately $90 million at SoCalGas in 2009.</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800"/>
          </w:cols>
          <w:pgMar w:left="240" w:top="555" w:right="859" w:bottom="1440" w:gutter="0" w:footer="0" w:header="0"/>
        </w:sectPr>
      </w:pPr>
    </w:p>
    <w:bookmarkStart w:id="23" w:name="page24"/>
    <w:bookmarkEnd w:id="23"/>
    <w:p>
      <w:pPr>
        <w:spacing w:after="0"/>
        <w:rPr>
          <w:sz w:val="20"/>
          <w:szCs w:val="20"/>
          <w:color w:val="auto"/>
        </w:rPr>
      </w:pPr>
      <w:r>
        <w:rPr>
          <w:rFonts w:ascii="Arial" w:cs="Arial" w:eastAsia="Arial" w:hAnsi="Arial"/>
          <w:sz w:val="20"/>
          <w:szCs w:val="20"/>
          <w:color w:val="auto"/>
        </w:rPr>
        <w:t>The additional contributions will be fully recovered in future rates, and there is no earnings impact.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16"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Net cash used in PE's investing activities decreased by $197 million (47%) to $218 million for 2008. Net cash used in SoCalGas' investing activities decreased by $191 million (47%) to $214 million for 2008. The changes were primarily at SoCalGas due to a $136 million decrease in loans to affiliates in 2008 compared to a $107 million increase in 2007, offset by an increase of $50 million in capital expenditures.</w:t>
      </w:r>
    </w:p>
    <w:p>
      <w:pPr>
        <w:spacing w:after="0" w:line="192" w:lineRule="exact"/>
        <w:rPr>
          <w:sz w:val="20"/>
          <w:szCs w:val="20"/>
          <w:color w:val="auto"/>
        </w:rPr>
      </w:pPr>
    </w:p>
    <w:p>
      <w:pPr>
        <w:ind w:right="640"/>
        <w:spacing w:after="0" w:line="316" w:lineRule="auto"/>
        <w:rPr>
          <w:sz w:val="20"/>
          <w:szCs w:val="20"/>
          <w:color w:val="auto"/>
        </w:rPr>
      </w:pPr>
      <w:r>
        <w:rPr>
          <w:rFonts w:ascii="Arial" w:cs="Arial" w:eastAsia="Arial" w:hAnsi="Arial"/>
          <w:sz w:val="18"/>
          <w:szCs w:val="18"/>
          <w:color w:val="auto"/>
        </w:rPr>
        <w:t>Significant capital expenditures in 2008 are expected to include $400 million for improvements to distribution and transmission systems. These expenditures are expected to be financed by cash flows from operations and security issuances.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1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Net cash used in PE's financing activities increased by $4 million (4%) to $107 million for 2008. Net cash used in SoCalGas' financing activities increased by $4 million (4%) to $105 million for 2008. The changes were due to a $100 million increase in common dividends paid in 2008 compared to 2007, offset by a $96 million increase in short-term debt.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COMMITMENTS</w:t>
      </w:r>
    </w:p>
    <w:p>
      <w:pPr>
        <w:spacing w:after="0" w:line="216"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At September 30, 2008, there were no significant changes to the commitments that were disclosed in the Annual Report, except for an increase of $580 million related to natural gas contracts at SoCalGas, of which $190 million related to the transfer of SDG&amp;E’s natural gas supply portfolio to SoCalGas as part of the Omnibus Gas Settlements discussed in Note 9 of the Notes to Consolidated Financial Statements in the Annual Report and Note 5 of the Notes to Condensed Consolidated Financial Statements herein. The future payments under these contractual commitments are expected to be $48 million for 2008, $247 million for 2009, $38 million for 2010, $30 million for 2011, $31 million for 2012 and $186 million thereafter.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INFLUENCING FUTURE PERFORMANCE</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Performance of the company will depend primarily on the ratemaking and regulatory process, natural gas industry restructuring, and the changing energy marketplace. Performance will also depend on the successful completion of capital projects that are discussed in various places in this report and in the Annual Report. As the 2008 GRC provides for fixed annual increases rather than for adjustments based on inflation indices as in the past, performance will depend on the company's ability to manage or recover in rates the effects of rising costs. Additional information is provided in Note 5 of the Notes to Condensed Consolidated Financial Statements herein and in Note 9 of the Notes to Consolidated Financial Statements in the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Factors regarding the impact of the global credit market crisis are discussed in "Capital Resources and Liquidity" herein.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760"/>
          </w:cols>
          <w:pgMar w:left="240" w:top="555" w:right="89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Litigation</w:t>
      </w:r>
    </w:p>
    <w:p>
      <w:pPr>
        <w:spacing w:after="0" w:line="222"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Note 6 of the Notes to Condensed Consolidated Financial Statements herein and Note 10 of the Notes to Consolidated Financial Statements in the Annual Report describe litigation, the ultimate resolution of which could have a material adverse effect on future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Developments</w:t>
      </w:r>
    </w:p>
    <w:p>
      <w:pPr>
        <w:spacing w:after="0" w:line="222" w:lineRule="exact"/>
        <w:rPr>
          <w:sz w:val="20"/>
          <w:szCs w:val="20"/>
          <w:color w:val="auto"/>
        </w:rPr>
      </w:pPr>
    </w:p>
    <w:p>
      <w:pPr>
        <w:ind w:right="640"/>
        <w:spacing w:after="0" w:line="386" w:lineRule="auto"/>
        <w:rPr>
          <w:sz w:val="20"/>
          <w:szCs w:val="20"/>
          <w:color w:val="auto"/>
        </w:rPr>
      </w:pPr>
      <w:r>
        <w:rPr>
          <w:rFonts w:ascii="Arial" w:cs="Arial" w:eastAsia="Arial" w:hAnsi="Arial"/>
          <w:sz w:val="16"/>
          <w:szCs w:val="16"/>
          <w:color w:val="auto"/>
        </w:rPr>
        <w:t>Note 5 of the Notes to Condensed Consolidated Financial Statements herein and Note 9 of the Notes to Consolidated Financial Statements in the Annual Report describe natural gas regulation and rates, and other pending proceedings and investigations.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22"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Certain accounting policies are viewed by management as critical because their application is the most relevant, judgmental and/or material to the company's financial position and results of operations, and/or because they require the use of material judgments and estimates. These accounting policies are discussed in "Management's Discussion and Analysis of Financial Condition and Results of Operations" in the Annual Report.</w:t>
      </w:r>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company's significant accounting policies are described in Note 1 of the Notes to Consolidated Financial Statements in the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Recently issued pronouncements that have had or may have a significant effect on the company's financial statements are described in Note 2 of the Notes to Condensed Consolidated Financial Statements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As of September 30, 2008, the total Value at Risk (VaR) of SoCalGas' commodity positions was not material.</w:t>
      </w:r>
    </w:p>
    <w:p>
      <w:pPr>
        <w:spacing w:after="0" w:line="216" w:lineRule="exact"/>
        <w:rPr>
          <w:sz w:val="20"/>
          <w:szCs w:val="20"/>
          <w:color w:val="auto"/>
        </w:rPr>
      </w:pPr>
    </w:p>
    <w:p>
      <w:pPr>
        <w:ind w:right="220"/>
        <w:spacing w:after="0" w:line="386" w:lineRule="auto"/>
        <w:rPr>
          <w:sz w:val="20"/>
          <w:szCs w:val="20"/>
          <w:color w:val="auto"/>
        </w:rPr>
      </w:pPr>
      <w:r>
        <w:rPr>
          <w:rFonts w:ascii="Arial" w:cs="Arial" w:eastAsia="Arial" w:hAnsi="Arial"/>
          <w:sz w:val="16"/>
          <w:szCs w:val="16"/>
          <w:color w:val="auto"/>
        </w:rPr>
        <w:t>The company’s one-year VaR for long-term debt has increased as a result of considerable interest-rate volatility during 2008. The following table shows the nominal amount and the one-year VaR for long-term debt at September 30, 2008 and December 31, 2007:</w:t>
      </w:r>
    </w:p>
    <w:p>
      <w:pPr>
        <w:spacing w:after="0" w:line="126" w:lineRule="exact"/>
        <w:rPr>
          <w:sz w:val="20"/>
          <w:szCs w:val="20"/>
          <w:color w:val="auto"/>
        </w:rPr>
      </w:pPr>
    </w:p>
    <w:tbl>
      <w:tblPr>
        <w:tblLayout w:type="fixed"/>
        <w:tblInd w:w="134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4"/>
              </w:rPr>
              <w:t>September 30, 2008</w:t>
            </w:r>
          </w:p>
        </w:tc>
        <w:tc>
          <w:tcPr>
            <w:tcW w:w="5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96"/>
              </w:rPr>
              <w:t>December 31, 2007</w:t>
            </w:r>
          </w:p>
        </w:tc>
      </w:tr>
      <w:tr>
        <w:trPr>
          <w:trHeight w:val="215"/>
        </w:trPr>
        <w:tc>
          <w:tcPr>
            <w:tcW w:w="3940" w:type="dxa"/>
            <w:vAlign w:val="bottom"/>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Nominal</w:t>
            </w: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One-Year</w:t>
            </w: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Nominal</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One-Year</w:t>
            </w:r>
          </w:p>
        </w:tc>
      </w:tr>
      <w:tr>
        <w:trPr>
          <w:trHeight w:val="237"/>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Debt</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6"/>
              </w:rPr>
              <w:t>VaR</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Debt</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VaR</w:t>
            </w:r>
          </w:p>
        </w:tc>
      </w:tr>
      <w:tr>
        <w:trPr>
          <w:trHeight w:val="243"/>
        </w:trPr>
        <w:tc>
          <w:tcPr>
            <w:tcW w:w="3940" w:type="dxa"/>
            <w:vAlign w:val="bottom"/>
            <w:shd w:val="clear" w:color="auto" w:fill="CEF9CE"/>
          </w:tcPr>
          <w:p>
            <w:pPr>
              <w:spacing w:after="0"/>
              <w:rPr>
                <w:sz w:val="20"/>
                <w:szCs w:val="20"/>
                <w:color w:val="auto"/>
              </w:rPr>
            </w:pPr>
            <w:r>
              <w:rPr>
                <w:rFonts w:ascii="Arial" w:cs="Arial" w:eastAsia="Arial" w:hAnsi="Arial"/>
                <w:sz w:val="18"/>
                <w:szCs w:val="18"/>
                <w:color w:val="auto"/>
              </w:rPr>
              <w:t>Utility fixed-rate*</w:t>
            </w:r>
          </w:p>
        </w:tc>
        <w:tc>
          <w:tcPr>
            <w:tcW w:w="24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9CE"/>
          </w:tcPr>
          <w:p>
            <w:pPr>
              <w:jc w:val="right"/>
              <w:ind w:right="270"/>
              <w:spacing w:after="0"/>
              <w:rPr>
                <w:sz w:val="20"/>
                <w:szCs w:val="20"/>
                <w:color w:val="auto"/>
              </w:rPr>
            </w:pPr>
            <w:r>
              <w:rPr>
                <w:rFonts w:ascii="Arial" w:cs="Arial" w:eastAsia="Arial" w:hAnsi="Arial"/>
                <w:sz w:val="18"/>
                <w:szCs w:val="18"/>
                <w:color w:val="auto"/>
              </w:rPr>
              <w:t>863</w:t>
            </w:r>
          </w:p>
        </w:tc>
        <w:tc>
          <w:tcPr>
            <w:tcW w:w="420" w:type="dxa"/>
            <w:vAlign w:val="bottom"/>
            <w:shd w:val="clear" w:color="auto" w:fill="CEF9CE"/>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9CE"/>
          </w:tcPr>
          <w:p>
            <w:pPr>
              <w:jc w:val="right"/>
              <w:ind w:right="390"/>
              <w:spacing w:after="0"/>
              <w:rPr>
                <w:sz w:val="20"/>
                <w:szCs w:val="20"/>
                <w:color w:val="auto"/>
              </w:rPr>
            </w:pPr>
            <w:r>
              <w:rPr>
                <w:rFonts w:ascii="Arial" w:cs="Arial" w:eastAsia="Arial" w:hAnsi="Arial"/>
                <w:sz w:val="18"/>
                <w:szCs w:val="18"/>
                <w:color w:val="auto"/>
              </w:rPr>
              <w:t>243</w:t>
            </w:r>
          </w:p>
        </w:tc>
        <w:tc>
          <w:tcPr>
            <w:tcW w:w="500" w:type="dxa"/>
            <w:vAlign w:val="bottom"/>
            <w:shd w:val="clear" w:color="auto" w:fill="CEF9C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9CE"/>
          </w:tcPr>
          <w:p>
            <w:pPr>
              <w:jc w:val="right"/>
              <w:ind w:right="270"/>
              <w:spacing w:after="0"/>
              <w:rPr>
                <w:sz w:val="20"/>
                <w:szCs w:val="20"/>
                <w:color w:val="auto"/>
              </w:rPr>
            </w:pPr>
            <w:r>
              <w:rPr>
                <w:rFonts w:ascii="Arial" w:cs="Arial" w:eastAsia="Arial" w:hAnsi="Arial"/>
                <w:sz w:val="18"/>
                <w:szCs w:val="18"/>
                <w:color w:val="auto"/>
              </w:rPr>
              <w:t>863</w:t>
            </w:r>
          </w:p>
        </w:tc>
        <w:tc>
          <w:tcPr>
            <w:tcW w:w="420" w:type="dxa"/>
            <w:vAlign w:val="bottom"/>
            <w:shd w:val="clear" w:color="auto" w:fill="CEF9CE"/>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EF9CE"/>
          </w:tcPr>
          <w:p>
            <w:pPr>
              <w:jc w:val="right"/>
              <w:ind w:right="150"/>
              <w:spacing w:after="0"/>
              <w:rPr>
                <w:sz w:val="20"/>
                <w:szCs w:val="20"/>
                <w:color w:val="auto"/>
              </w:rPr>
            </w:pPr>
            <w:r>
              <w:rPr>
                <w:rFonts w:ascii="Arial" w:cs="Arial" w:eastAsia="Arial" w:hAnsi="Arial"/>
                <w:sz w:val="18"/>
                <w:szCs w:val="18"/>
                <w:color w:val="auto"/>
              </w:rPr>
              <w:t>161</w:t>
            </w:r>
          </w:p>
        </w:tc>
      </w:tr>
      <w:tr>
        <w:trPr>
          <w:trHeight w:val="26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Utility variable-rate*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250</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250</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w:t>
            </w:r>
          </w:p>
        </w:tc>
      </w:tr>
      <w:tr>
        <w:trPr>
          <w:trHeight w:val="243"/>
        </w:trPr>
        <w:tc>
          <w:tcPr>
            <w:tcW w:w="3940" w:type="dxa"/>
            <w:vAlign w:val="bottom"/>
            <w:shd w:val="clear" w:color="auto" w:fill="CEF9CE"/>
          </w:tcPr>
          <w:p>
            <w:pPr>
              <w:ind w:left="80"/>
              <w:spacing w:after="0"/>
              <w:rPr>
                <w:sz w:val="20"/>
                <w:szCs w:val="20"/>
                <w:color w:val="auto"/>
              </w:rPr>
            </w:pPr>
            <w:r>
              <w:rPr>
                <w:rFonts w:ascii="Arial" w:cs="Arial" w:eastAsia="Arial" w:hAnsi="Arial"/>
                <w:sz w:val="18"/>
                <w:szCs w:val="18"/>
                <w:color w:val="auto"/>
              </w:rPr>
              <w:t>* After the effects of interest-rate swaps.</w:t>
            </w:r>
          </w:p>
        </w:tc>
        <w:tc>
          <w:tcPr>
            <w:tcW w:w="240" w:type="dxa"/>
            <w:vAlign w:val="bottom"/>
            <w:shd w:val="clear" w:color="auto" w:fill="CEF9CE"/>
          </w:tcPr>
          <w:p>
            <w:pPr>
              <w:spacing w:after="0"/>
              <w:rPr>
                <w:sz w:val="21"/>
                <w:szCs w:val="21"/>
                <w:color w:val="auto"/>
              </w:rPr>
            </w:pPr>
          </w:p>
        </w:tc>
        <w:tc>
          <w:tcPr>
            <w:tcW w:w="820" w:type="dxa"/>
            <w:vAlign w:val="bottom"/>
            <w:shd w:val="clear" w:color="auto" w:fill="CEF9CE"/>
          </w:tcPr>
          <w:p>
            <w:pPr>
              <w:spacing w:after="0"/>
              <w:rPr>
                <w:sz w:val="21"/>
                <w:szCs w:val="21"/>
                <w:color w:val="auto"/>
              </w:rPr>
            </w:pPr>
          </w:p>
        </w:tc>
        <w:tc>
          <w:tcPr>
            <w:tcW w:w="420" w:type="dxa"/>
            <w:vAlign w:val="bottom"/>
            <w:shd w:val="clear" w:color="auto" w:fill="CEF9CE"/>
          </w:tcPr>
          <w:p>
            <w:pPr>
              <w:spacing w:after="0"/>
              <w:rPr>
                <w:sz w:val="21"/>
                <w:szCs w:val="21"/>
                <w:color w:val="auto"/>
              </w:rPr>
            </w:pPr>
          </w:p>
        </w:tc>
        <w:tc>
          <w:tcPr>
            <w:tcW w:w="920" w:type="dxa"/>
            <w:vAlign w:val="bottom"/>
            <w:shd w:val="clear" w:color="auto" w:fill="CEF9CE"/>
          </w:tcPr>
          <w:p>
            <w:pPr>
              <w:spacing w:after="0"/>
              <w:rPr>
                <w:sz w:val="21"/>
                <w:szCs w:val="21"/>
                <w:color w:val="auto"/>
              </w:rPr>
            </w:pPr>
          </w:p>
        </w:tc>
        <w:tc>
          <w:tcPr>
            <w:tcW w:w="500" w:type="dxa"/>
            <w:vAlign w:val="bottom"/>
            <w:shd w:val="clear" w:color="auto" w:fill="CEF9CE"/>
          </w:tcPr>
          <w:p>
            <w:pPr>
              <w:spacing w:after="0"/>
              <w:rPr>
                <w:sz w:val="21"/>
                <w:szCs w:val="21"/>
                <w:color w:val="auto"/>
              </w:rPr>
            </w:pPr>
          </w:p>
        </w:tc>
        <w:tc>
          <w:tcPr>
            <w:tcW w:w="820" w:type="dxa"/>
            <w:vAlign w:val="bottom"/>
            <w:shd w:val="clear" w:color="auto" w:fill="CEF9CE"/>
          </w:tcPr>
          <w:p>
            <w:pPr>
              <w:spacing w:after="0"/>
              <w:rPr>
                <w:sz w:val="21"/>
                <w:szCs w:val="21"/>
                <w:color w:val="auto"/>
              </w:rPr>
            </w:pPr>
          </w:p>
        </w:tc>
        <w:tc>
          <w:tcPr>
            <w:tcW w:w="420" w:type="dxa"/>
            <w:vAlign w:val="bottom"/>
            <w:shd w:val="clear" w:color="auto" w:fill="CEF9CE"/>
          </w:tcPr>
          <w:p>
            <w:pPr>
              <w:spacing w:after="0"/>
              <w:rPr>
                <w:sz w:val="21"/>
                <w:szCs w:val="21"/>
                <w:color w:val="auto"/>
              </w:rPr>
            </w:pPr>
          </w:p>
        </w:tc>
        <w:tc>
          <w:tcPr>
            <w:tcW w:w="680" w:type="dxa"/>
            <w:vAlign w:val="bottom"/>
            <w:shd w:val="clear" w:color="auto" w:fill="CEF9CE"/>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700"/>
          </w:cols>
          <w:pgMar w:left="240" w:top="549" w:right="95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cost-benefit relationship of other possible controls and procedures. There have been no changes in the company's internal control over financial reporting during the company's most recent fiscal quarter that have materially affected, or are reasonably likely to materially affect, the company's internal control over financial reporting.</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Under the supervision and with the participation of management, including the Chief Executive Officer and the Chief Financial Officer, the company evaluated the effectiveness of the design and operation of the company's disclosure controls and procedures as of September 30, 2008, the end of the period covered by this report. Based on that evaluation, the company's Chief Executive Officer and Chief Financial Officer concluded that the company's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Los Angeles Regional Water Quality Control Board has asserted violations of the California Water Code by SoCalGas in connection with certain maintenance activities in Los Angeles County's Sullivan Canyon. In June 2008, the board dismissed without prejudice a related lawsuit to provide an opportunity for the parties to resolve this matter without litigation. SoCalGas believes that the resolution will impose upon it fines and penalties of no more than $750,000.</w:t>
      </w:r>
    </w:p>
    <w:p>
      <w:pPr>
        <w:spacing w:after="0" w:line="192"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Except for the matters described in Notes 5 and 6 of the Notes to Condensed Consolidated Financial Statements herein, neither the company nor its subsidiaries are party to, nor is their property the subject of, any material pending legal proceedings other than routine litigation incidental to their businesses.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There have been no material changes in risk factors as previously disclosed in the company's 2007 Annual Report on Form 10-K except as follows. The recent global credit crisis has severely affected the availability and cost of both short-term and long-term financing. If cash flows from operations were to be significantly reduced or the company were to be unable to borrow under acceptable terms, the company would reduce or postpone discretionary capital expenditures.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760"/>
          </w:cols>
          <w:pgMar w:left="240" w:top="549" w:right="89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color w:val="auto"/>
        </w:rPr>
        <w:t>ITEM 6</w:t>
      </w:r>
      <w:r>
        <w:rPr>
          <w:rFonts w:ascii="Arial" w:cs="Arial" w:eastAsia="Arial" w:hAnsi="Arial"/>
          <w:sz w:val="20"/>
          <w:szCs w:val="20"/>
          <w:color w:val="auto"/>
        </w:rPr>
        <w:t>.</w:t>
      </w:r>
      <w:r>
        <w:rPr>
          <w:rFonts w:ascii="Arial" w:cs="Arial" w:eastAsia="Arial" w:hAnsi="Arial"/>
          <w:sz w:val="20"/>
          <w:szCs w:val="20"/>
          <w:b w:val="1"/>
          <w:bCs w:val="1"/>
          <w:color w:val="auto"/>
        </w:rPr>
        <w:t xml:space="preserve"> EXHIBITS</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Exhibit 10 -- Material Contracts</w:t>
      </w:r>
    </w:p>
    <w:p>
      <w:pPr>
        <w:spacing w:after="0" w:line="270" w:lineRule="exact"/>
        <w:rPr>
          <w:sz w:val="20"/>
          <w:szCs w:val="20"/>
          <w:color w:val="auto"/>
        </w:rPr>
      </w:pPr>
    </w:p>
    <w:p>
      <w:pPr>
        <w:ind w:left="880" w:right="2999" w:hanging="372"/>
        <w:spacing w:after="0" w:line="386" w:lineRule="auto"/>
        <w:rPr>
          <w:sz w:val="20"/>
          <w:szCs w:val="20"/>
          <w:color w:val="auto"/>
        </w:rPr>
      </w:pPr>
      <w:r>
        <w:rPr>
          <w:rFonts w:ascii="Arial" w:cs="Arial" w:eastAsia="Arial" w:hAnsi="Arial"/>
          <w:sz w:val="16"/>
          <w:szCs w:val="16"/>
          <w:color w:val="auto"/>
        </w:rPr>
        <w:t>10.1 Sempra Energy Employee Stock Ownership Plan and Trust Agreement effective 1/1/2001 (September 30, 2008 Sempra Energy Form 10-Q, Exhibit 10.1).</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Exhibit 12 -- Computation of ratios</w:t>
      </w:r>
    </w:p>
    <w:p>
      <w:pPr>
        <w:spacing w:after="0" w:line="270" w:lineRule="exact"/>
        <w:rPr>
          <w:sz w:val="20"/>
          <w:szCs w:val="20"/>
          <w:color w:val="auto"/>
        </w:rPr>
      </w:pPr>
    </w:p>
    <w:p>
      <w:pPr>
        <w:ind w:left="880" w:right="2759" w:hanging="372"/>
        <w:spacing w:after="0" w:line="260" w:lineRule="auto"/>
        <w:rPr>
          <w:sz w:val="20"/>
          <w:szCs w:val="20"/>
          <w:color w:val="auto"/>
        </w:rPr>
      </w:pPr>
      <w:r>
        <w:rPr>
          <w:rFonts w:ascii="Arial" w:cs="Arial" w:eastAsia="Arial" w:hAnsi="Arial"/>
          <w:sz w:val="20"/>
          <w:szCs w:val="20"/>
          <w:color w:val="auto"/>
        </w:rPr>
        <w:t>12.1 Computation of Ratio of Earnings to Combined Fixed Charges and Preferred Stock Dividends of PE.</w:t>
      </w:r>
    </w:p>
    <w:p>
      <w:pPr>
        <w:spacing w:after="0" w:line="231" w:lineRule="exact"/>
        <w:rPr>
          <w:sz w:val="20"/>
          <w:szCs w:val="20"/>
          <w:color w:val="auto"/>
        </w:rPr>
      </w:pPr>
    </w:p>
    <w:p>
      <w:pPr>
        <w:ind w:left="880" w:right="2759" w:hanging="372"/>
        <w:spacing w:after="0" w:line="260" w:lineRule="auto"/>
        <w:rPr>
          <w:sz w:val="20"/>
          <w:szCs w:val="20"/>
          <w:color w:val="auto"/>
        </w:rPr>
      </w:pPr>
      <w:r>
        <w:rPr>
          <w:rFonts w:ascii="Arial" w:cs="Arial" w:eastAsia="Arial" w:hAnsi="Arial"/>
          <w:sz w:val="20"/>
          <w:szCs w:val="20"/>
          <w:color w:val="auto"/>
        </w:rPr>
        <w:t>12.2 Computation of Ratio of Earnings to Combined Fixed Charges and Preferred Stock Dividends of SoCalGas.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Exhibit 31 -- Section 302 Certifications</w:t>
      </w:r>
    </w:p>
    <w:p>
      <w:pPr>
        <w:spacing w:after="0" w:line="270" w:lineRule="exact"/>
        <w:rPr>
          <w:sz w:val="20"/>
          <w:szCs w:val="20"/>
          <w:color w:val="auto"/>
        </w:rPr>
      </w:pPr>
    </w:p>
    <w:p>
      <w:pPr>
        <w:ind w:left="880" w:right="2519" w:hanging="372"/>
        <w:spacing w:after="0" w:line="260" w:lineRule="auto"/>
        <w:rPr>
          <w:sz w:val="20"/>
          <w:szCs w:val="20"/>
          <w:color w:val="auto"/>
        </w:rPr>
      </w:pPr>
      <w:r>
        <w:rPr>
          <w:rFonts w:ascii="Arial" w:cs="Arial" w:eastAsia="Arial" w:hAnsi="Arial"/>
          <w:sz w:val="20"/>
          <w:szCs w:val="20"/>
          <w:color w:val="auto"/>
        </w:rPr>
        <w:t>31.1 Statement of PE's Chief Executive Officer pursuant to Rules 13a-14 and 15d-14 of the Securities Exchange Act of 1934.</w:t>
      </w:r>
    </w:p>
    <w:p>
      <w:pPr>
        <w:spacing w:after="0" w:line="231" w:lineRule="exact"/>
        <w:rPr>
          <w:sz w:val="20"/>
          <w:szCs w:val="20"/>
          <w:color w:val="auto"/>
        </w:rPr>
      </w:pPr>
    </w:p>
    <w:p>
      <w:pPr>
        <w:ind w:left="880" w:right="2579" w:hanging="372"/>
        <w:spacing w:after="0" w:line="260" w:lineRule="auto"/>
        <w:rPr>
          <w:sz w:val="20"/>
          <w:szCs w:val="20"/>
          <w:color w:val="auto"/>
        </w:rPr>
      </w:pPr>
      <w:r>
        <w:rPr>
          <w:rFonts w:ascii="Arial" w:cs="Arial" w:eastAsia="Arial" w:hAnsi="Arial"/>
          <w:sz w:val="20"/>
          <w:szCs w:val="20"/>
          <w:color w:val="auto"/>
        </w:rPr>
        <w:t>31.2 Statement of PE's Chief Financial Officer pursuant to Rules 13a-14 and 15d-14 of the Securities Exchange Act of 1934.</w:t>
      </w:r>
    </w:p>
    <w:p>
      <w:pPr>
        <w:spacing w:after="0" w:line="231" w:lineRule="exact"/>
        <w:rPr>
          <w:sz w:val="20"/>
          <w:szCs w:val="20"/>
          <w:color w:val="auto"/>
        </w:rPr>
      </w:pPr>
    </w:p>
    <w:p>
      <w:pPr>
        <w:ind w:left="880" w:right="2539" w:hanging="372"/>
        <w:spacing w:after="0" w:line="260" w:lineRule="auto"/>
        <w:rPr>
          <w:sz w:val="20"/>
          <w:szCs w:val="20"/>
          <w:color w:val="auto"/>
        </w:rPr>
      </w:pPr>
      <w:r>
        <w:rPr>
          <w:rFonts w:ascii="Arial" w:cs="Arial" w:eastAsia="Arial" w:hAnsi="Arial"/>
          <w:sz w:val="20"/>
          <w:szCs w:val="20"/>
          <w:color w:val="auto"/>
        </w:rPr>
        <w:t>31.3 Statement of SoCalGas' Chief Executive Officer pursuant to Rules 13a-14 and 15d-14 of the Securities Exchange Act of 1934.</w:t>
      </w:r>
    </w:p>
    <w:p>
      <w:pPr>
        <w:spacing w:after="0" w:line="231" w:lineRule="exact"/>
        <w:rPr>
          <w:sz w:val="20"/>
          <w:szCs w:val="20"/>
          <w:color w:val="auto"/>
        </w:rPr>
      </w:pPr>
    </w:p>
    <w:p>
      <w:pPr>
        <w:ind w:left="880" w:right="2599" w:hanging="372"/>
        <w:spacing w:after="0" w:line="260" w:lineRule="auto"/>
        <w:rPr>
          <w:sz w:val="20"/>
          <w:szCs w:val="20"/>
          <w:color w:val="auto"/>
        </w:rPr>
      </w:pPr>
      <w:r>
        <w:rPr>
          <w:rFonts w:ascii="Arial" w:cs="Arial" w:eastAsia="Arial" w:hAnsi="Arial"/>
          <w:sz w:val="20"/>
          <w:szCs w:val="20"/>
          <w:color w:val="auto"/>
        </w:rPr>
        <w:t>31.4 Statement of SoCalGas' Chief Financial Officer pursuant to Rules 13a-14 and 15d-14 of the Securities Exchange Act of 1934.</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Exhibit 32 -- Section 906 Certifications</w:t>
      </w:r>
    </w:p>
    <w:p>
      <w:pPr>
        <w:spacing w:after="0" w:line="27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32.1 Statement of PE's Chief Executive Officer pursuant to 18 U.S.C. Sec. 1350.</w:t>
      </w:r>
    </w:p>
    <w:p>
      <w:pPr>
        <w:spacing w:after="0" w:line="27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32.2 Statement of PE's Chief Financial Officer pursuant to 18 U.S.C. Sec. 1350.</w:t>
      </w: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32.3 Statement of SoCalGas' Chief Executive Officer pursuant to 18 U.S.C. Sec. 1350.</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32.4 Statement of SoCalGas' Chief Financial Officer pursuant to 18 U.S.C. Sec. 1350.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219"/>
          </w:cols>
          <w:pgMar w:left="240" w:top="805" w:right="1440" w:bottom="1440" w:gutter="0" w:footer="0" w:header="0"/>
        </w:sectPr>
      </w:pPr>
    </w:p>
    <w:bookmarkStart w:id="27" w:name="page28"/>
    <w:bookmarkEnd w:id="27"/>
    <w:p>
      <w:pPr>
        <w:jc w:val="center"/>
        <w:ind w:right="-560"/>
        <w:spacing w:after="0"/>
        <w:rPr>
          <w:sz w:val="20"/>
          <w:szCs w:val="20"/>
          <w:color w:val="auto"/>
        </w:rPr>
      </w:pPr>
      <w:r>
        <w:rPr>
          <w:rFonts w:ascii="Arial" w:cs="Arial" w:eastAsia="Arial" w:hAnsi="Arial"/>
          <w:sz w:val="20"/>
          <w:szCs w:val="20"/>
          <w:color w:val="auto"/>
        </w:rPr>
        <w:t>SIGNATURES</w:t>
      </w:r>
    </w:p>
    <w:p>
      <w:pPr>
        <w:spacing w:after="0" w:line="27" w:lineRule="exact"/>
        <w:rPr>
          <w:sz w:val="20"/>
          <w:szCs w:val="20"/>
          <w:color w:val="auto"/>
        </w:rPr>
      </w:pPr>
    </w:p>
    <w:p>
      <w:pPr>
        <w:ind w:left="1400" w:right="939"/>
        <w:spacing w:after="0" w:line="267"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ind w:left="4820"/>
        <w:spacing w:after="0"/>
        <w:rPr>
          <w:sz w:val="20"/>
          <w:szCs w:val="20"/>
          <w:color w:val="auto"/>
        </w:rPr>
      </w:pPr>
      <w:r>
        <w:rPr>
          <w:rFonts w:ascii="Arial" w:cs="Arial" w:eastAsia="Arial" w:hAnsi="Arial"/>
          <w:sz w:val="20"/>
          <w:szCs w:val="20"/>
          <w:color w:val="auto"/>
        </w:rPr>
        <w:t>PACIFIC ENTERPRISES,</w:t>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(Registrant)</w:t>
      </w:r>
    </w:p>
    <w:p>
      <w:pPr>
        <w:spacing w:after="0" w:line="254" w:lineRule="exact"/>
        <w:rPr>
          <w:sz w:val="20"/>
          <w:szCs w:val="20"/>
          <w:color w:val="auto"/>
        </w:rPr>
      </w:pPr>
    </w:p>
    <w:p>
      <w:pPr>
        <w:ind w:left="1400"/>
        <w:spacing w:after="0"/>
        <w:tabs>
          <w:tab w:leader="none" w:pos="4800" w:val="left"/>
        </w:tabs>
        <w:rPr>
          <w:sz w:val="20"/>
          <w:szCs w:val="20"/>
          <w:color w:val="auto"/>
        </w:rPr>
      </w:pPr>
      <w:r>
        <w:rPr>
          <w:rFonts w:ascii="Arial" w:cs="Arial" w:eastAsia="Arial" w:hAnsi="Arial"/>
          <w:sz w:val="20"/>
          <w:szCs w:val="20"/>
          <w:color w:val="auto"/>
        </w:rPr>
        <w:t>Date: November 10, 2008</w:t>
      </w:r>
      <w:r>
        <w:rPr>
          <w:sz w:val="20"/>
          <w:szCs w:val="20"/>
          <w:color w:val="auto"/>
        </w:rPr>
        <w:tab/>
      </w:r>
      <w:r>
        <w:rPr>
          <w:rFonts w:ascii="Arial" w:cs="Arial" w:eastAsia="Arial" w:hAnsi="Arial"/>
          <w:sz w:val="18"/>
          <w:szCs w:val="18"/>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19050</wp:posOffset>
            </wp:positionV>
            <wp:extent cx="3319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Robert Schlax</w:t>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Vice President, Controller and Chief Financial Officer</w:t>
      </w:r>
    </w:p>
    <w:p>
      <w:pPr>
        <w:spacing w:after="0" w:line="265"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SOUTHERN CALIFORNIA GAS COMPANY,</w:t>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(Registrant)</w:t>
      </w:r>
    </w:p>
    <w:p>
      <w:pPr>
        <w:spacing w:after="0" w:line="254" w:lineRule="exact"/>
        <w:rPr>
          <w:sz w:val="20"/>
          <w:szCs w:val="20"/>
          <w:color w:val="auto"/>
        </w:rPr>
      </w:pPr>
    </w:p>
    <w:p>
      <w:pPr>
        <w:ind w:left="1400"/>
        <w:spacing w:after="0"/>
        <w:tabs>
          <w:tab w:leader="none" w:pos="4800" w:val="left"/>
        </w:tabs>
        <w:rPr>
          <w:sz w:val="20"/>
          <w:szCs w:val="20"/>
          <w:color w:val="auto"/>
        </w:rPr>
      </w:pPr>
      <w:r>
        <w:rPr>
          <w:rFonts w:ascii="Arial" w:cs="Arial" w:eastAsia="Arial" w:hAnsi="Arial"/>
          <w:sz w:val="20"/>
          <w:szCs w:val="20"/>
          <w:color w:val="auto"/>
        </w:rPr>
        <w:t>Date: November 10, 2008</w:t>
      </w:r>
      <w:r>
        <w:rPr>
          <w:sz w:val="20"/>
          <w:szCs w:val="20"/>
          <w:color w:val="auto"/>
        </w:rPr>
        <w:tab/>
      </w:r>
      <w:r>
        <w:rPr>
          <w:rFonts w:ascii="Arial" w:cs="Arial" w:eastAsia="Arial" w:hAnsi="Arial"/>
          <w:sz w:val="18"/>
          <w:szCs w:val="18"/>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19050</wp:posOffset>
            </wp:positionV>
            <wp:extent cx="3319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Robert Schlax</w:t>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Vice President, Controller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219"/>
          </w:cols>
          <w:pgMar w:left="240" w:top="811" w:right="1440"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t>EXHIBIT 12.1</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ENTERPRISES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2003</w:t>
            </w:r>
          </w:p>
        </w:tc>
        <w:tc>
          <w:tcPr>
            <w:tcW w:w="4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2004</w:t>
            </w:r>
          </w:p>
        </w:tc>
        <w:tc>
          <w:tcPr>
            <w:tcW w:w="4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2005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20"/>
                <w:szCs w:val="20"/>
                <w:color w:val="auto"/>
              </w:rPr>
            </w:pPr>
            <w:r>
              <w:rPr>
                <w:rFonts w:ascii="Arial" w:cs="Arial" w:eastAsia="Arial" w:hAnsi="Arial"/>
                <w:sz w:val="18"/>
                <w:szCs w:val="18"/>
                <w:color w:val="auto"/>
              </w:rPr>
              <w:t>Fixed Charges:</w:t>
            </w:r>
          </w:p>
        </w:tc>
        <w:tc>
          <w:tcPr>
            <w:tcW w:w="10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0"/>
                <w:szCs w:val="20"/>
                <w:color w:val="auto"/>
              </w:rPr>
            </w:pPr>
            <w:r>
              <w:rPr>
                <w:rFonts w:ascii="Arial" w:cs="Arial" w:eastAsia="Arial" w:hAnsi="Arial"/>
                <w:sz w:val="18"/>
                <w:szCs w:val="18"/>
                <w:color w:val="auto"/>
              </w:rPr>
              <w:t>Interest</w:t>
            </w:r>
          </w:p>
        </w:tc>
        <w:tc>
          <w:tcPr>
            <w:tcW w:w="10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Interest portion of</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20" w:type="dxa"/>
            <w:vAlign w:val="bottom"/>
          </w:tcPr>
          <w:p>
            <w:pPr>
              <w:ind w:left="260"/>
              <w:spacing w:after="0"/>
              <w:rPr>
                <w:sz w:val="20"/>
                <w:szCs w:val="20"/>
                <w:color w:val="auto"/>
              </w:rPr>
            </w:pPr>
            <w:r>
              <w:rPr>
                <w:rFonts w:ascii="Arial" w:cs="Arial" w:eastAsia="Arial" w:hAnsi="Arial"/>
                <w:sz w:val="18"/>
                <w:szCs w:val="18"/>
                <w:color w:val="auto"/>
              </w:rPr>
              <w:t>annual rentals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Preferred dividends</w:t>
            </w:r>
          </w:p>
        </w:tc>
        <w:tc>
          <w:tcPr>
            <w:tcW w:w="100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820" w:type="dxa"/>
            <w:vAlign w:val="bottom"/>
          </w:tcPr>
          <w:p>
            <w:pPr>
              <w:ind w:left="260"/>
              <w:spacing w:after="0" w:line="203" w:lineRule="exact"/>
              <w:rPr>
                <w:sz w:val="20"/>
                <w:szCs w:val="20"/>
                <w:color w:val="auto"/>
              </w:rPr>
            </w:pPr>
            <w:r>
              <w:rPr>
                <w:rFonts w:ascii="Arial" w:cs="Arial" w:eastAsia="Arial" w:hAnsi="Arial"/>
                <w:sz w:val="18"/>
                <w:szCs w:val="18"/>
                <w:color w:val="auto"/>
              </w:rPr>
              <w:t>of subsidiary (1)</w:t>
            </w: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820" w:type="dxa"/>
            <w:vAlign w:val="bottom"/>
          </w:tcPr>
          <w:p>
            <w:pPr>
              <w:spacing w:after="0"/>
              <w:rPr>
                <w:sz w:val="20"/>
                <w:szCs w:val="20"/>
                <w:color w:val="auto"/>
              </w:rPr>
            </w:pPr>
            <w:r>
              <w:rPr>
                <w:rFonts w:ascii="Arial" w:cs="Arial" w:eastAsia="Arial" w:hAnsi="Arial"/>
                <w:sz w:val="18"/>
                <w:szCs w:val="18"/>
                <w:color w:val="auto"/>
              </w:rPr>
              <w:t>Total fixed charges</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Preferred stock</w:t>
            </w:r>
          </w:p>
        </w:tc>
        <w:tc>
          <w:tcPr>
            <w:tcW w:w="100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820" w:type="dxa"/>
            <w:vAlign w:val="bottom"/>
          </w:tcPr>
          <w:p>
            <w:pPr>
              <w:ind w:left="260"/>
              <w:spacing w:after="0" w:line="203" w:lineRule="exact"/>
              <w:rPr>
                <w:sz w:val="20"/>
                <w:szCs w:val="20"/>
                <w:color w:val="auto"/>
              </w:rPr>
            </w:pPr>
            <w:r>
              <w:rPr>
                <w:rFonts w:ascii="Arial" w:cs="Arial" w:eastAsia="Arial" w:hAnsi="Arial"/>
                <w:sz w:val="18"/>
                <w:szCs w:val="18"/>
                <w:color w:val="auto"/>
              </w:rPr>
              <w:t>dividends</w:t>
            </w: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820" w:type="dxa"/>
            <w:vAlign w:val="bottom"/>
          </w:tcPr>
          <w:p>
            <w:pPr>
              <w:spacing w:after="0"/>
              <w:rPr>
                <w:sz w:val="20"/>
                <w:szCs w:val="20"/>
                <w:color w:val="auto"/>
              </w:rPr>
            </w:pPr>
            <w:r>
              <w:rPr>
                <w:rFonts w:ascii="Arial" w:cs="Arial" w:eastAsia="Arial" w:hAnsi="Arial"/>
                <w:sz w:val="18"/>
                <w:szCs w:val="18"/>
                <w:color w:val="auto"/>
              </w:rPr>
              <w:t>Combined fixed</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1000" w:type="dxa"/>
            <w:vAlign w:val="bottom"/>
            <w:vMerge w:val="restart"/>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8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08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5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63"/>
        </w:trPr>
        <w:tc>
          <w:tcPr>
            <w:tcW w:w="182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10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2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Pretax income from</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2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10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361</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390</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324</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407</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Total fixed charges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20" w:type="dxa"/>
            <w:vAlign w:val="bottom"/>
          </w:tcPr>
          <w:p>
            <w:pPr>
              <w:ind w:left="260"/>
              <w:spacing w:after="0"/>
              <w:rPr>
                <w:sz w:val="20"/>
                <w:szCs w:val="20"/>
                <w:color w:val="auto"/>
              </w:rPr>
            </w:pPr>
            <w:r>
              <w:rPr>
                <w:rFonts w:ascii="Arial" w:cs="Arial" w:eastAsia="Arial" w:hAnsi="Arial"/>
                <w:sz w:val="18"/>
                <w:szCs w:val="18"/>
                <w:color w:val="auto"/>
              </w:rPr>
              <w:t>(from above)</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Less: interest</w:t>
            </w:r>
          </w:p>
        </w:tc>
        <w:tc>
          <w:tcPr>
            <w:tcW w:w="100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820" w:type="dxa"/>
            <w:vAlign w:val="bottom"/>
          </w:tcPr>
          <w:p>
            <w:pPr>
              <w:ind w:left="260"/>
              <w:spacing w:after="0" w:line="203" w:lineRule="exact"/>
              <w:rPr>
                <w:sz w:val="20"/>
                <w:szCs w:val="20"/>
                <w:color w:val="auto"/>
              </w:rPr>
            </w:pPr>
            <w:r>
              <w:rPr>
                <w:rFonts w:ascii="Arial" w:cs="Arial" w:eastAsia="Arial" w:hAnsi="Arial"/>
                <w:sz w:val="18"/>
                <w:szCs w:val="18"/>
                <w:color w:val="auto"/>
              </w:rPr>
              <w:t>capitalized</w:t>
            </w: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820" w:type="dxa"/>
            <w:vAlign w:val="bottom"/>
          </w:tcPr>
          <w:p>
            <w:pPr>
              <w:spacing w:after="0"/>
              <w:rPr>
                <w:sz w:val="20"/>
                <w:szCs w:val="20"/>
                <w:color w:val="auto"/>
              </w:rPr>
            </w:pPr>
            <w:r>
              <w:rPr>
                <w:rFonts w:ascii="Arial" w:cs="Arial" w:eastAsia="Arial" w:hAnsi="Arial"/>
                <w:sz w:val="18"/>
                <w:szCs w:val="18"/>
                <w:color w:val="auto"/>
              </w:rPr>
              <w:t>Total earnings for</w:t>
            </w:r>
          </w:p>
        </w:tc>
        <w:tc>
          <w:tcPr>
            <w:tcW w:w="1000" w:type="dxa"/>
            <w:vAlign w:val="bottom"/>
            <w:vMerge w:val="restart"/>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419</w:t>
            </w:r>
          </w:p>
        </w:tc>
        <w:tc>
          <w:tcPr>
            <w:tcW w:w="108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108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384</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508</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489</w:t>
            </w:r>
          </w:p>
        </w:tc>
        <w:tc>
          <w:tcPr>
            <w:tcW w:w="5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63"/>
        </w:trPr>
        <w:tc>
          <w:tcPr>
            <w:tcW w:w="182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10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2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1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100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163"/>
        </w:trPr>
        <w:tc>
          <w:tcPr>
            <w:tcW w:w="182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2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1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63"/>
        </w:trPr>
        <w:tc>
          <w:tcPr>
            <w:tcW w:w="1820" w:type="dxa"/>
            <w:vAlign w:val="bottom"/>
          </w:tcPr>
          <w:p>
            <w:pPr>
              <w:ind w:left="260"/>
              <w:spacing w:after="0" w:line="143" w:lineRule="exact"/>
              <w:rPr>
                <w:sz w:val="20"/>
                <w:szCs w:val="20"/>
                <w:color w:val="auto"/>
              </w:rPr>
            </w:pPr>
            <w:r>
              <w:rPr>
                <w:rFonts w:ascii="Arial" w:cs="Arial" w:eastAsia="Arial" w:hAnsi="Arial"/>
                <w:sz w:val="16"/>
                <w:szCs w:val="16"/>
                <w:color w:val="auto"/>
              </w:rPr>
              <w:t>fixed charges</w:t>
            </w: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firstLine="2"/>
        <w:spacing w:after="0" w:line="246"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subsidiary” represents the before-tax earnings necessary to pay such dividends, computed at the effective tax rates for the applicable periods.</w:t>
      </w:r>
    </w:p>
    <w:p>
      <w:pPr>
        <w:sectPr>
          <w:pgSz w:w="11900" w:h="16838" w:orient="portrait"/>
          <w:cols w:equalWidth="0" w:num="1">
            <w:col w:w="11400"/>
          </w:cols>
          <w:pgMar w:left="260" w:top="805" w:right="2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20"/>
          <w:szCs w:val="20"/>
          <w:b w:val="1"/>
          <w:bCs w:val="1"/>
          <w:color w:val="auto"/>
        </w:rPr>
        <w:t>EXHIBIT 12.2</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SOUTHERN CALIFORNIA GAS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COMPUTATION OF RATIO OF EARNINGS TO COMBINED FIXED CHARGES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AND PREFERRED STOCK DIVIDENDS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(Dollars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Fixed Charges:</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900" w:type="dxa"/>
            <w:vAlign w:val="bottom"/>
          </w:tcPr>
          <w:p>
            <w:pPr>
              <w:spacing w:after="0"/>
              <w:rPr>
                <w:sz w:val="20"/>
                <w:szCs w:val="20"/>
                <w:color w:val="auto"/>
              </w:rPr>
            </w:pPr>
            <w:r>
              <w:rPr>
                <w:rFonts w:ascii="Arial" w:cs="Arial" w:eastAsia="Arial" w:hAnsi="Arial"/>
                <w:sz w:val="18"/>
                <w:szCs w:val="18"/>
                <w:color w:val="auto"/>
              </w:rPr>
              <w:t>Interest</w:t>
            </w: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97"/>
        </w:trPr>
        <w:tc>
          <w:tcPr>
            <w:tcW w:w="290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1"/>
        </w:trPr>
        <w:tc>
          <w:tcPr>
            <w:tcW w:w="2900" w:type="dxa"/>
            <w:vAlign w:val="bottom"/>
          </w:tcPr>
          <w:p>
            <w:pPr>
              <w:spacing w:after="0"/>
              <w:rPr>
                <w:sz w:val="20"/>
                <w:szCs w:val="20"/>
                <w:color w:val="auto"/>
              </w:rPr>
            </w:pPr>
            <w:r>
              <w:rPr>
                <w:rFonts w:ascii="Arial" w:cs="Arial" w:eastAsia="Arial" w:hAnsi="Arial"/>
                <w:sz w:val="18"/>
                <w:szCs w:val="18"/>
                <w:color w:val="auto"/>
              </w:rPr>
              <w:t>Total fixed charges</w:t>
            </w: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7"/>
        </w:trPr>
        <w:tc>
          <w:tcPr>
            <w:tcW w:w="290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6"/>
        </w:trPr>
        <w:tc>
          <w:tcPr>
            <w:tcW w:w="2900" w:type="dxa"/>
            <w:vAlign w:val="bottom"/>
          </w:tcPr>
          <w:p>
            <w:pPr>
              <w:spacing w:after="0"/>
              <w:rPr>
                <w:sz w:val="20"/>
                <w:szCs w:val="20"/>
                <w:color w:val="auto"/>
              </w:rPr>
            </w:pPr>
            <w:r>
              <w:rPr>
                <w:rFonts w:ascii="Arial" w:cs="Arial" w:eastAsia="Arial" w:hAnsi="Arial"/>
                <w:sz w:val="18"/>
                <w:szCs w:val="18"/>
                <w:color w:val="auto"/>
              </w:rPr>
              <w:t>Combined fixed charges and</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 dividends for</w:t>
            </w:r>
          </w:p>
        </w:tc>
        <w:tc>
          <w:tcPr>
            <w:tcW w:w="88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63"/>
        </w:trPr>
        <w:tc>
          <w:tcPr>
            <w:tcW w:w="290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8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9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9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Arial" w:cs="Arial" w:eastAsia="Arial" w:hAnsi="Arial"/>
                <w:sz w:val="18"/>
                <w:szCs w:val="18"/>
                <w:color w:val="auto"/>
              </w:rPr>
              <w:t>Pretax income from continuing</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0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Arial" w:cs="Arial" w:eastAsia="Arial" w:hAnsi="Arial"/>
                <w:sz w:val="18"/>
                <w:szCs w:val="18"/>
                <w:color w:val="auto"/>
              </w:rPr>
              <w:t>Add: total fixed charges (from</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00" w:type="dxa"/>
            <w:vAlign w:val="bottom"/>
          </w:tcPr>
          <w:p>
            <w:pPr>
              <w:ind w:left="260"/>
              <w:spacing w:after="0"/>
              <w:rPr>
                <w:sz w:val="20"/>
                <w:szCs w:val="20"/>
                <w:color w:val="auto"/>
              </w:rPr>
            </w:pPr>
            <w:r>
              <w:rPr>
                <w:rFonts w:ascii="Arial" w:cs="Arial" w:eastAsia="Arial" w:hAnsi="Arial"/>
                <w:sz w:val="18"/>
                <w:szCs w:val="18"/>
                <w:color w:val="auto"/>
              </w:rPr>
              <w:t>above)</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7"/>
        </w:trPr>
        <w:tc>
          <w:tcPr>
            <w:tcW w:w="290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900" w:type="dxa"/>
            <w:vAlign w:val="bottom"/>
          </w:tcPr>
          <w:p>
            <w:pPr>
              <w:spacing w:after="0"/>
              <w:rPr>
                <w:sz w:val="20"/>
                <w:szCs w:val="20"/>
                <w:color w:val="auto"/>
              </w:rPr>
            </w:pPr>
            <w:r>
              <w:rPr>
                <w:rFonts w:ascii="Arial" w:cs="Arial" w:eastAsia="Arial" w:hAnsi="Arial"/>
                <w:sz w:val="18"/>
                <w:szCs w:val="18"/>
                <w:color w:val="auto"/>
              </w:rPr>
              <w:t>Total earnings for purpose of</w:t>
            </w:r>
          </w:p>
        </w:tc>
        <w:tc>
          <w:tcPr>
            <w:tcW w:w="88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410</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429</w:t>
            </w: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362</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472</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163"/>
        </w:trPr>
        <w:tc>
          <w:tcPr>
            <w:tcW w:w="2900" w:type="dxa"/>
            <w:vAlign w:val="bottom"/>
          </w:tcPr>
          <w:p>
            <w:pPr>
              <w:ind w:left="260"/>
              <w:spacing w:after="0" w:line="143" w:lineRule="exact"/>
              <w:rPr>
                <w:sz w:val="20"/>
                <w:szCs w:val="20"/>
                <w:color w:val="auto"/>
              </w:rPr>
            </w:pPr>
            <w:r>
              <w:rPr>
                <w:rFonts w:ascii="Arial" w:cs="Arial" w:eastAsia="Arial" w:hAnsi="Arial"/>
                <w:sz w:val="16"/>
                <w:szCs w:val="16"/>
                <w:color w:val="auto"/>
              </w:rPr>
              <w:t>ratio</w:t>
            </w:r>
          </w:p>
        </w:tc>
        <w:tc>
          <w:tcPr>
            <w:tcW w:w="8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900" w:type="dxa"/>
            <w:vAlign w:val="bottom"/>
            <w:vMerge w:val="restart"/>
          </w:tcPr>
          <w:p>
            <w:pPr>
              <w:spacing w:after="0"/>
              <w:rPr>
                <w:sz w:val="20"/>
                <w:szCs w:val="20"/>
                <w:color w:val="auto"/>
              </w:rPr>
            </w:pPr>
            <w:r>
              <w:rPr>
                <w:rFonts w:ascii="Arial" w:cs="Arial" w:eastAsia="Arial" w:hAnsi="Arial"/>
                <w:sz w:val="18"/>
                <w:szCs w:val="18"/>
                <w:color w:val="auto"/>
              </w:rPr>
              <w:t>Ratio of earnings to combined</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9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60"/>
              <w:spacing w:after="0" w:line="202" w:lineRule="exact"/>
              <w:rPr>
                <w:sz w:val="20"/>
                <w:szCs w:val="20"/>
                <w:color w:val="auto"/>
              </w:rPr>
            </w:pPr>
            <w:r>
              <w:rPr>
                <w:rFonts w:ascii="Arial" w:cs="Arial" w:eastAsia="Arial" w:hAnsi="Arial"/>
                <w:sz w:val="18"/>
                <w:szCs w:val="18"/>
                <w:color w:val="auto"/>
              </w:rPr>
              <w:t>fixed charges and preferred</w:t>
            </w:r>
          </w:p>
        </w:tc>
        <w:tc>
          <w:tcPr>
            <w:tcW w:w="88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163"/>
        </w:trPr>
        <w:tc>
          <w:tcPr>
            <w:tcW w:w="2900" w:type="dxa"/>
            <w:vAlign w:val="bottom"/>
          </w:tcPr>
          <w:p>
            <w:pPr>
              <w:ind w:left="260"/>
              <w:spacing w:after="0" w:line="143" w:lineRule="exact"/>
              <w:rPr>
                <w:sz w:val="20"/>
                <w:szCs w:val="20"/>
                <w:color w:val="auto"/>
              </w:rPr>
            </w:pPr>
            <w:r>
              <w:rPr>
                <w:rFonts w:ascii="Arial" w:cs="Arial" w:eastAsia="Arial" w:hAnsi="Arial"/>
                <w:sz w:val="16"/>
                <w:szCs w:val="16"/>
                <w:color w:val="auto"/>
              </w:rPr>
              <w:t>stock dividends</w:t>
            </w: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90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9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163"/>
        </w:trPr>
        <w:tc>
          <w:tcPr>
            <w:tcW w:w="2900" w:type="dxa"/>
            <w:vAlign w:val="bottom"/>
          </w:tcPr>
          <w:p>
            <w:pPr>
              <w:ind w:left="260"/>
              <w:spacing w:after="0" w:line="143" w:lineRule="exact"/>
              <w:rPr>
                <w:sz w:val="20"/>
                <w:szCs w:val="20"/>
                <w:color w:val="auto"/>
              </w:rPr>
            </w:pPr>
            <w:r>
              <w:rPr>
                <w:rFonts w:ascii="Arial" w:cs="Arial" w:eastAsia="Arial" w:hAnsi="Arial"/>
                <w:sz w:val="16"/>
                <w:szCs w:val="16"/>
                <w:color w:val="auto"/>
              </w:rPr>
              <w:t>charges</w:t>
            </w: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220" w:firstLine="2"/>
        <w:spacing w:after="0" w:line="24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00"/>
          </w:cols>
          <w:pgMar w:left="260" w:top="58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Debra L. Reed, certify that:</w:t>
      </w:r>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report on Form 10-Q of Pacific Enterprises;</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8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right="2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660" w:hanging="324"/>
        <w:spacing w:after="0" w:line="342"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80" w:right="6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November 10, 2008</w:t>
      </w:r>
    </w:p>
    <w:p>
      <w:pPr>
        <w:spacing w:after="0" w:line="266"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38100</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Schlax,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10-Q of Pacific Enterprises;</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8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right="2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660" w:hanging="324"/>
        <w:spacing w:after="0" w:line="342"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80" w:right="6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November 10, 2008</w:t>
      </w:r>
    </w:p>
    <w:p>
      <w:pPr>
        <w:spacing w:after="0" w:line="266"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38100</wp:posOffset>
            </wp:positionV>
            <wp:extent cx="1938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3"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Robert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Debra L. Reed,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Southern California Gas Company;</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8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right="2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660" w:hanging="324"/>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80" w:right="6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November 10, 2008</w:t>
      </w:r>
    </w:p>
    <w:p>
      <w:pPr>
        <w:spacing w:after="0" w:line="266"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38100</wp:posOffset>
            </wp:positionV>
            <wp:extent cx="2400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Schlax,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report on Form 10-Q of Southern California Gas Company;</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8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right="2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660" w:hanging="324"/>
        <w:spacing w:after="0" w:line="34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80" w:right="6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November 10, 2008</w:t>
      </w:r>
    </w:p>
    <w:p>
      <w:pPr>
        <w:spacing w:after="0" w:line="266"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38100</wp:posOffset>
            </wp:positionV>
            <wp:extent cx="2298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3"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Robert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Chief Executive Officer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Chief Executive Officer of Pacific Enterprises (the "Company") certifies that:</w:t>
      </w:r>
    </w:p>
    <w:p>
      <w:pPr>
        <w:spacing w:after="0" w:line="170" w:lineRule="exact"/>
        <w:rPr>
          <w:sz w:val="20"/>
          <w:szCs w:val="20"/>
          <w:color w:val="auto"/>
        </w:rPr>
      </w:pPr>
    </w:p>
    <w:p>
      <w:pPr>
        <w:ind w:left="1300" w:right="20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September 30, 2008 (the "Quarterly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p>
      <w:pPr>
        <w:spacing w:after="0" w:line="266"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38100</wp:posOffset>
            </wp:positionV>
            <wp:extent cx="19894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Chief Financial Officer</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Chief Financial Officer of Pacific Enterprises (the "Company") certifies that:</w:t>
      </w:r>
    </w:p>
    <w:p>
      <w:pPr>
        <w:spacing w:after="0" w:line="170" w:lineRule="exact"/>
        <w:rPr>
          <w:sz w:val="20"/>
          <w:szCs w:val="20"/>
          <w:color w:val="auto"/>
        </w:rPr>
      </w:pPr>
    </w:p>
    <w:p>
      <w:pPr>
        <w:ind w:left="1300" w:right="2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September 30, 2008 (the "Quarterly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p>
      <w:pPr>
        <w:spacing w:after="0" w:line="266"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38100</wp:posOffset>
            </wp:positionV>
            <wp:extent cx="19380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3"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Robert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Chief Executive Officer</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Chief Executive Officer of Southern California Gas Company (the "Company") certifies that:</w:t>
      </w:r>
    </w:p>
    <w:p>
      <w:pPr>
        <w:spacing w:after="0" w:line="170" w:lineRule="exact"/>
        <w:rPr>
          <w:sz w:val="20"/>
          <w:szCs w:val="20"/>
          <w:color w:val="auto"/>
        </w:rPr>
      </w:pPr>
    </w:p>
    <w:p>
      <w:pPr>
        <w:ind w:left="1300" w:right="20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September 30, 2008 (the "Quarterly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p>
      <w:pPr>
        <w:spacing w:after="0" w:line="266"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38100</wp:posOffset>
            </wp:positionV>
            <wp:extent cx="2298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Chief Financial Officer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Chief Financial Officer of Southern California Gas Company (the "Company") certifies that:</w:t>
      </w:r>
    </w:p>
    <w:p>
      <w:pPr>
        <w:spacing w:after="0" w:line="170" w:lineRule="exact"/>
        <w:rPr>
          <w:sz w:val="20"/>
          <w:szCs w:val="20"/>
          <w:color w:val="auto"/>
        </w:rPr>
      </w:pPr>
    </w:p>
    <w:p>
      <w:pPr>
        <w:ind w:left="1300" w:right="20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September 30, 2008 (the "Quarterly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2008</w:t>
      </w:r>
    </w:p>
    <w:p>
      <w:pPr>
        <w:spacing w:after="0" w:line="266"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38100</wp:posOffset>
            </wp:positionV>
            <wp:extent cx="2298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3"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Robert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1"/>
    </w:lvl>
    <w:lvl w:ilvl="1">
      <w:lvlJc w:val="left"/>
      <w:lvlText w:val="%2)"/>
      <w:numFmt w:val="lowerLetter"/>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2019-12-11T14:00:13Z</dcterms:created>
  <dcterms:modified xsi:type="dcterms:W3CDTF">2019-12-11T14:00:13Z</dcterms:modified>
</cp:coreProperties>
</file>