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451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5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CONESA ANDRES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488 8TH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SEMPRA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128.32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128.32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97.41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11,516.8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of Sempra Common Stock acquired as director compensation.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of Derivative Security is 1 for 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Date exercisable is immediate for shares that have vested.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Expiration date is 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ANDRES CONESA BY: Lisa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2839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 xml:space="preserve">H. Abbot, Managing Attorney - </w:t>
      </w:r>
      <w:r>
        <w:rPr>
          <w:rFonts w:ascii="Times New Roman" w:cs="Times New Roman" w:eastAsia="Times New Roman" w:hAnsi="Times New Roman"/>
          <w:sz w:val="27"/>
          <w:szCs w:val="27"/>
          <w:color w:val="0000FF"/>
          <w:vertAlign w:val="subscript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and Securities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169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Sempra and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547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9739" TargetMode="External"/><Relationship Id="rId14" Type="http://schemas.openxmlformats.org/officeDocument/2006/relationships/hyperlink" Target="http://www.sec.gov/cgi-bin/browse-edgar?action=getcompany&amp;CIK=0001032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2026-04-02T18:25:06Z</dcterms:created>
  <dcterms:modified xsi:type="dcterms:W3CDTF">2026-04-02T18:25:06Z</dcterms:modified>
</cp:coreProperties>
</file>